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40"/>
      </w:tblGrid>
      <w:tr w:rsidR="0066403F" w14:paraId="71145E19" w14:textId="77777777" w:rsidTr="00C87878">
        <w:trPr>
          <w:trHeight w:val="1771"/>
        </w:trPr>
        <w:tc>
          <w:tcPr>
            <w:tcW w:w="7240" w:type="dxa"/>
            <w:tcBorders>
              <w:top w:val="nil"/>
              <w:left w:val="nil"/>
              <w:bottom w:val="nil"/>
              <w:right w:val="nil"/>
            </w:tcBorders>
          </w:tcPr>
          <w:p w14:paraId="5C762CB1" w14:textId="77777777" w:rsidR="0066403F" w:rsidRDefault="0066403F" w:rsidP="00C87878">
            <w:r>
              <w:rPr>
                <w:noProof/>
                <w:lang w:bidi="es-ES"/>
              </w:rPr>
              <mc:AlternateContent>
                <mc:Choice Requires="wps">
                  <w:drawing>
                    <wp:inline distT="0" distB="0" distL="0" distR="0" wp14:anchorId="730AA6DB" wp14:editId="7AB0071B">
                      <wp:extent cx="4238625" cy="1339403"/>
                      <wp:effectExtent l="0" t="0" r="0" b="0"/>
                      <wp:docPr id="8" name="Cuadro de texto 8"/>
                      <wp:cNvGraphicFramePr/>
                      <a:graphic xmlns:a="http://schemas.openxmlformats.org/drawingml/2006/main">
                        <a:graphicData uri="http://schemas.microsoft.com/office/word/2010/wordprocessingShape">
                          <wps:wsp>
                            <wps:cNvSpPr txBox="1"/>
                            <wps:spPr>
                              <a:xfrm>
                                <a:off x="0" y="0"/>
                                <a:ext cx="4238625" cy="1339403"/>
                              </a:xfrm>
                              <a:prstGeom prst="rect">
                                <a:avLst/>
                              </a:prstGeom>
                              <a:noFill/>
                              <a:ln w="6350">
                                <a:noFill/>
                              </a:ln>
                            </wps:spPr>
                            <wps:txbx>
                              <w:txbxContent>
                                <w:p w14:paraId="5CCAF48B" w14:textId="77777777" w:rsidR="0066403F" w:rsidRPr="00A2128D" w:rsidRDefault="0066403F" w:rsidP="0066403F">
                                  <w:pPr>
                                    <w:pStyle w:val="Ttulo"/>
                                    <w:rPr>
                                      <w:rFonts w:ascii="ITC Avant Garde" w:hAnsi="ITC Avant Garde"/>
                                      <w:sz w:val="40"/>
                                      <w:szCs w:val="40"/>
                                    </w:rPr>
                                  </w:pPr>
                                  <w:r w:rsidRPr="00A2128D">
                                    <w:rPr>
                                      <w:rFonts w:ascii="ITC Avant Garde" w:hAnsi="ITC Avant Garde"/>
                                      <w:sz w:val="40"/>
                                      <w:szCs w:val="40"/>
                                      <w:lang w:bidi="es-ES"/>
                                    </w:rPr>
                                    <w:t>REPORTE ESPECIAL SOBRE LA VENTANILLA ELECTRÓNICA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30AA6DB" id="_x0000_t202" coordsize="21600,21600" o:spt="202" path="m,l,21600r21600,l21600,xe">
                      <v:stroke joinstyle="miter"/>
                      <v:path gradientshapeok="t" o:connecttype="rect"/>
                    </v:shapetype>
                    <v:shape id="Cuadro de texto 8" o:spid="_x0000_s1026" type="#_x0000_t202" style="width:333.75pt;height:10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" filled="f" stroked="f" strokeweight=".5pt">
                      <v:textbox>
                        <w:txbxContent>
                          <w:p w14:paraId="5CCAF48B" w14:textId="77777777" w:rsidR="0066403F" w:rsidRPr="00A2128D" w:rsidRDefault="0066403F" w:rsidP="0066403F">
                            <w:pPr>
                              <w:pStyle w:val="Ttulo"/>
                              <w:rPr>
                                <w:rFonts w:ascii="ITC Avant Garde" w:hAnsi="ITC Avant Garde"/>
                                <w:sz w:val="40"/>
                                <w:szCs w:val="40"/>
                              </w:rPr>
                            </w:pPr>
                            <w:r w:rsidRPr="00A2128D">
                              <w:rPr>
                                <w:rFonts w:ascii="ITC Avant Garde" w:hAnsi="ITC Avant Garde"/>
                                <w:sz w:val="40"/>
                                <w:szCs w:val="40"/>
                                <w:lang w:bidi="es-ES"/>
                              </w:rPr>
                              <w:t>REPORTE ESPECIAL SOBRE LA VENTANILLA ELECTRÓNICA</w:t>
                            </w:r>
                          </w:p>
                        </w:txbxContent>
                      </v:textbox>
                      <w10:anchorlock/>
                    </v:shape>
                  </w:pict>
                </mc:Fallback>
              </mc:AlternateContent>
            </w:r>
          </w:p>
        </w:tc>
      </w:tr>
    </w:tbl>
    <w:tbl>
      <w:tblPr>
        <w:tblpPr w:leftFromText="180" w:rightFromText="180" w:vertAnchor="text" w:horzAnchor="page" w:tblpX="954" w:tblpY="289"/>
        <w:tblW w:w="0" w:type="auto"/>
        <w:tblCellMar>
          <w:left w:w="0" w:type="dxa"/>
          <w:right w:w="0" w:type="dxa"/>
        </w:tblCellMar>
        <w:tblLook w:val="0000" w:firstRow="0" w:lastRow="0" w:firstColumn="0" w:lastColumn="0" w:noHBand="0" w:noVBand="0"/>
      </w:tblPr>
      <w:tblGrid>
        <w:gridCol w:w="9120"/>
      </w:tblGrid>
      <w:tr w:rsidR="0066403F" w14:paraId="273ECAED" w14:textId="77777777" w:rsidTr="00C87878">
        <w:trPr>
          <w:trHeight w:val="2043"/>
        </w:trPr>
        <w:tc>
          <w:tcPr>
            <w:tcW w:w="4572" w:type="dxa"/>
          </w:tcPr>
          <w:p w14:paraId="356ACA9C" w14:textId="0B71BFD7" w:rsidR="0066403F" w:rsidRDefault="0066403F" w:rsidP="00C87878">
            <w:r>
              <w:rPr>
                <w:noProof/>
                <w:lang w:bidi="es-ES"/>
              </w:rPr>
              <mc:AlternateContent>
                <mc:Choice Requires="wps">
                  <w:drawing>
                    <wp:inline distT="0" distB="0" distL="0" distR="0" wp14:anchorId="4E0D9836" wp14:editId="7A951DC4">
                      <wp:extent cx="5791200" cy="923925"/>
                      <wp:effectExtent l="0" t="0" r="0" b="0"/>
                      <wp:docPr id="6" name="Cuadro de texto 6"/>
                      <wp:cNvGraphicFramePr/>
                      <a:graphic xmlns:a="http://schemas.openxmlformats.org/drawingml/2006/main">
                        <a:graphicData uri="http://schemas.microsoft.com/office/word/2010/wordprocessingShape">
                          <wps:wsp>
                            <wps:cNvSpPr txBox="1"/>
                            <wps:spPr>
                              <a:xfrm>
                                <a:off x="0" y="0"/>
                                <a:ext cx="5791200" cy="923925"/>
                              </a:xfrm>
                              <a:prstGeom prst="rect">
                                <a:avLst/>
                              </a:prstGeom>
                              <a:noFill/>
                              <a:ln w="6350">
                                <a:noFill/>
                              </a:ln>
                            </wps:spPr>
                            <wps:txbx>
                              <w:txbxContent>
                                <w:p w14:paraId="23B69FBC" w14:textId="77777777" w:rsidR="0066403F" w:rsidRPr="00302C57" w:rsidRDefault="0066403F" w:rsidP="0066403F">
                                  <w:pPr>
                                    <w:rPr>
                                      <w:rFonts w:ascii="ITC Avant Garde" w:hAnsi="ITC Avant Garde"/>
                                      <w:color w:val="7FE959"/>
                                      <w:sz w:val="40"/>
                                      <w:szCs w:val="36"/>
                                    </w:rPr>
                                  </w:pPr>
                                  <w:r w:rsidRPr="00302C57">
                                    <w:rPr>
                                      <w:rFonts w:ascii="ITC Avant Garde" w:hAnsi="ITC Avant Garde"/>
                                      <w:color w:val="7FE959"/>
                                      <w:sz w:val="40"/>
                                      <w:szCs w:val="36"/>
                                      <w:lang w:bidi="es-ES"/>
                                    </w:rPr>
                                    <w:t>Instituto Federal de Telecomunicaciones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0D9836" id="Cuadro de texto 6" o:spid="_x0000_s1027" type="#_x0000_t202" style="width:456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" filled="f" stroked="f" strokeweight=".5pt">
                      <v:textbox>
                        <w:txbxContent>
                          <w:p w14:paraId="23B69FBC" w14:textId="77777777" w:rsidR="0066403F" w:rsidRPr="00302C57" w:rsidRDefault="0066403F" w:rsidP="0066403F">
                            <w:pPr>
                              <w:rPr>
                                <w:rFonts w:ascii="ITC Avant Garde" w:hAnsi="ITC Avant Garde"/>
                                <w:color w:val="7FE959"/>
                                <w:sz w:val="40"/>
                                <w:szCs w:val="36"/>
                              </w:rPr>
                            </w:pPr>
                            <w:r w:rsidRPr="00302C57">
                              <w:rPr>
                                <w:rFonts w:ascii="ITC Avant Garde" w:hAnsi="ITC Avant Garde"/>
                                <w:color w:val="7FE959"/>
                                <w:sz w:val="40"/>
                                <w:szCs w:val="36"/>
                                <w:lang w:bidi="es-ES"/>
                              </w:rPr>
                              <w:t>Instituto Federal de Telecomunicaciones</w:t>
                            </w:r>
                          </w:p>
                        </w:txbxContent>
                      </v:textbox>
                      <w10:anchorlock/>
                    </v:shape>
                  </w:pict>
                </mc:Fallback>
              </mc:AlternateContent>
            </w:r>
          </w:p>
        </w:tc>
      </w:tr>
    </w:tbl>
    <w:p w14:paraId="2EFBAC3B" w14:textId="77777777" w:rsidR="0066403F" w:rsidRDefault="0066403F" w:rsidP="0066403F"/>
    <w:tbl>
      <w:tblPr>
        <w:tblpPr w:leftFromText="180" w:rightFromText="180" w:vertAnchor="text" w:horzAnchor="margin" w:tblpXSpec="center" w:tblpY="13051"/>
        <w:tblW w:w="10350" w:type="dxa"/>
        <w:tblCellMar>
          <w:left w:w="0" w:type="dxa"/>
          <w:right w:w="0" w:type="dxa"/>
        </w:tblCellMar>
        <w:tblLook w:val="0000" w:firstRow="0" w:lastRow="0" w:firstColumn="0" w:lastColumn="0" w:noHBand="0" w:noVBand="0"/>
      </w:tblPr>
      <w:tblGrid>
        <w:gridCol w:w="4815"/>
        <w:gridCol w:w="5535"/>
      </w:tblGrid>
      <w:tr w:rsidR="0066403F" w14:paraId="2FBA3530" w14:textId="77777777" w:rsidTr="00C87878">
        <w:trPr>
          <w:trHeight w:val="1080"/>
        </w:trPr>
        <w:tc>
          <w:tcPr>
            <w:tcW w:w="5449" w:type="dxa"/>
            <w:vAlign w:val="center"/>
          </w:tcPr>
          <w:p w14:paraId="080B2DE0" w14:textId="2E20335C" w:rsidR="0066403F" w:rsidRDefault="0066403F" w:rsidP="00C87878"/>
        </w:tc>
        <w:tc>
          <w:tcPr>
            <w:tcW w:w="4901" w:type="dxa"/>
            <w:vAlign w:val="center"/>
          </w:tcPr>
          <w:p w14:paraId="53BA5E23" w14:textId="17E44753" w:rsidR="0066403F" w:rsidRDefault="00611D87" w:rsidP="00C87878">
            <w:pPr>
              <w:jc w:val="right"/>
            </w:pPr>
            <w:r>
              <w:rPr>
                <w:noProof/>
                <w:lang w:bidi="es-ES"/>
              </w:rPr>
              <mc:AlternateContent>
                <mc:Choice Requires="wps">
                  <w:drawing>
                    <wp:inline distT="0" distB="0" distL="0" distR="0" wp14:anchorId="2B90E809" wp14:editId="7122738A">
                      <wp:extent cx="3514725" cy="605155"/>
                      <wp:effectExtent l="0" t="0" r="0" b="4445"/>
                      <wp:docPr id="13" name="Cuadro de texto 13"/>
                      <wp:cNvGraphicFramePr/>
                      <a:graphic xmlns:a="http://schemas.openxmlformats.org/drawingml/2006/main">
                        <a:graphicData uri="http://schemas.microsoft.com/office/word/2010/wordprocessingShape">
                          <wps:wsp>
                            <wps:cNvSpPr txBox="1"/>
                            <wps:spPr>
                              <a:xfrm>
                                <a:off x="0" y="0"/>
                                <a:ext cx="3514725" cy="605155"/>
                              </a:xfrm>
                              <a:prstGeom prst="rect">
                                <a:avLst/>
                              </a:prstGeom>
                              <a:noFill/>
                              <a:ln w="6350">
                                <a:noFill/>
                              </a:ln>
                            </wps:spPr>
                            <wps:txbx>
                              <w:txbxContent>
                                <w:p w14:paraId="0CD4DE80" w14:textId="7AEA5D7A" w:rsidR="00A2128D" w:rsidRDefault="00A2128D" w:rsidP="00611D87">
                                  <w:pPr>
                                    <w:jc w:val="right"/>
                                    <w:rPr>
                                      <w:rFonts w:ascii="ITC Avant Garde" w:hAnsi="ITC Avant Garde" w:cstheme="majorHAnsi"/>
                                      <w:sz w:val="20"/>
                                      <w:szCs w:val="20"/>
                                    </w:rPr>
                                  </w:pPr>
                                  <w:r>
                                    <w:rPr>
                                      <w:rFonts w:ascii="ITC Avant Garde" w:hAnsi="ITC Avant Garde" w:cstheme="majorHAnsi"/>
                                      <w:sz w:val="20"/>
                                      <w:szCs w:val="20"/>
                                    </w:rPr>
                                    <w:t>Coordinación General de Mejora Regulatoria</w:t>
                                  </w:r>
                                </w:p>
                                <w:p w14:paraId="28F23DD4" w14:textId="4898111A" w:rsidR="00611D87" w:rsidRPr="00611D87" w:rsidRDefault="00611D87" w:rsidP="00611D87">
                                  <w:pPr>
                                    <w:jc w:val="right"/>
                                    <w:rPr>
                                      <w:rFonts w:ascii="ITC Avant Garde" w:hAnsi="ITC Avant Garde" w:cstheme="majorHAnsi"/>
                                      <w:sz w:val="20"/>
                                      <w:szCs w:val="20"/>
                                    </w:rPr>
                                  </w:pPr>
                                  <w:r w:rsidRPr="00611D87">
                                    <w:rPr>
                                      <w:rFonts w:ascii="ITC Avant Garde" w:hAnsi="ITC Avant Garde" w:cstheme="majorHAnsi"/>
                                      <w:sz w:val="20"/>
                                      <w:szCs w:val="20"/>
                                    </w:rPr>
                                    <w:t>Diciembre 2024</w:t>
                                  </w:r>
                                </w:p>
                                <w:p w14:paraId="703AB951" w14:textId="77777777" w:rsidR="00611D87" w:rsidRPr="007057F4" w:rsidRDefault="00611D87" w:rsidP="00611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90E809" id="Cuadro de texto 13" o:spid="_x0000_s1028" type="#_x0000_t202" style="width:276.7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" filled="f" stroked="f" strokeweight=".5pt">
                      <v:textbox>
                        <w:txbxContent>
                          <w:p w14:paraId="0CD4DE80" w14:textId="7AEA5D7A" w:rsidR="00A2128D" w:rsidRDefault="00A2128D" w:rsidP="00611D87">
                            <w:pPr>
                              <w:jc w:val="right"/>
                              <w:rPr>
                                <w:rFonts w:ascii="ITC Avant Garde" w:hAnsi="ITC Avant Garde" w:cstheme="majorHAnsi"/>
                                <w:sz w:val="20"/>
                                <w:szCs w:val="20"/>
                              </w:rPr>
                            </w:pPr>
                            <w:r>
                              <w:rPr>
                                <w:rFonts w:ascii="ITC Avant Garde" w:hAnsi="ITC Avant Garde" w:cstheme="majorHAnsi"/>
                                <w:sz w:val="20"/>
                                <w:szCs w:val="20"/>
                              </w:rPr>
                              <w:t>Coordinación General de Mejora Regulatoria</w:t>
                            </w:r>
                          </w:p>
                          <w:p w14:paraId="28F23DD4" w14:textId="4898111A" w:rsidR="00611D87" w:rsidRPr="00611D87" w:rsidRDefault="00611D87" w:rsidP="00611D87">
                            <w:pPr>
                              <w:jc w:val="right"/>
                              <w:rPr>
                                <w:rFonts w:ascii="ITC Avant Garde" w:hAnsi="ITC Avant Garde" w:cstheme="majorHAnsi"/>
                                <w:sz w:val="20"/>
                                <w:szCs w:val="20"/>
                              </w:rPr>
                            </w:pPr>
                            <w:r w:rsidRPr="00611D87">
                              <w:rPr>
                                <w:rFonts w:ascii="ITC Avant Garde" w:hAnsi="ITC Avant Garde" w:cstheme="majorHAnsi"/>
                                <w:sz w:val="20"/>
                                <w:szCs w:val="20"/>
                              </w:rPr>
                              <w:t>Diciembre 2024</w:t>
                            </w:r>
                          </w:p>
                          <w:p w14:paraId="703AB951" w14:textId="77777777" w:rsidR="00611D87" w:rsidRPr="007057F4" w:rsidRDefault="00611D87" w:rsidP="00611D87"/>
                        </w:txbxContent>
                      </v:textbox>
                      <w10:anchorlock/>
                    </v:shape>
                  </w:pict>
                </mc:Fallback>
              </mc:AlternateContent>
            </w:r>
          </w:p>
        </w:tc>
      </w:tr>
    </w:tbl>
    <w:p w14:paraId="15974F6D" w14:textId="1E44B2AA" w:rsidR="0066403F" w:rsidRPr="00705F5A" w:rsidRDefault="0066403F" w:rsidP="0066403F">
      <w:pPr>
        <w:rPr>
          <w:color w:val="auto"/>
        </w:rPr>
      </w:pPr>
      <w:r>
        <w:rPr>
          <w:noProof/>
          <w:lang w:bidi="es-ES"/>
        </w:rPr>
        <mc:AlternateContent>
          <mc:Choice Requires="wps">
            <w:drawing>
              <wp:anchor distT="0" distB="0" distL="114300" distR="114300" simplePos="0" relativeHeight="251663360" behindDoc="0" locked="0" layoutInCell="1" allowOverlap="1" wp14:anchorId="3AB6D4D0" wp14:editId="7C36423D">
                <wp:simplePos x="0" y="0"/>
                <wp:positionH relativeFrom="margin">
                  <wp:posOffset>-45720</wp:posOffset>
                </wp:positionH>
                <wp:positionV relativeFrom="paragraph">
                  <wp:posOffset>3619500</wp:posOffset>
                </wp:positionV>
                <wp:extent cx="1628775" cy="2762250"/>
                <wp:effectExtent l="0" t="0" r="28575" b="19050"/>
                <wp:wrapNone/>
                <wp:docPr id="15" name="Triángulo rectángulo 15"/>
                <wp:cNvGraphicFramePr/>
                <a:graphic xmlns:a="http://schemas.openxmlformats.org/drawingml/2006/main">
                  <a:graphicData uri="http://schemas.microsoft.com/office/word/2010/wordprocessingShape">
                    <wps:wsp>
                      <wps:cNvSpPr/>
                      <wps:spPr>
                        <a:xfrm flipV="1">
                          <a:off x="0" y="0"/>
                          <a:ext cx="1628775" cy="276225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2BBDA0A" id="_x0000_t6" coordsize="21600,21600" o:spt="6" path="m,l,21600r21600,xe">
                <v:stroke joinstyle="miter"/>
                <v:path gradientshapeok="t" o:connecttype="custom" o:connectlocs="0,0;0,10800;0,21600;10800,21600;21600,21600;10800,10800" textboxrect="1800,12600,12600,19800"/>
              </v:shapetype>
              <v:shape id="Triángulo rectángulo 15" o:spid="_x0000_s1026" type="#_x0000_t6" style="position:absolute;margin-left:-3.6pt;margin-top:285pt;width:128.25pt;height:217.5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" fillcolor="white [3212]" strokecolor="white [3212]" strokeweight="1pt">
                <w10:wrap anchorx="margin"/>
              </v:shape>
            </w:pict>
          </mc:Fallback>
        </mc:AlternateContent>
      </w:r>
      <w:r>
        <w:rPr>
          <w:noProof/>
          <w:lang w:bidi="es-ES"/>
        </w:rPr>
        <w:drawing>
          <wp:anchor distT="0" distB="0" distL="114300" distR="114300" simplePos="0" relativeHeight="251662336" behindDoc="1" locked="0" layoutInCell="1" allowOverlap="1" wp14:anchorId="4286CA7D" wp14:editId="4812E976">
            <wp:simplePos x="0" y="0"/>
            <wp:positionH relativeFrom="column">
              <wp:posOffset>-40640</wp:posOffset>
            </wp:positionH>
            <wp:positionV relativeFrom="paragraph">
              <wp:posOffset>3044190</wp:posOffset>
            </wp:positionV>
            <wp:extent cx="2330450" cy="3310890"/>
            <wp:effectExtent l="0" t="0" r="0" b="3810"/>
            <wp:wrapNone/>
            <wp:docPr id="4" name="Gráfico 4" descr="rectángulo transparente d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2330450" cy="3310890"/>
                    </a:xfrm>
                    <a:prstGeom prst="rect">
                      <a:avLst/>
                    </a:prstGeom>
                  </pic:spPr>
                </pic:pic>
              </a:graphicData>
            </a:graphic>
            <wp14:sizeRelH relativeFrom="margin">
              <wp14:pctWidth>0</wp14:pctWidth>
            </wp14:sizeRelH>
            <wp14:sizeRelV relativeFrom="margin">
              <wp14:pctHeight>0</wp14:pctHeight>
            </wp14:sizeRelV>
          </wp:anchor>
        </w:drawing>
      </w:r>
      <w:r>
        <w:rPr>
          <w:noProof/>
          <w:lang w:bidi="es-ES"/>
        </w:rPr>
        <w:drawing>
          <wp:anchor distT="0" distB="0" distL="114300" distR="114300" simplePos="0" relativeHeight="251661312" behindDoc="1" locked="0" layoutInCell="1" allowOverlap="1" wp14:anchorId="18933BB8" wp14:editId="6366D23D">
            <wp:simplePos x="0" y="0"/>
            <wp:positionH relativeFrom="column">
              <wp:posOffset>3373755</wp:posOffset>
            </wp:positionH>
            <wp:positionV relativeFrom="paragraph">
              <wp:posOffset>1457325</wp:posOffset>
            </wp:positionV>
            <wp:extent cx="2273845" cy="2543175"/>
            <wp:effectExtent l="0" t="0" r="0" b="0"/>
            <wp:wrapNone/>
            <wp:docPr id="2" name="Gráfico 2" descr="rectángulo transparente d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298506" cy="2570757"/>
                    </a:xfrm>
                    <a:prstGeom prst="rect">
                      <a:avLst/>
                    </a:prstGeom>
                  </pic:spPr>
                </pic:pic>
              </a:graphicData>
            </a:graphic>
            <wp14:sizeRelH relativeFrom="margin">
              <wp14:pctWidth>0</wp14:pctWidth>
            </wp14:sizeRelH>
            <wp14:sizeRelV relativeFrom="margin">
              <wp14:pctHeight>0</wp14:pctHeight>
            </wp14:sizeRelV>
          </wp:anchor>
        </w:drawing>
      </w:r>
      <w:r>
        <w:rPr>
          <w:noProof/>
          <w:lang w:bidi="es-ES"/>
        </w:rPr>
        <w:drawing>
          <wp:anchor distT="0" distB="0" distL="114300" distR="114300" simplePos="0" relativeHeight="251660288" behindDoc="1" locked="0" layoutInCell="1" allowOverlap="1" wp14:anchorId="7A9C6A8A" wp14:editId="5DB01E0D">
            <wp:simplePos x="0" y="0"/>
            <wp:positionH relativeFrom="column">
              <wp:posOffset>-721995</wp:posOffset>
            </wp:positionH>
            <wp:positionV relativeFrom="paragraph">
              <wp:posOffset>1619250</wp:posOffset>
            </wp:positionV>
            <wp:extent cx="5859232" cy="2009775"/>
            <wp:effectExtent l="0" t="0" r="8255" b="0"/>
            <wp:wrapNone/>
            <wp:docPr id="1" name="Gráfico 1" descr="rectángulo d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861929" cy="2010700"/>
                    </a:xfrm>
                    <a:prstGeom prst="rect">
                      <a:avLst/>
                    </a:prstGeom>
                  </pic:spPr>
                </pic:pic>
              </a:graphicData>
            </a:graphic>
            <wp14:sizeRelH relativeFrom="margin">
              <wp14:pctWidth>0</wp14:pctWidth>
            </wp14:sizeRelH>
            <wp14:sizeRelV relativeFrom="margin">
              <wp14:pctHeight>0</wp14:pctHeight>
            </wp14:sizeRelV>
          </wp:anchor>
        </w:drawing>
      </w:r>
      <w:r>
        <w:rPr>
          <w:noProof/>
          <w:lang w:bidi="es-ES"/>
        </w:rPr>
        <w:drawing>
          <wp:anchor distT="0" distB="0" distL="114300" distR="114300" simplePos="0" relativeHeight="251659264" behindDoc="1" locked="0" layoutInCell="1" allowOverlap="1" wp14:anchorId="487DC48B" wp14:editId="1BE9F0F3">
            <wp:simplePos x="0" y="0"/>
            <wp:positionH relativeFrom="page">
              <wp:align>right</wp:align>
            </wp:positionH>
            <wp:positionV relativeFrom="paragraph">
              <wp:posOffset>3038475</wp:posOffset>
            </wp:positionV>
            <wp:extent cx="6876415" cy="3314700"/>
            <wp:effectExtent l="0" t="0" r="63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7054" cy="3315008"/>
                    </a:xfrm>
                    <a:prstGeom prst="rect">
                      <a:avLst/>
                    </a:prstGeom>
                    <a:noFill/>
                  </pic:spPr>
                </pic:pic>
              </a:graphicData>
            </a:graphic>
            <wp14:sizeRelV relativeFrom="margin">
              <wp14:pctHeight>0</wp14:pctHeight>
            </wp14:sizeRelV>
          </wp:anchor>
        </w:drawing>
      </w:r>
    </w:p>
    <w:p w14:paraId="68CECC08" w14:textId="77777777" w:rsidR="0066403F" w:rsidRPr="0066403F" w:rsidRDefault="0066403F" w:rsidP="0066403F">
      <w:pPr>
        <w:pStyle w:val="TtuloTDC"/>
        <w:framePr w:wrap="around" w:hAnchor="page" w:x="1456" w:y="2506"/>
        <w:rPr>
          <w:rFonts w:ascii="ITC Avant Garde" w:hAnsi="ITC Avant Garde"/>
        </w:rPr>
      </w:pPr>
      <w:r w:rsidRPr="0066403F">
        <w:rPr>
          <w:rFonts w:ascii="ITC Avant Garde" w:hAnsi="ITC Avant Garde"/>
        </w:rPr>
        <w:lastRenderedPageBreak/>
        <w:t>Índice</w:t>
      </w:r>
    </w:p>
    <w:p w14:paraId="60763B07" w14:textId="77777777" w:rsidR="0066403F" w:rsidRPr="0066403F" w:rsidRDefault="0066403F" w:rsidP="0066403F">
      <w:pPr>
        <w:rPr>
          <w:rFonts w:ascii="ITC Avant Garde" w:hAnsi="ITC Avant Garde"/>
          <w:color w:val="auto"/>
        </w:rPr>
      </w:pPr>
    </w:p>
    <w:sdt>
      <w:sdtPr>
        <w:rPr>
          <w:rFonts w:asciiTheme="minorHAnsi" w:hAnsiTheme="minorHAnsi"/>
          <w:kern w:val="0"/>
          <w:sz w:val="28"/>
          <w:szCs w:val="22"/>
          <w14:ligatures w14:val="none"/>
        </w:rPr>
        <w:id w:val="-805080638"/>
        <w:docPartObj>
          <w:docPartGallery w:val="Table of Contents"/>
          <w:docPartUnique/>
        </w:docPartObj>
      </w:sdtPr>
      <w:sdtEndPr>
        <w:rPr>
          <w:bCs/>
        </w:rPr>
      </w:sdtEndPr>
      <w:sdtContent>
        <w:p w14:paraId="32C35981" w14:textId="4DE0F1F6" w:rsidR="0066403F" w:rsidRDefault="0066403F">
          <w:pPr>
            <w:pStyle w:val="TDC1"/>
            <w:tabs>
              <w:tab w:val="left" w:pos="560"/>
              <w:tab w:val="right" w:leader="dot" w:pos="9204"/>
            </w:tabs>
            <w:rPr>
              <w:rFonts w:asciiTheme="minorHAnsi" w:hAnsiTheme="minorHAnsi"/>
              <w:b w:val="0"/>
              <w:noProof/>
              <w:color w:val="auto"/>
              <w:kern w:val="0"/>
              <w:sz w:val="22"/>
              <w:szCs w:val="22"/>
              <w:lang w:val="es-MX" w:eastAsia="es-MX"/>
              <w14:ligatures w14:val="none"/>
            </w:rPr>
          </w:pPr>
          <w:r w:rsidRPr="0066403F">
            <w:fldChar w:fldCharType="begin"/>
          </w:r>
          <w:r w:rsidRPr="0066403F">
            <w:instrText xml:space="preserve"> TOC \o "1-3" \h \z \u </w:instrText>
          </w:r>
          <w:r w:rsidRPr="0066403F">
            <w:fldChar w:fldCharType="separate"/>
          </w:r>
          <w:hyperlink w:anchor="_Toc185358496" w:history="1">
            <w:r w:rsidRPr="00AF4DC1">
              <w:rPr>
                <w:rStyle w:val="Hipervnculo"/>
                <w:rFonts w:eastAsia="Times New Roman" w:cs="Times New Roman"/>
                <w:noProof/>
                <w:lang w:val="es-MX"/>
              </w:rPr>
              <w:t>1.</w:t>
            </w:r>
            <w:r>
              <w:rPr>
                <w:rFonts w:asciiTheme="minorHAnsi" w:hAnsiTheme="minorHAnsi"/>
                <w:b w:val="0"/>
                <w:noProof/>
                <w:color w:val="auto"/>
                <w:kern w:val="0"/>
                <w:sz w:val="22"/>
                <w:szCs w:val="22"/>
                <w:lang w:val="es-MX" w:eastAsia="es-MX"/>
                <w14:ligatures w14:val="none"/>
              </w:rPr>
              <w:tab/>
            </w:r>
            <w:r w:rsidRPr="00AF4DC1">
              <w:rPr>
                <w:rStyle w:val="Hipervnculo"/>
                <w:rFonts w:eastAsia="Times New Roman" w:cs="Times New Roman"/>
                <w:noProof/>
                <w:lang w:val="es-MX"/>
              </w:rPr>
              <w:t>Presentación</w:t>
            </w:r>
            <w:r>
              <w:rPr>
                <w:noProof/>
                <w:webHidden/>
              </w:rPr>
              <w:tab/>
            </w:r>
            <w:r>
              <w:rPr>
                <w:noProof/>
                <w:webHidden/>
              </w:rPr>
              <w:fldChar w:fldCharType="begin"/>
            </w:r>
            <w:r>
              <w:rPr>
                <w:noProof/>
                <w:webHidden/>
              </w:rPr>
              <w:instrText xml:space="preserve"> PAGEREF _Toc185358496 \h </w:instrText>
            </w:r>
            <w:r>
              <w:rPr>
                <w:noProof/>
                <w:webHidden/>
              </w:rPr>
            </w:r>
            <w:r>
              <w:rPr>
                <w:noProof/>
                <w:webHidden/>
              </w:rPr>
              <w:fldChar w:fldCharType="separate"/>
            </w:r>
            <w:r w:rsidR="00457BB3">
              <w:rPr>
                <w:noProof/>
                <w:webHidden/>
              </w:rPr>
              <w:t>2</w:t>
            </w:r>
            <w:r>
              <w:rPr>
                <w:noProof/>
                <w:webHidden/>
              </w:rPr>
              <w:fldChar w:fldCharType="end"/>
            </w:r>
          </w:hyperlink>
        </w:p>
        <w:p w14:paraId="0B4D7B2A" w14:textId="7CA28F4B" w:rsidR="0066403F" w:rsidRDefault="000C040A">
          <w:pPr>
            <w:pStyle w:val="TDC1"/>
            <w:tabs>
              <w:tab w:val="right" w:leader="dot" w:pos="9204"/>
            </w:tabs>
            <w:rPr>
              <w:rFonts w:asciiTheme="minorHAnsi" w:hAnsiTheme="minorHAnsi"/>
              <w:b w:val="0"/>
              <w:noProof/>
              <w:color w:val="auto"/>
              <w:kern w:val="0"/>
              <w:sz w:val="22"/>
              <w:szCs w:val="22"/>
              <w:lang w:val="es-MX" w:eastAsia="es-MX"/>
              <w14:ligatures w14:val="none"/>
            </w:rPr>
          </w:pPr>
          <w:hyperlink w:anchor="_Toc185358497" w:history="1">
            <w:r w:rsidR="0066403F" w:rsidRPr="00AF4DC1">
              <w:rPr>
                <w:rStyle w:val="Hipervnculo"/>
                <w:noProof/>
              </w:rPr>
              <w:t>REPORTE ESPECIAL SOBRE LA VENTANILLA ELECTRÓNICA</w:t>
            </w:r>
            <w:r w:rsidR="0066403F">
              <w:rPr>
                <w:noProof/>
                <w:webHidden/>
              </w:rPr>
              <w:tab/>
            </w:r>
            <w:r w:rsidR="0066403F">
              <w:rPr>
                <w:noProof/>
                <w:webHidden/>
              </w:rPr>
              <w:fldChar w:fldCharType="begin"/>
            </w:r>
            <w:r w:rsidR="0066403F">
              <w:rPr>
                <w:noProof/>
                <w:webHidden/>
              </w:rPr>
              <w:instrText xml:space="preserve"> PAGEREF _Toc185358497 \h </w:instrText>
            </w:r>
            <w:r w:rsidR="0066403F">
              <w:rPr>
                <w:noProof/>
                <w:webHidden/>
              </w:rPr>
            </w:r>
            <w:r w:rsidR="0066403F">
              <w:rPr>
                <w:noProof/>
                <w:webHidden/>
              </w:rPr>
              <w:fldChar w:fldCharType="separate"/>
            </w:r>
            <w:r w:rsidR="00457BB3">
              <w:rPr>
                <w:noProof/>
                <w:webHidden/>
              </w:rPr>
              <w:t>2</w:t>
            </w:r>
            <w:r w:rsidR="0066403F">
              <w:rPr>
                <w:noProof/>
                <w:webHidden/>
              </w:rPr>
              <w:fldChar w:fldCharType="end"/>
            </w:r>
          </w:hyperlink>
        </w:p>
        <w:p w14:paraId="367AB0CE" w14:textId="1096CC2E" w:rsidR="0066403F" w:rsidRDefault="000C040A">
          <w:pPr>
            <w:pStyle w:val="TDC1"/>
            <w:tabs>
              <w:tab w:val="left" w:pos="560"/>
              <w:tab w:val="right" w:leader="dot" w:pos="9204"/>
            </w:tabs>
            <w:rPr>
              <w:rFonts w:asciiTheme="minorHAnsi" w:hAnsiTheme="minorHAnsi"/>
              <w:b w:val="0"/>
              <w:noProof/>
              <w:color w:val="auto"/>
              <w:kern w:val="0"/>
              <w:sz w:val="22"/>
              <w:szCs w:val="22"/>
              <w:lang w:val="es-MX" w:eastAsia="es-MX"/>
              <w14:ligatures w14:val="none"/>
            </w:rPr>
          </w:pPr>
          <w:hyperlink w:anchor="_Toc185358498" w:history="1">
            <w:r w:rsidR="0066403F" w:rsidRPr="00AF4DC1">
              <w:rPr>
                <w:rStyle w:val="Hipervnculo"/>
                <w:rFonts w:eastAsia="Times New Roman" w:cs="Times New Roman"/>
                <w:noProof/>
                <w:lang w:val="es-MX"/>
              </w:rPr>
              <w:t>2.</w:t>
            </w:r>
            <w:r w:rsidR="0066403F">
              <w:rPr>
                <w:rFonts w:asciiTheme="minorHAnsi" w:hAnsiTheme="minorHAnsi"/>
                <w:b w:val="0"/>
                <w:noProof/>
                <w:color w:val="auto"/>
                <w:kern w:val="0"/>
                <w:sz w:val="22"/>
                <w:szCs w:val="22"/>
                <w:lang w:val="es-MX" w:eastAsia="es-MX"/>
                <w14:ligatures w14:val="none"/>
              </w:rPr>
              <w:tab/>
            </w:r>
            <w:r w:rsidR="0066403F" w:rsidRPr="00AF4DC1">
              <w:rPr>
                <w:rStyle w:val="Hipervnculo"/>
                <w:rFonts w:eastAsia="Times New Roman" w:cs="Times New Roman"/>
                <w:noProof/>
                <w:lang w:val="es-MX"/>
              </w:rPr>
              <w:t>Introducción</w:t>
            </w:r>
            <w:r w:rsidR="0066403F">
              <w:rPr>
                <w:noProof/>
                <w:webHidden/>
              </w:rPr>
              <w:tab/>
            </w:r>
            <w:r w:rsidR="0066403F">
              <w:rPr>
                <w:noProof/>
                <w:webHidden/>
              </w:rPr>
              <w:fldChar w:fldCharType="begin"/>
            </w:r>
            <w:r w:rsidR="0066403F">
              <w:rPr>
                <w:noProof/>
                <w:webHidden/>
              </w:rPr>
              <w:instrText xml:space="preserve"> PAGEREF _Toc185358498 \h </w:instrText>
            </w:r>
            <w:r w:rsidR="0066403F">
              <w:rPr>
                <w:noProof/>
                <w:webHidden/>
              </w:rPr>
            </w:r>
            <w:r w:rsidR="0066403F">
              <w:rPr>
                <w:noProof/>
                <w:webHidden/>
              </w:rPr>
              <w:fldChar w:fldCharType="separate"/>
            </w:r>
            <w:r w:rsidR="00457BB3">
              <w:rPr>
                <w:noProof/>
                <w:webHidden/>
              </w:rPr>
              <w:t>2</w:t>
            </w:r>
            <w:r w:rsidR="0066403F">
              <w:rPr>
                <w:noProof/>
                <w:webHidden/>
              </w:rPr>
              <w:fldChar w:fldCharType="end"/>
            </w:r>
          </w:hyperlink>
        </w:p>
        <w:p w14:paraId="1BDDB1AB" w14:textId="010D6F98" w:rsidR="0066403F" w:rsidRDefault="000C040A">
          <w:pPr>
            <w:pStyle w:val="TDC1"/>
            <w:tabs>
              <w:tab w:val="left" w:pos="560"/>
              <w:tab w:val="right" w:leader="dot" w:pos="9204"/>
            </w:tabs>
            <w:rPr>
              <w:rFonts w:asciiTheme="minorHAnsi" w:hAnsiTheme="minorHAnsi"/>
              <w:b w:val="0"/>
              <w:noProof/>
              <w:color w:val="auto"/>
              <w:kern w:val="0"/>
              <w:sz w:val="22"/>
              <w:szCs w:val="22"/>
              <w:lang w:val="es-MX" w:eastAsia="es-MX"/>
              <w14:ligatures w14:val="none"/>
            </w:rPr>
          </w:pPr>
          <w:hyperlink w:anchor="_Toc185358499" w:history="1">
            <w:r w:rsidR="0066403F" w:rsidRPr="00AF4DC1">
              <w:rPr>
                <w:rStyle w:val="Hipervnculo"/>
                <w:rFonts w:eastAsia="Times New Roman" w:cs="Times New Roman"/>
                <w:noProof/>
                <w:lang w:val="es-MX"/>
              </w:rPr>
              <w:t>3.</w:t>
            </w:r>
            <w:r w:rsidR="0066403F">
              <w:rPr>
                <w:rFonts w:asciiTheme="minorHAnsi" w:hAnsiTheme="minorHAnsi"/>
                <w:b w:val="0"/>
                <w:noProof/>
                <w:color w:val="auto"/>
                <w:kern w:val="0"/>
                <w:sz w:val="22"/>
                <w:szCs w:val="22"/>
                <w:lang w:val="es-MX" w:eastAsia="es-MX"/>
                <w14:ligatures w14:val="none"/>
              </w:rPr>
              <w:tab/>
            </w:r>
            <w:r w:rsidR="0066403F" w:rsidRPr="00AF4DC1">
              <w:rPr>
                <w:rStyle w:val="Hipervnculo"/>
                <w:rFonts w:eastAsia="Times New Roman" w:cs="Times New Roman"/>
                <w:noProof/>
                <w:lang w:val="es-MX"/>
              </w:rPr>
              <w:t>Metodología</w:t>
            </w:r>
            <w:r w:rsidR="0066403F">
              <w:rPr>
                <w:noProof/>
                <w:webHidden/>
              </w:rPr>
              <w:tab/>
            </w:r>
            <w:r w:rsidR="0066403F">
              <w:rPr>
                <w:noProof/>
                <w:webHidden/>
              </w:rPr>
              <w:fldChar w:fldCharType="begin"/>
            </w:r>
            <w:r w:rsidR="0066403F">
              <w:rPr>
                <w:noProof/>
                <w:webHidden/>
              </w:rPr>
              <w:instrText xml:space="preserve"> PAGEREF _Toc185358499 \h </w:instrText>
            </w:r>
            <w:r w:rsidR="0066403F">
              <w:rPr>
                <w:noProof/>
                <w:webHidden/>
              </w:rPr>
            </w:r>
            <w:r w:rsidR="0066403F">
              <w:rPr>
                <w:noProof/>
                <w:webHidden/>
              </w:rPr>
              <w:fldChar w:fldCharType="separate"/>
            </w:r>
            <w:r w:rsidR="00457BB3">
              <w:rPr>
                <w:noProof/>
                <w:webHidden/>
              </w:rPr>
              <w:t>6</w:t>
            </w:r>
            <w:r w:rsidR="0066403F">
              <w:rPr>
                <w:noProof/>
                <w:webHidden/>
              </w:rPr>
              <w:fldChar w:fldCharType="end"/>
            </w:r>
          </w:hyperlink>
        </w:p>
        <w:p w14:paraId="22F5B701" w14:textId="10FD0B5D" w:rsidR="0066403F" w:rsidRDefault="000C040A">
          <w:pPr>
            <w:pStyle w:val="TDC1"/>
            <w:tabs>
              <w:tab w:val="left" w:pos="560"/>
              <w:tab w:val="right" w:leader="dot" w:pos="9204"/>
            </w:tabs>
            <w:rPr>
              <w:rFonts w:asciiTheme="minorHAnsi" w:hAnsiTheme="minorHAnsi"/>
              <w:b w:val="0"/>
              <w:noProof/>
              <w:color w:val="auto"/>
              <w:kern w:val="0"/>
              <w:sz w:val="22"/>
              <w:szCs w:val="22"/>
              <w:lang w:val="es-MX" w:eastAsia="es-MX"/>
              <w14:ligatures w14:val="none"/>
            </w:rPr>
          </w:pPr>
          <w:hyperlink w:anchor="_Toc185358500" w:history="1">
            <w:r w:rsidR="0066403F" w:rsidRPr="00AF4DC1">
              <w:rPr>
                <w:rStyle w:val="Hipervnculo"/>
                <w:rFonts w:eastAsia="Times New Roman" w:cs="Times New Roman"/>
                <w:noProof/>
                <w:lang w:val="es-MX"/>
              </w:rPr>
              <w:t>4.</w:t>
            </w:r>
            <w:r w:rsidR="0066403F">
              <w:rPr>
                <w:rFonts w:asciiTheme="minorHAnsi" w:hAnsiTheme="minorHAnsi"/>
                <w:b w:val="0"/>
                <w:noProof/>
                <w:color w:val="auto"/>
                <w:kern w:val="0"/>
                <w:sz w:val="22"/>
                <w:szCs w:val="22"/>
                <w:lang w:val="es-MX" w:eastAsia="es-MX"/>
                <w14:ligatures w14:val="none"/>
              </w:rPr>
              <w:tab/>
            </w:r>
            <w:r w:rsidR="0066403F" w:rsidRPr="00AF4DC1">
              <w:rPr>
                <w:rStyle w:val="Hipervnculo"/>
                <w:rFonts w:eastAsia="Times New Roman" w:cs="Times New Roman"/>
                <w:noProof/>
                <w:lang w:val="es-MX"/>
              </w:rPr>
              <w:t>Análisis de Datos Obtenidos</w:t>
            </w:r>
            <w:r w:rsidR="0066403F">
              <w:rPr>
                <w:noProof/>
                <w:webHidden/>
              </w:rPr>
              <w:tab/>
            </w:r>
            <w:r w:rsidR="0066403F">
              <w:rPr>
                <w:noProof/>
                <w:webHidden/>
              </w:rPr>
              <w:fldChar w:fldCharType="begin"/>
            </w:r>
            <w:r w:rsidR="0066403F">
              <w:rPr>
                <w:noProof/>
                <w:webHidden/>
              </w:rPr>
              <w:instrText xml:space="preserve"> PAGEREF _Toc185358500 \h </w:instrText>
            </w:r>
            <w:r w:rsidR="0066403F">
              <w:rPr>
                <w:noProof/>
                <w:webHidden/>
              </w:rPr>
            </w:r>
            <w:r w:rsidR="0066403F">
              <w:rPr>
                <w:noProof/>
                <w:webHidden/>
              </w:rPr>
              <w:fldChar w:fldCharType="separate"/>
            </w:r>
            <w:r w:rsidR="00457BB3">
              <w:rPr>
                <w:noProof/>
                <w:webHidden/>
              </w:rPr>
              <w:t>10</w:t>
            </w:r>
            <w:r w:rsidR="0066403F">
              <w:rPr>
                <w:noProof/>
                <w:webHidden/>
              </w:rPr>
              <w:fldChar w:fldCharType="end"/>
            </w:r>
          </w:hyperlink>
        </w:p>
        <w:p w14:paraId="477A5896" w14:textId="3BBADB57" w:rsidR="0066403F" w:rsidRDefault="000C040A">
          <w:pPr>
            <w:pStyle w:val="TDC1"/>
            <w:tabs>
              <w:tab w:val="left" w:pos="560"/>
              <w:tab w:val="right" w:leader="dot" w:pos="9204"/>
            </w:tabs>
            <w:rPr>
              <w:rFonts w:asciiTheme="minorHAnsi" w:hAnsiTheme="minorHAnsi"/>
              <w:b w:val="0"/>
              <w:noProof/>
              <w:color w:val="auto"/>
              <w:kern w:val="0"/>
              <w:sz w:val="22"/>
              <w:szCs w:val="22"/>
              <w:lang w:val="es-MX" w:eastAsia="es-MX"/>
              <w14:ligatures w14:val="none"/>
            </w:rPr>
          </w:pPr>
          <w:hyperlink w:anchor="_Toc185358501" w:history="1">
            <w:r w:rsidR="0066403F" w:rsidRPr="00AF4DC1">
              <w:rPr>
                <w:rStyle w:val="Hipervnculo"/>
                <w:rFonts w:eastAsia="Times New Roman" w:cs="Times New Roman"/>
                <w:noProof/>
                <w:lang w:val="es-MX"/>
              </w:rPr>
              <w:t>4.1.</w:t>
            </w:r>
            <w:r w:rsidR="0066403F">
              <w:rPr>
                <w:rFonts w:asciiTheme="minorHAnsi" w:hAnsiTheme="minorHAnsi"/>
                <w:b w:val="0"/>
                <w:noProof/>
                <w:color w:val="auto"/>
                <w:kern w:val="0"/>
                <w:sz w:val="22"/>
                <w:szCs w:val="22"/>
                <w:lang w:val="es-MX" w:eastAsia="es-MX"/>
                <w14:ligatures w14:val="none"/>
              </w:rPr>
              <w:tab/>
            </w:r>
            <w:r w:rsidR="0066403F" w:rsidRPr="00AF4DC1">
              <w:rPr>
                <w:rStyle w:val="Hipervnculo"/>
                <w:rFonts w:eastAsia="Times New Roman" w:cs="Times New Roman"/>
                <w:noProof/>
                <w:lang w:val="es-MX"/>
              </w:rPr>
              <w:t>Consulta Pública de Evaluación</w:t>
            </w:r>
            <w:r w:rsidR="0066403F">
              <w:rPr>
                <w:noProof/>
                <w:webHidden/>
              </w:rPr>
              <w:tab/>
            </w:r>
            <w:r w:rsidR="0066403F">
              <w:rPr>
                <w:noProof/>
                <w:webHidden/>
              </w:rPr>
              <w:fldChar w:fldCharType="begin"/>
            </w:r>
            <w:r w:rsidR="0066403F">
              <w:rPr>
                <w:noProof/>
                <w:webHidden/>
              </w:rPr>
              <w:instrText xml:space="preserve"> PAGEREF _Toc185358501 \h </w:instrText>
            </w:r>
            <w:r w:rsidR="0066403F">
              <w:rPr>
                <w:noProof/>
                <w:webHidden/>
              </w:rPr>
            </w:r>
            <w:r w:rsidR="0066403F">
              <w:rPr>
                <w:noProof/>
                <w:webHidden/>
              </w:rPr>
              <w:fldChar w:fldCharType="separate"/>
            </w:r>
            <w:r w:rsidR="00457BB3">
              <w:rPr>
                <w:noProof/>
                <w:webHidden/>
              </w:rPr>
              <w:t>10</w:t>
            </w:r>
            <w:r w:rsidR="0066403F">
              <w:rPr>
                <w:noProof/>
                <w:webHidden/>
              </w:rPr>
              <w:fldChar w:fldCharType="end"/>
            </w:r>
          </w:hyperlink>
        </w:p>
        <w:p w14:paraId="3BA54750" w14:textId="42E0A9A3" w:rsidR="0066403F" w:rsidRDefault="000C040A">
          <w:pPr>
            <w:pStyle w:val="TDC1"/>
            <w:tabs>
              <w:tab w:val="left" w:pos="560"/>
              <w:tab w:val="right" w:leader="dot" w:pos="9204"/>
            </w:tabs>
            <w:rPr>
              <w:rFonts w:asciiTheme="minorHAnsi" w:hAnsiTheme="minorHAnsi"/>
              <w:b w:val="0"/>
              <w:noProof/>
              <w:color w:val="auto"/>
              <w:kern w:val="0"/>
              <w:sz w:val="22"/>
              <w:szCs w:val="22"/>
              <w:lang w:val="es-MX" w:eastAsia="es-MX"/>
              <w14:ligatures w14:val="none"/>
            </w:rPr>
          </w:pPr>
          <w:hyperlink w:anchor="_Toc185358502" w:history="1">
            <w:r w:rsidR="0066403F" w:rsidRPr="00AF4DC1">
              <w:rPr>
                <w:rStyle w:val="Hipervnculo"/>
                <w:rFonts w:eastAsia="Times New Roman" w:cs="Times New Roman"/>
                <w:noProof/>
                <w:lang w:val="es-MX"/>
              </w:rPr>
              <w:t>4.2.</w:t>
            </w:r>
            <w:r w:rsidR="0066403F">
              <w:rPr>
                <w:rFonts w:asciiTheme="minorHAnsi" w:hAnsiTheme="minorHAnsi"/>
                <w:b w:val="0"/>
                <w:noProof/>
                <w:color w:val="auto"/>
                <w:kern w:val="0"/>
                <w:sz w:val="22"/>
                <w:szCs w:val="22"/>
                <w:lang w:val="es-MX" w:eastAsia="es-MX"/>
                <w14:ligatures w14:val="none"/>
              </w:rPr>
              <w:tab/>
            </w:r>
            <w:r w:rsidR="0066403F" w:rsidRPr="00AF4DC1">
              <w:rPr>
                <w:rStyle w:val="Hipervnculo"/>
                <w:rFonts w:eastAsia="Times New Roman" w:cs="Times New Roman"/>
                <w:noProof/>
                <w:lang w:val="es-MX"/>
              </w:rPr>
              <w:t>Encuesta de satisfacción de la Ventanilla Electrónica</w:t>
            </w:r>
            <w:r w:rsidR="0066403F">
              <w:rPr>
                <w:noProof/>
                <w:webHidden/>
              </w:rPr>
              <w:tab/>
            </w:r>
            <w:r w:rsidR="0066403F">
              <w:rPr>
                <w:noProof/>
                <w:webHidden/>
              </w:rPr>
              <w:fldChar w:fldCharType="begin"/>
            </w:r>
            <w:r w:rsidR="0066403F">
              <w:rPr>
                <w:noProof/>
                <w:webHidden/>
              </w:rPr>
              <w:instrText xml:space="preserve"> PAGEREF _Toc185358502 \h </w:instrText>
            </w:r>
            <w:r w:rsidR="0066403F">
              <w:rPr>
                <w:noProof/>
                <w:webHidden/>
              </w:rPr>
            </w:r>
            <w:r w:rsidR="0066403F">
              <w:rPr>
                <w:noProof/>
                <w:webHidden/>
              </w:rPr>
              <w:fldChar w:fldCharType="separate"/>
            </w:r>
            <w:r w:rsidR="00457BB3">
              <w:rPr>
                <w:noProof/>
                <w:webHidden/>
              </w:rPr>
              <w:t>23</w:t>
            </w:r>
            <w:r w:rsidR="0066403F">
              <w:rPr>
                <w:noProof/>
                <w:webHidden/>
              </w:rPr>
              <w:fldChar w:fldCharType="end"/>
            </w:r>
          </w:hyperlink>
        </w:p>
        <w:p w14:paraId="4EAD9337" w14:textId="0EFB8910" w:rsidR="0066403F" w:rsidRDefault="000C040A">
          <w:pPr>
            <w:pStyle w:val="TDC1"/>
            <w:tabs>
              <w:tab w:val="left" w:pos="560"/>
              <w:tab w:val="right" w:leader="dot" w:pos="9204"/>
            </w:tabs>
            <w:rPr>
              <w:rFonts w:asciiTheme="minorHAnsi" w:hAnsiTheme="minorHAnsi"/>
              <w:b w:val="0"/>
              <w:noProof/>
              <w:color w:val="auto"/>
              <w:kern w:val="0"/>
              <w:sz w:val="22"/>
              <w:szCs w:val="22"/>
              <w:lang w:val="es-MX" w:eastAsia="es-MX"/>
              <w14:ligatures w14:val="none"/>
            </w:rPr>
          </w:pPr>
          <w:hyperlink w:anchor="_Toc185358503" w:history="1">
            <w:r w:rsidR="0066403F" w:rsidRPr="00AF4DC1">
              <w:rPr>
                <w:rStyle w:val="Hipervnculo"/>
                <w:rFonts w:eastAsia="Times New Roman" w:cs="Times New Roman"/>
                <w:noProof/>
                <w:lang w:val="es-MX"/>
              </w:rPr>
              <w:t>5.</w:t>
            </w:r>
            <w:r w:rsidR="0066403F">
              <w:rPr>
                <w:rFonts w:asciiTheme="minorHAnsi" w:hAnsiTheme="minorHAnsi"/>
                <w:b w:val="0"/>
                <w:noProof/>
                <w:color w:val="auto"/>
                <w:kern w:val="0"/>
                <w:sz w:val="22"/>
                <w:szCs w:val="22"/>
                <w:lang w:val="es-MX" w:eastAsia="es-MX"/>
                <w14:ligatures w14:val="none"/>
              </w:rPr>
              <w:tab/>
            </w:r>
            <w:r w:rsidR="0066403F" w:rsidRPr="00AF4DC1">
              <w:rPr>
                <w:rStyle w:val="Hipervnculo"/>
                <w:rFonts w:eastAsia="Times New Roman" w:cs="Times New Roman"/>
                <w:noProof/>
                <w:lang w:val="es-MX"/>
              </w:rPr>
              <w:t>Facilidad de Uso y Accesibilidad de la Ventanilla Electrónica</w:t>
            </w:r>
            <w:r w:rsidR="0066403F">
              <w:rPr>
                <w:noProof/>
                <w:webHidden/>
              </w:rPr>
              <w:tab/>
            </w:r>
            <w:r w:rsidR="0066403F">
              <w:rPr>
                <w:noProof/>
                <w:webHidden/>
              </w:rPr>
              <w:fldChar w:fldCharType="begin"/>
            </w:r>
            <w:r w:rsidR="0066403F">
              <w:rPr>
                <w:noProof/>
                <w:webHidden/>
              </w:rPr>
              <w:instrText xml:space="preserve"> PAGEREF _Toc185358503 \h </w:instrText>
            </w:r>
            <w:r w:rsidR="0066403F">
              <w:rPr>
                <w:noProof/>
                <w:webHidden/>
              </w:rPr>
            </w:r>
            <w:r w:rsidR="0066403F">
              <w:rPr>
                <w:noProof/>
                <w:webHidden/>
              </w:rPr>
              <w:fldChar w:fldCharType="separate"/>
            </w:r>
            <w:r w:rsidR="00457BB3">
              <w:rPr>
                <w:noProof/>
                <w:webHidden/>
              </w:rPr>
              <w:t>26</w:t>
            </w:r>
            <w:r w:rsidR="0066403F">
              <w:rPr>
                <w:noProof/>
                <w:webHidden/>
              </w:rPr>
              <w:fldChar w:fldCharType="end"/>
            </w:r>
          </w:hyperlink>
        </w:p>
        <w:p w14:paraId="73F585EF" w14:textId="70B691B9" w:rsidR="0066403F" w:rsidRDefault="000C040A">
          <w:pPr>
            <w:pStyle w:val="TDC1"/>
            <w:tabs>
              <w:tab w:val="left" w:pos="560"/>
              <w:tab w:val="right" w:leader="dot" w:pos="9204"/>
            </w:tabs>
            <w:rPr>
              <w:rFonts w:asciiTheme="minorHAnsi" w:hAnsiTheme="minorHAnsi"/>
              <w:b w:val="0"/>
              <w:noProof/>
              <w:color w:val="auto"/>
              <w:kern w:val="0"/>
              <w:sz w:val="22"/>
              <w:szCs w:val="22"/>
              <w:lang w:val="es-MX" w:eastAsia="es-MX"/>
              <w14:ligatures w14:val="none"/>
            </w:rPr>
          </w:pPr>
          <w:hyperlink w:anchor="_Toc185358504" w:history="1">
            <w:r w:rsidR="0066403F" w:rsidRPr="00AF4DC1">
              <w:rPr>
                <w:rStyle w:val="Hipervnculo"/>
                <w:rFonts w:eastAsia="Times New Roman" w:cs="Times New Roman"/>
                <w:noProof/>
                <w:lang w:val="es-MX"/>
              </w:rPr>
              <w:t>6.</w:t>
            </w:r>
            <w:r w:rsidR="0066403F">
              <w:rPr>
                <w:rFonts w:asciiTheme="minorHAnsi" w:hAnsiTheme="minorHAnsi"/>
                <w:b w:val="0"/>
                <w:noProof/>
                <w:color w:val="auto"/>
                <w:kern w:val="0"/>
                <w:sz w:val="22"/>
                <w:szCs w:val="22"/>
                <w:lang w:val="es-MX" w:eastAsia="es-MX"/>
                <w14:ligatures w14:val="none"/>
              </w:rPr>
              <w:tab/>
            </w:r>
            <w:r w:rsidR="0066403F" w:rsidRPr="00AF4DC1">
              <w:rPr>
                <w:rStyle w:val="Hipervnculo"/>
                <w:rFonts w:eastAsia="Times New Roman" w:cs="Times New Roman"/>
                <w:noProof/>
                <w:lang w:val="es-MX"/>
              </w:rPr>
              <w:t>Análisis Comparativo: Ventanilla Electrónica vs. Estrategia General</w:t>
            </w:r>
            <w:r w:rsidR="0066403F">
              <w:rPr>
                <w:noProof/>
                <w:webHidden/>
              </w:rPr>
              <w:tab/>
            </w:r>
            <w:r w:rsidR="0066403F">
              <w:rPr>
                <w:noProof/>
                <w:webHidden/>
              </w:rPr>
              <w:fldChar w:fldCharType="begin"/>
            </w:r>
            <w:r w:rsidR="0066403F">
              <w:rPr>
                <w:noProof/>
                <w:webHidden/>
              </w:rPr>
              <w:instrText xml:space="preserve"> PAGEREF _Toc185358504 \h </w:instrText>
            </w:r>
            <w:r w:rsidR="0066403F">
              <w:rPr>
                <w:noProof/>
                <w:webHidden/>
              </w:rPr>
            </w:r>
            <w:r w:rsidR="0066403F">
              <w:rPr>
                <w:noProof/>
                <w:webHidden/>
              </w:rPr>
              <w:fldChar w:fldCharType="separate"/>
            </w:r>
            <w:r w:rsidR="00457BB3">
              <w:rPr>
                <w:noProof/>
                <w:webHidden/>
              </w:rPr>
              <w:t>29</w:t>
            </w:r>
            <w:r w:rsidR="0066403F">
              <w:rPr>
                <w:noProof/>
                <w:webHidden/>
              </w:rPr>
              <w:fldChar w:fldCharType="end"/>
            </w:r>
          </w:hyperlink>
        </w:p>
        <w:p w14:paraId="2D2023AD" w14:textId="1141A306" w:rsidR="0066403F" w:rsidRDefault="000C040A">
          <w:pPr>
            <w:pStyle w:val="TDC1"/>
            <w:tabs>
              <w:tab w:val="left" w:pos="560"/>
              <w:tab w:val="right" w:leader="dot" w:pos="9204"/>
            </w:tabs>
            <w:rPr>
              <w:rFonts w:asciiTheme="minorHAnsi" w:hAnsiTheme="minorHAnsi"/>
              <w:b w:val="0"/>
              <w:noProof/>
              <w:color w:val="auto"/>
              <w:kern w:val="0"/>
              <w:sz w:val="22"/>
              <w:szCs w:val="22"/>
              <w:lang w:val="es-MX" w:eastAsia="es-MX"/>
              <w14:ligatures w14:val="none"/>
            </w:rPr>
          </w:pPr>
          <w:hyperlink w:anchor="_Toc185358505" w:history="1">
            <w:r w:rsidR="0066403F" w:rsidRPr="00AF4DC1">
              <w:rPr>
                <w:rStyle w:val="Hipervnculo"/>
                <w:rFonts w:eastAsia="Times New Roman" w:cs="Times New Roman"/>
                <w:noProof/>
                <w:lang w:val="es-MX"/>
              </w:rPr>
              <w:t>7.</w:t>
            </w:r>
            <w:r w:rsidR="0066403F">
              <w:rPr>
                <w:rFonts w:asciiTheme="minorHAnsi" w:hAnsiTheme="minorHAnsi"/>
                <w:b w:val="0"/>
                <w:noProof/>
                <w:color w:val="auto"/>
                <w:kern w:val="0"/>
                <w:sz w:val="22"/>
                <w:szCs w:val="22"/>
                <w:lang w:val="es-MX" w:eastAsia="es-MX"/>
                <w14:ligatures w14:val="none"/>
              </w:rPr>
              <w:tab/>
            </w:r>
            <w:r w:rsidR="0066403F" w:rsidRPr="00AF4DC1">
              <w:rPr>
                <w:rStyle w:val="Hipervnculo"/>
                <w:rFonts w:eastAsia="Times New Roman" w:cs="Times New Roman"/>
                <w:noProof/>
                <w:lang w:val="es-MX"/>
              </w:rPr>
              <w:t>Retroalimentación y Sugerencias de las personas usuarias en la Consulta Pública versus las Encuestas de Satisfacción</w:t>
            </w:r>
            <w:r w:rsidR="0066403F">
              <w:rPr>
                <w:noProof/>
                <w:webHidden/>
              </w:rPr>
              <w:tab/>
            </w:r>
            <w:r w:rsidR="0066403F">
              <w:rPr>
                <w:noProof/>
                <w:webHidden/>
              </w:rPr>
              <w:fldChar w:fldCharType="begin"/>
            </w:r>
            <w:r w:rsidR="0066403F">
              <w:rPr>
                <w:noProof/>
                <w:webHidden/>
              </w:rPr>
              <w:instrText xml:space="preserve"> PAGEREF _Toc185358505 \h </w:instrText>
            </w:r>
            <w:r w:rsidR="0066403F">
              <w:rPr>
                <w:noProof/>
                <w:webHidden/>
              </w:rPr>
            </w:r>
            <w:r w:rsidR="0066403F">
              <w:rPr>
                <w:noProof/>
                <w:webHidden/>
              </w:rPr>
              <w:fldChar w:fldCharType="separate"/>
            </w:r>
            <w:r w:rsidR="00457BB3">
              <w:rPr>
                <w:noProof/>
                <w:webHidden/>
              </w:rPr>
              <w:t>31</w:t>
            </w:r>
            <w:r w:rsidR="0066403F">
              <w:rPr>
                <w:noProof/>
                <w:webHidden/>
              </w:rPr>
              <w:fldChar w:fldCharType="end"/>
            </w:r>
          </w:hyperlink>
        </w:p>
        <w:p w14:paraId="45057572" w14:textId="2BBBEB0B" w:rsidR="0066403F" w:rsidRDefault="000C040A">
          <w:pPr>
            <w:pStyle w:val="TDC1"/>
            <w:tabs>
              <w:tab w:val="left" w:pos="560"/>
              <w:tab w:val="right" w:leader="dot" w:pos="9204"/>
            </w:tabs>
            <w:rPr>
              <w:rFonts w:asciiTheme="minorHAnsi" w:hAnsiTheme="minorHAnsi"/>
              <w:b w:val="0"/>
              <w:noProof/>
              <w:color w:val="auto"/>
              <w:kern w:val="0"/>
              <w:sz w:val="22"/>
              <w:szCs w:val="22"/>
              <w:lang w:val="es-MX" w:eastAsia="es-MX"/>
              <w14:ligatures w14:val="none"/>
            </w:rPr>
          </w:pPr>
          <w:hyperlink w:anchor="_Toc185358506" w:history="1">
            <w:r w:rsidR="0066403F" w:rsidRPr="00AF4DC1">
              <w:rPr>
                <w:rStyle w:val="Hipervnculo"/>
                <w:rFonts w:eastAsia="Times New Roman" w:cs="Times New Roman"/>
                <w:noProof/>
                <w:lang w:val="es-MX"/>
              </w:rPr>
              <w:t>8.</w:t>
            </w:r>
            <w:r w:rsidR="0066403F">
              <w:rPr>
                <w:rFonts w:asciiTheme="minorHAnsi" w:hAnsiTheme="minorHAnsi"/>
                <w:b w:val="0"/>
                <w:noProof/>
                <w:color w:val="auto"/>
                <w:kern w:val="0"/>
                <w:sz w:val="22"/>
                <w:szCs w:val="22"/>
                <w:lang w:val="es-MX" w:eastAsia="es-MX"/>
                <w14:ligatures w14:val="none"/>
              </w:rPr>
              <w:tab/>
            </w:r>
            <w:r w:rsidR="0066403F" w:rsidRPr="00AF4DC1">
              <w:rPr>
                <w:rStyle w:val="Hipervnculo"/>
                <w:rFonts w:eastAsia="Times New Roman" w:cs="Times New Roman"/>
                <w:noProof/>
                <w:lang w:val="es-MX"/>
              </w:rPr>
              <w:t>Resumen de las Encuestas Recibidas por Trimestres</w:t>
            </w:r>
            <w:r w:rsidR="0066403F">
              <w:rPr>
                <w:noProof/>
                <w:webHidden/>
              </w:rPr>
              <w:tab/>
            </w:r>
            <w:r w:rsidR="0066403F">
              <w:rPr>
                <w:noProof/>
                <w:webHidden/>
              </w:rPr>
              <w:fldChar w:fldCharType="begin"/>
            </w:r>
            <w:r w:rsidR="0066403F">
              <w:rPr>
                <w:noProof/>
                <w:webHidden/>
              </w:rPr>
              <w:instrText xml:space="preserve"> PAGEREF _Toc185358506 \h </w:instrText>
            </w:r>
            <w:r w:rsidR="0066403F">
              <w:rPr>
                <w:noProof/>
                <w:webHidden/>
              </w:rPr>
            </w:r>
            <w:r w:rsidR="0066403F">
              <w:rPr>
                <w:noProof/>
                <w:webHidden/>
              </w:rPr>
              <w:fldChar w:fldCharType="separate"/>
            </w:r>
            <w:r w:rsidR="00457BB3">
              <w:rPr>
                <w:noProof/>
                <w:webHidden/>
              </w:rPr>
              <w:t>35</w:t>
            </w:r>
            <w:r w:rsidR="0066403F">
              <w:rPr>
                <w:noProof/>
                <w:webHidden/>
              </w:rPr>
              <w:fldChar w:fldCharType="end"/>
            </w:r>
          </w:hyperlink>
        </w:p>
        <w:p w14:paraId="7D7768D5" w14:textId="1D7A9717" w:rsidR="0066403F" w:rsidRDefault="000C040A">
          <w:pPr>
            <w:pStyle w:val="TDC1"/>
            <w:tabs>
              <w:tab w:val="right" w:leader="dot" w:pos="9204"/>
            </w:tabs>
            <w:rPr>
              <w:rFonts w:asciiTheme="minorHAnsi" w:hAnsiTheme="minorHAnsi"/>
              <w:b w:val="0"/>
              <w:noProof/>
              <w:color w:val="auto"/>
              <w:kern w:val="0"/>
              <w:sz w:val="22"/>
              <w:szCs w:val="22"/>
              <w:lang w:val="es-MX" w:eastAsia="es-MX"/>
              <w14:ligatures w14:val="none"/>
            </w:rPr>
          </w:pPr>
          <w:hyperlink w:anchor="_Toc185358507" w:history="1">
            <w:r w:rsidR="0066403F" w:rsidRPr="00AF4DC1">
              <w:rPr>
                <w:rStyle w:val="Hipervnculo"/>
                <w:rFonts w:eastAsia="Times New Roman" w:cs="Times New Roman"/>
                <w:noProof/>
                <w:lang w:val="es-MX"/>
              </w:rPr>
              <w:t>9. Conclusiones y Recomendaciones</w:t>
            </w:r>
            <w:r w:rsidR="0066403F">
              <w:rPr>
                <w:noProof/>
                <w:webHidden/>
              </w:rPr>
              <w:tab/>
            </w:r>
            <w:r w:rsidR="0066403F">
              <w:rPr>
                <w:noProof/>
                <w:webHidden/>
              </w:rPr>
              <w:fldChar w:fldCharType="begin"/>
            </w:r>
            <w:r w:rsidR="0066403F">
              <w:rPr>
                <w:noProof/>
                <w:webHidden/>
              </w:rPr>
              <w:instrText xml:space="preserve"> PAGEREF _Toc185358507 \h </w:instrText>
            </w:r>
            <w:r w:rsidR="0066403F">
              <w:rPr>
                <w:noProof/>
                <w:webHidden/>
              </w:rPr>
            </w:r>
            <w:r w:rsidR="0066403F">
              <w:rPr>
                <w:noProof/>
                <w:webHidden/>
              </w:rPr>
              <w:fldChar w:fldCharType="separate"/>
            </w:r>
            <w:r w:rsidR="00457BB3">
              <w:rPr>
                <w:noProof/>
                <w:webHidden/>
              </w:rPr>
              <w:t>38</w:t>
            </w:r>
            <w:r w:rsidR="0066403F">
              <w:rPr>
                <w:noProof/>
                <w:webHidden/>
              </w:rPr>
              <w:fldChar w:fldCharType="end"/>
            </w:r>
          </w:hyperlink>
        </w:p>
        <w:p w14:paraId="68FDAC16" w14:textId="14BBBAE0" w:rsidR="0066403F" w:rsidRDefault="000C040A">
          <w:pPr>
            <w:pStyle w:val="TDC1"/>
            <w:tabs>
              <w:tab w:val="right" w:leader="dot" w:pos="9204"/>
            </w:tabs>
            <w:rPr>
              <w:rFonts w:asciiTheme="minorHAnsi" w:hAnsiTheme="minorHAnsi"/>
              <w:b w:val="0"/>
              <w:noProof/>
              <w:color w:val="auto"/>
              <w:kern w:val="0"/>
              <w:sz w:val="22"/>
              <w:szCs w:val="22"/>
              <w:lang w:val="es-MX" w:eastAsia="es-MX"/>
              <w14:ligatures w14:val="none"/>
            </w:rPr>
          </w:pPr>
          <w:hyperlink w:anchor="_Toc185358508" w:history="1">
            <w:r w:rsidR="0066403F" w:rsidRPr="00AF4DC1">
              <w:rPr>
                <w:rStyle w:val="Hipervnculo"/>
                <w:rFonts w:eastAsia="Times New Roman" w:cs="Times New Roman"/>
                <w:noProof/>
                <w:lang w:val="es-MX"/>
              </w:rPr>
              <w:t xml:space="preserve">10. </w:t>
            </w:r>
            <w:r w:rsidR="0066403F" w:rsidRPr="00AF4DC1">
              <w:rPr>
                <w:rStyle w:val="Hipervnculo"/>
                <w:rFonts w:eastAsia="Calibri" w:cs="Times New Roman"/>
                <w:noProof/>
                <w:lang w:val="es-MX"/>
              </w:rPr>
              <w:t>Bibliografía</w:t>
            </w:r>
            <w:r w:rsidR="0066403F">
              <w:rPr>
                <w:noProof/>
                <w:webHidden/>
              </w:rPr>
              <w:tab/>
            </w:r>
            <w:r w:rsidR="0066403F">
              <w:rPr>
                <w:noProof/>
                <w:webHidden/>
              </w:rPr>
              <w:fldChar w:fldCharType="begin"/>
            </w:r>
            <w:r w:rsidR="0066403F">
              <w:rPr>
                <w:noProof/>
                <w:webHidden/>
              </w:rPr>
              <w:instrText xml:space="preserve"> PAGEREF _Toc185358508 \h </w:instrText>
            </w:r>
            <w:r w:rsidR="0066403F">
              <w:rPr>
                <w:noProof/>
                <w:webHidden/>
              </w:rPr>
            </w:r>
            <w:r w:rsidR="0066403F">
              <w:rPr>
                <w:noProof/>
                <w:webHidden/>
              </w:rPr>
              <w:fldChar w:fldCharType="separate"/>
            </w:r>
            <w:r w:rsidR="00457BB3">
              <w:rPr>
                <w:noProof/>
                <w:webHidden/>
              </w:rPr>
              <w:t>40</w:t>
            </w:r>
            <w:r w:rsidR="0066403F">
              <w:rPr>
                <w:noProof/>
                <w:webHidden/>
              </w:rPr>
              <w:fldChar w:fldCharType="end"/>
            </w:r>
          </w:hyperlink>
        </w:p>
        <w:p w14:paraId="66BFB9CE" w14:textId="77777777" w:rsidR="0066403F" w:rsidRDefault="0066403F">
          <w:r w:rsidRPr="0066403F">
            <w:rPr>
              <w:rFonts w:ascii="ITC Avant Garde" w:hAnsi="ITC Avant Garde"/>
              <w:bCs/>
            </w:rPr>
            <w:fldChar w:fldCharType="end"/>
          </w:r>
        </w:p>
      </w:sdtContent>
    </w:sdt>
    <w:p w14:paraId="644810AA" w14:textId="77777777" w:rsidR="0066403F" w:rsidRPr="00705F5A" w:rsidRDefault="0066403F" w:rsidP="0066403F">
      <w:pPr>
        <w:rPr>
          <w:color w:val="auto"/>
        </w:rPr>
      </w:pPr>
    </w:p>
    <w:p w14:paraId="3BB43B20" w14:textId="77777777" w:rsidR="0066403F" w:rsidRPr="00705F5A" w:rsidRDefault="0066403F" w:rsidP="0066403F">
      <w:pPr>
        <w:rPr>
          <w:color w:val="auto"/>
        </w:rPr>
      </w:pPr>
    </w:p>
    <w:p w14:paraId="0C4D0DA6" w14:textId="77777777" w:rsidR="0066403F" w:rsidRPr="00705F5A" w:rsidRDefault="0066403F" w:rsidP="0066403F">
      <w:pPr>
        <w:rPr>
          <w:color w:val="auto"/>
        </w:rPr>
      </w:pPr>
    </w:p>
    <w:p w14:paraId="031156AD" w14:textId="77777777" w:rsidR="0066403F" w:rsidRPr="00705F5A" w:rsidRDefault="0066403F" w:rsidP="0066403F">
      <w:pPr>
        <w:rPr>
          <w:color w:val="auto"/>
        </w:rPr>
      </w:pPr>
    </w:p>
    <w:p w14:paraId="4B36D542" w14:textId="77777777" w:rsidR="0066403F" w:rsidRDefault="0066403F" w:rsidP="0066403F"/>
    <w:p w14:paraId="11A0177A" w14:textId="77777777" w:rsidR="0066403F" w:rsidRDefault="0066403F" w:rsidP="0066403F"/>
    <w:p w14:paraId="45B16D46" w14:textId="77777777" w:rsidR="0066403F" w:rsidRDefault="0066403F" w:rsidP="0066403F">
      <w:bookmarkStart w:id="0" w:name="_GoBack"/>
      <w:bookmarkEnd w:id="0"/>
    </w:p>
    <w:p w14:paraId="42B9FAFC" w14:textId="77777777" w:rsidR="0066403F" w:rsidRDefault="0066403F" w:rsidP="0066403F"/>
    <w:p w14:paraId="73DE663E" w14:textId="77777777" w:rsidR="0066403F" w:rsidRDefault="0066403F" w:rsidP="0066403F"/>
    <w:p w14:paraId="36054A6A" w14:textId="77777777" w:rsidR="0066403F" w:rsidRDefault="0066403F" w:rsidP="0066403F"/>
    <w:p w14:paraId="0404A1F3" w14:textId="77777777" w:rsidR="0066403F" w:rsidRDefault="0066403F" w:rsidP="0066403F"/>
    <w:p w14:paraId="40C587CC" w14:textId="77777777" w:rsidR="0066403F" w:rsidRDefault="0066403F" w:rsidP="0066403F"/>
    <w:p w14:paraId="74F77080" w14:textId="77777777" w:rsidR="0066403F" w:rsidRDefault="0066403F" w:rsidP="0066403F"/>
    <w:p w14:paraId="53A3E512" w14:textId="77777777" w:rsidR="0066403F" w:rsidRDefault="0066403F" w:rsidP="0066403F"/>
    <w:p w14:paraId="5197C612" w14:textId="77777777" w:rsidR="0066403F" w:rsidRDefault="0066403F" w:rsidP="0066403F"/>
    <w:p w14:paraId="469674E9" w14:textId="77777777" w:rsidR="0066403F" w:rsidRDefault="0066403F" w:rsidP="0066403F"/>
    <w:p w14:paraId="150FD65B" w14:textId="77777777" w:rsidR="0066403F" w:rsidRPr="001C22B9" w:rsidRDefault="0066403F" w:rsidP="0066403F">
      <w:pPr>
        <w:pStyle w:val="Prrafodelista"/>
        <w:keepNext/>
        <w:keepLines/>
        <w:numPr>
          <w:ilvl w:val="0"/>
          <w:numId w:val="41"/>
        </w:numPr>
        <w:spacing w:before="240" w:after="240" w:line="278" w:lineRule="auto"/>
        <w:jc w:val="both"/>
        <w:outlineLvl w:val="0"/>
        <w:rPr>
          <w:rFonts w:ascii="ITC Avant Garde" w:eastAsia="Times New Roman" w:hAnsi="ITC Avant Garde" w:cs="Times New Roman"/>
          <w:color w:val="auto"/>
          <w:kern w:val="2"/>
          <w:sz w:val="24"/>
          <w:szCs w:val="32"/>
          <w:lang w:val="es-MX"/>
          <w14:ligatures w14:val="standardContextual"/>
        </w:rPr>
      </w:pPr>
      <w:bookmarkStart w:id="1" w:name="_Toc183000908"/>
      <w:bookmarkStart w:id="2" w:name="_Toc185357315"/>
      <w:bookmarkStart w:id="3" w:name="_Toc185358243"/>
      <w:bookmarkStart w:id="4" w:name="_Toc185358496"/>
      <w:bookmarkStart w:id="5" w:name="_Hlk183000311"/>
      <w:bookmarkStart w:id="6" w:name="_Hlk185357920"/>
      <w:r w:rsidRPr="001C22B9">
        <w:rPr>
          <w:rFonts w:ascii="ITC Avant Garde" w:eastAsia="Times New Roman" w:hAnsi="ITC Avant Garde" w:cs="Times New Roman"/>
          <w:color w:val="auto"/>
          <w:kern w:val="2"/>
          <w:sz w:val="24"/>
          <w:szCs w:val="32"/>
          <w:lang w:val="es-MX"/>
          <w14:ligatures w14:val="standardContextual"/>
        </w:rPr>
        <w:lastRenderedPageBreak/>
        <w:t>Presentación</w:t>
      </w:r>
      <w:bookmarkEnd w:id="1"/>
      <w:bookmarkEnd w:id="2"/>
      <w:bookmarkEnd w:id="3"/>
      <w:bookmarkEnd w:id="4"/>
    </w:p>
    <w:bookmarkEnd w:id="5"/>
    <w:p w14:paraId="1B9F0E05" w14:textId="77777777" w:rsidR="0066403F" w:rsidRPr="00B977DE" w:rsidRDefault="0066403F" w:rsidP="0066403F">
      <w:pPr>
        <w:spacing w:line="240" w:lineRule="auto"/>
        <w:jc w:val="both"/>
        <w:rPr>
          <w:rFonts w:ascii="ITC Avant Garde" w:eastAsia="Calibri" w:hAnsi="ITC Avant Garde" w:cs="Times New Roman"/>
          <w:b w:val="0"/>
          <w:i/>
          <w:color w:val="auto"/>
          <w:kern w:val="2"/>
          <w:sz w:val="20"/>
          <w:szCs w:val="20"/>
          <w:lang w:val="es-MX"/>
          <w14:ligatures w14:val="standardContextual"/>
        </w:rPr>
      </w:pPr>
      <w:r w:rsidRPr="00110BDE">
        <w:rPr>
          <w:rFonts w:ascii="ITC Avant Garde" w:eastAsia="Calibri" w:hAnsi="ITC Avant Garde" w:cs="Times New Roman"/>
          <w:b w:val="0"/>
          <w:color w:val="auto"/>
          <w:kern w:val="2"/>
          <w:sz w:val="20"/>
          <w:szCs w:val="20"/>
          <w:lang w:val="es-MX"/>
          <w14:ligatures w14:val="standardContextual"/>
        </w:rPr>
        <w:t xml:space="preserve">En la Ciudad de México, en el cuarto trimestre de dos mil veinticuatro, el Instituto Federal de Telecomunicaciones (en lo sucesivo, el “IFT” o “Instituto”), mediante su Coordinación General de Mejora Regulatoria (en adelante, la “CGMR”), presenta el </w:t>
      </w:r>
      <w:r w:rsidRPr="00C22874">
        <w:rPr>
          <w:rFonts w:ascii="ITC Avant Garde" w:eastAsia="Calibri" w:hAnsi="ITC Avant Garde" w:cs="Times New Roman"/>
          <w:b w:val="0"/>
          <w:i/>
          <w:color w:val="auto"/>
          <w:kern w:val="2"/>
          <w:sz w:val="20"/>
          <w:szCs w:val="20"/>
          <w:lang w:val="es-MX"/>
          <w14:ligatures w14:val="standardContextual"/>
        </w:rPr>
        <w:t>Reporte Especial sobre la Percepción Ciudadana de la estrategia de Gobierno Electrónico del IFT</w:t>
      </w:r>
      <w:r>
        <w:rPr>
          <w:rFonts w:ascii="ITC Avant Garde" w:eastAsia="Calibri" w:hAnsi="ITC Avant Garde" w:cs="Times New Roman"/>
          <w:b w:val="0"/>
          <w:color w:val="auto"/>
          <w:kern w:val="2"/>
          <w:sz w:val="20"/>
          <w:szCs w:val="20"/>
          <w:lang w:val="es-MX"/>
          <w14:ligatures w14:val="standardContextual"/>
        </w:rPr>
        <w:t xml:space="preserve">, dicho </w:t>
      </w:r>
      <w:r w:rsidRPr="00110BDE">
        <w:rPr>
          <w:rFonts w:ascii="ITC Avant Garde" w:eastAsia="Calibri" w:hAnsi="ITC Avant Garde" w:cs="Times New Roman"/>
          <w:b w:val="0"/>
          <w:color w:val="auto"/>
          <w:kern w:val="2"/>
          <w:sz w:val="20"/>
          <w:szCs w:val="20"/>
          <w:lang w:val="es-MX"/>
          <w14:ligatures w14:val="standardContextual"/>
        </w:rPr>
        <w:t xml:space="preserve"> reporte se enfoca particularmente en la evaluación de su Ventanilla Electrónica, un instrumento fundamental para la atención de la ciudadanía en el entorno digital</w:t>
      </w:r>
      <w:r>
        <w:rPr>
          <w:rFonts w:ascii="ITC Avant Garde" w:eastAsia="Calibri" w:hAnsi="ITC Avant Garde" w:cs="Times New Roman"/>
          <w:b w:val="0"/>
          <w:color w:val="auto"/>
          <w:kern w:val="2"/>
          <w:sz w:val="20"/>
          <w:szCs w:val="20"/>
          <w:lang w:val="es-MX"/>
          <w14:ligatures w14:val="standardContextual"/>
        </w:rPr>
        <w:t>, este d</w:t>
      </w:r>
      <w:r w:rsidRPr="00110BDE">
        <w:rPr>
          <w:rFonts w:ascii="ITC Avant Garde" w:eastAsia="Calibri" w:hAnsi="ITC Avant Garde" w:cs="Times New Roman"/>
          <w:b w:val="0"/>
          <w:color w:val="auto"/>
          <w:kern w:val="2"/>
          <w:sz w:val="20"/>
          <w:szCs w:val="20"/>
          <w:lang w:val="es-MX"/>
          <w14:ligatures w14:val="standardContextual"/>
        </w:rPr>
        <w:t xml:space="preserve">ocumento se elabora a partir de los comentarios, aportaciones e insumos recibidos de las personas participantes en </w:t>
      </w:r>
      <w:r w:rsidRPr="000F4AAC">
        <w:rPr>
          <w:rFonts w:ascii="ITC Avant Garde" w:eastAsia="Calibri" w:hAnsi="ITC Avant Garde" w:cs="Times New Roman"/>
          <w:b w:val="0"/>
          <w:color w:val="auto"/>
          <w:kern w:val="2"/>
          <w:sz w:val="20"/>
          <w:szCs w:val="20"/>
          <w:lang w:val="es-MX"/>
          <w14:ligatures w14:val="standardContextual"/>
        </w:rPr>
        <w:t>la</w:t>
      </w:r>
      <w:r w:rsidRPr="000F4AAC">
        <w:rPr>
          <w:rFonts w:ascii="ITC Avant Garde" w:eastAsia="Calibri" w:hAnsi="ITC Avant Garde" w:cs="Times New Roman"/>
          <w:color w:val="auto"/>
          <w:kern w:val="2"/>
          <w:sz w:val="20"/>
          <w:szCs w:val="20"/>
          <w:lang w:val="es-MX"/>
          <w14:ligatures w14:val="standardContextual"/>
        </w:rPr>
        <w:t xml:space="preserve"> Consulta Pública de Evaluación sobre la Estrategia de Gobierno Electrónico</w:t>
      </w:r>
      <w:r w:rsidRPr="00110BDE">
        <w:rPr>
          <w:rFonts w:ascii="ITC Avant Garde" w:eastAsia="Calibri" w:hAnsi="ITC Avant Garde" w:cs="Times New Roman"/>
          <w:b w:val="0"/>
          <w:color w:val="auto"/>
          <w:kern w:val="2"/>
          <w:sz w:val="20"/>
          <w:szCs w:val="20"/>
          <w:lang w:val="es-MX"/>
          <w14:ligatures w14:val="standardContextual"/>
        </w:rPr>
        <w:t xml:space="preserve">, organizada bajo los principios de apertura y transparencia. Para ello, se utilizó el </w:t>
      </w:r>
      <w:r>
        <w:rPr>
          <w:rFonts w:ascii="ITC Avant Garde" w:eastAsia="Calibri" w:hAnsi="ITC Avant Garde" w:cs="Times New Roman"/>
          <w:b w:val="0"/>
          <w:color w:val="auto"/>
          <w:kern w:val="2"/>
          <w:sz w:val="20"/>
          <w:szCs w:val="20"/>
          <w:lang w:val="es-MX"/>
          <w14:ligatures w14:val="standardContextual"/>
        </w:rPr>
        <w:t>“</w:t>
      </w:r>
      <w:r w:rsidRPr="000F4AAC">
        <w:rPr>
          <w:rFonts w:ascii="ITC Avant Garde" w:eastAsia="Calibri" w:hAnsi="ITC Avant Garde" w:cs="Times New Roman"/>
          <w:b w:val="0"/>
          <w:i/>
          <w:color w:val="auto"/>
          <w:kern w:val="2"/>
          <w:sz w:val="20"/>
          <w:szCs w:val="20"/>
          <w:lang w:val="es-MX"/>
          <w14:ligatures w14:val="standardContextual"/>
        </w:rPr>
        <w:t>Cuestionario sobre la Percepción Ciudadana de la Estrategia de Gobierno Electrónico del Instituto Federal de Telecomunicaciones</w:t>
      </w:r>
      <w:r>
        <w:rPr>
          <w:rFonts w:ascii="ITC Avant Garde" w:eastAsia="Calibri" w:hAnsi="ITC Avant Garde" w:cs="Times New Roman"/>
          <w:b w:val="0"/>
          <w:i/>
          <w:color w:val="auto"/>
          <w:kern w:val="2"/>
          <w:sz w:val="20"/>
          <w:szCs w:val="20"/>
          <w:lang w:val="es-MX"/>
          <w14:ligatures w14:val="standardContextual"/>
        </w:rPr>
        <w:t>”</w:t>
      </w:r>
      <w:r w:rsidRPr="00110BDE">
        <w:rPr>
          <w:rFonts w:ascii="ITC Avant Garde" w:eastAsia="Calibri" w:hAnsi="ITC Avant Garde" w:cs="Times New Roman"/>
          <w:b w:val="0"/>
          <w:color w:val="auto"/>
          <w:kern w:val="2"/>
          <w:sz w:val="20"/>
          <w:szCs w:val="20"/>
          <w:lang w:val="es-MX"/>
          <w14:ligatures w14:val="standardContextual"/>
        </w:rPr>
        <w:t>, cuya aplicación se llevó a cabo en estricta observancia de lo dispuesto en el artículo 51 de la Ley Federal de Telecomunicaciones y Radiodifusión (en adelante, la “LFTR”</w:t>
      </w:r>
      <w:r>
        <w:rPr>
          <w:rFonts w:ascii="ITC Avant Garde" w:eastAsia="Calibri" w:hAnsi="ITC Avant Garde" w:cs="Times New Roman"/>
          <w:b w:val="0"/>
          <w:color w:val="auto"/>
          <w:kern w:val="2"/>
          <w:sz w:val="20"/>
          <w:szCs w:val="20"/>
          <w:lang w:val="es-MX"/>
          <w14:ligatures w14:val="standardContextual"/>
        </w:rPr>
        <w:t xml:space="preserve"> o “Ley”</w:t>
      </w:r>
      <w:r w:rsidRPr="00110BDE">
        <w:rPr>
          <w:rFonts w:ascii="ITC Avant Garde" w:eastAsia="Calibri" w:hAnsi="ITC Avant Garde" w:cs="Times New Roman"/>
          <w:b w:val="0"/>
          <w:color w:val="auto"/>
          <w:kern w:val="2"/>
          <w:sz w:val="20"/>
          <w:szCs w:val="20"/>
          <w:lang w:val="es-MX"/>
          <w14:ligatures w14:val="standardContextual"/>
        </w:rPr>
        <w:t>), promulgada y publicada en el Diario Oficial de la Federación el catorce de julio de dos mil catorce</w:t>
      </w:r>
      <w:r>
        <w:rPr>
          <w:rFonts w:ascii="ITC Avant Garde" w:eastAsia="Calibri" w:hAnsi="ITC Avant Garde" w:cs="Times New Roman"/>
          <w:b w:val="0"/>
          <w:color w:val="auto"/>
          <w:kern w:val="2"/>
          <w:sz w:val="20"/>
          <w:szCs w:val="20"/>
          <w:lang w:val="es-MX"/>
          <w14:ligatures w14:val="standardContextual"/>
        </w:rPr>
        <w:t>, a</w:t>
      </w:r>
      <w:r w:rsidRPr="00110BDE">
        <w:rPr>
          <w:rFonts w:ascii="ITC Avant Garde" w:eastAsia="Calibri" w:hAnsi="ITC Avant Garde" w:cs="Times New Roman"/>
          <w:b w:val="0"/>
          <w:color w:val="auto"/>
          <w:kern w:val="2"/>
          <w:sz w:val="20"/>
          <w:szCs w:val="20"/>
          <w:lang w:val="es-MX"/>
          <w14:ligatures w14:val="standardContextual"/>
        </w:rPr>
        <w:t xml:space="preserve">simismo, se toma como base el marco establecido en el numeral Tercero, fracción III, de los </w:t>
      </w:r>
      <w:r w:rsidRPr="00B977DE">
        <w:rPr>
          <w:rFonts w:ascii="ITC Avant Garde" w:eastAsia="Calibri" w:hAnsi="ITC Avant Garde" w:cs="Times New Roman"/>
          <w:b w:val="0"/>
          <w:i/>
          <w:color w:val="auto"/>
          <w:kern w:val="2"/>
          <w:sz w:val="20"/>
          <w:szCs w:val="20"/>
          <w:lang w:val="es-MX"/>
          <w14:ligatures w14:val="standardContextual"/>
        </w:rPr>
        <w:t xml:space="preserve">Lineamientos de Consulta Pública y Análisis de Impacto </w:t>
      </w:r>
    </w:p>
    <w:tbl>
      <w:tblPr>
        <w:tblpPr w:leftFromText="180" w:rightFromText="180" w:vertAnchor="page" w:horzAnchor="page" w:tblpX="481" w:tblpY="961"/>
        <w:tblW w:w="0" w:type="auto"/>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000" w:firstRow="0" w:lastRow="0" w:firstColumn="0" w:lastColumn="0" w:noHBand="0" w:noVBand="0"/>
      </w:tblPr>
      <w:tblGrid>
        <w:gridCol w:w="4925"/>
      </w:tblGrid>
      <w:tr w:rsidR="0066403F" w14:paraId="7D2DD4F3" w14:textId="77777777" w:rsidTr="0066403F">
        <w:trPr>
          <w:trHeight w:val="1375"/>
        </w:trPr>
        <w:tc>
          <w:tcPr>
            <w:tcW w:w="4925" w:type="dxa"/>
            <w:tcBorders>
              <w:top w:val="nil"/>
              <w:left w:val="nil"/>
              <w:bottom w:val="nil"/>
              <w:right w:val="nil"/>
            </w:tcBorders>
            <w:vAlign w:val="center"/>
          </w:tcPr>
          <w:p w14:paraId="3FE988B1" w14:textId="77777777" w:rsidR="0066403F" w:rsidRPr="0066403F" w:rsidRDefault="0066403F" w:rsidP="0066403F">
            <w:pPr>
              <w:pStyle w:val="Ttulo1"/>
              <w:framePr w:hSpace="0" w:wrap="auto" w:vAnchor="margin" w:hAnchor="text" w:yAlign="inline"/>
              <w:rPr>
                <w:rFonts w:ascii="ITC Avant Garde" w:hAnsi="ITC Avant Garde"/>
              </w:rPr>
            </w:pPr>
            <w:bookmarkStart w:id="7" w:name="_Toc185357314"/>
            <w:bookmarkStart w:id="8" w:name="_Toc185358242"/>
            <w:bookmarkStart w:id="9" w:name="_Toc185358497"/>
            <w:r w:rsidRPr="0066403F">
              <w:rPr>
                <w:rFonts w:ascii="ITC Avant Garde" w:hAnsi="ITC Avant Garde"/>
                <w:sz w:val="32"/>
              </w:rPr>
              <w:t>REPORTE ESPECIAL SOBRE LA VENTANILLA ELECTRÓNICA</w:t>
            </w:r>
            <w:bookmarkEnd w:id="7"/>
            <w:bookmarkEnd w:id="8"/>
            <w:bookmarkEnd w:id="9"/>
          </w:p>
        </w:tc>
      </w:tr>
    </w:tbl>
    <w:p w14:paraId="624F68A2" w14:textId="77777777" w:rsidR="0066403F" w:rsidRDefault="0066403F" w:rsidP="0066403F">
      <w:pPr>
        <w:spacing w:line="240" w:lineRule="auto"/>
        <w:jc w:val="both"/>
        <w:rPr>
          <w:rFonts w:ascii="ITC Avant Garde" w:eastAsia="Calibri" w:hAnsi="ITC Avant Garde" w:cs="Times New Roman"/>
          <w:b w:val="0"/>
          <w:color w:val="auto"/>
          <w:kern w:val="2"/>
          <w:sz w:val="20"/>
          <w:szCs w:val="20"/>
          <w:lang w:val="es-MX"/>
          <w14:ligatures w14:val="standardContextual"/>
        </w:rPr>
      </w:pPr>
      <w:r w:rsidRPr="00B977DE">
        <w:rPr>
          <w:rFonts w:ascii="ITC Avant Garde" w:eastAsia="Calibri" w:hAnsi="ITC Avant Garde" w:cs="Times New Roman"/>
          <w:b w:val="0"/>
          <w:i/>
          <w:color w:val="auto"/>
          <w:kern w:val="2"/>
          <w:sz w:val="20"/>
          <w:szCs w:val="20"/>
          <w:lang w:val="es-MX"/>
          <w14:ligatures w14:val="standardContextual"/>
        </w:rPr>
        <w:t>Regulatorio del Instituto Federal de Telecomunicaciones</w:t>
      </w:r>
      <w:r w:rsidRPr="00110BDE">
        <w:rPr>
          <w:rFonts w:ascii="ITC Avant Garde" w:eastAsia="Calibri" w:hAnsi="ITC Avant Garde" w:cs="Times New Roman"/>
          <w:b w:val="0"/>
          <w:color w:val="auto"/>
          <w:kern w:val="2"/>
          <w:sz w:val="20"/>
          <w:szCs w:val="20"/>
          <w:lang w:val="es-MX"/>
          <w14:ligatures w14:val="standardContextual"/>
        </w:rPr>
        <w:t>, publicados en el mismo órgano oficial de difusión el ocho de noviembre de dos mil diecisiete.</w:t>
      </w:r>
    </w:p>
    <w:p w14:paraId="1B6E0085" w14:textId="77777777" w:rsidR="0066403F" w:rsidRDefault="0066403F" w:rsidP="0066403F">
      <w:pPr>
        <w:pStyle w:val="Prrafodelista"/>
        <w:keepNext/>
        <w:keepLines/>
        <w:numPr>
          <w:ilvl w:val="0"/>
          <w:numId w:val="41"/>
        </w:numPr>
        <w:spacing w:before="240" w:after="240" w:line="278" w:lineRule="auto"/>
        <w:jc w:val="both"/>
        <w:outlineLvl w:val="0"/>
        <w:rPr>
          <w:rFonts w:ascii="ITC Avant Garde" w:eastAsia="Times New Roman" w:hAnsi="ITC Avant Garde" w:cs="Times New Roman"/>
          <w:color w:val="auto"/>
          <w:kern w:val="2"/>
          <w:sz w:val="24"/>
          <w:szCs w:val="32"/>
          <w:lang w:val="es-MX"/>
          <w14:ligatures w14:val="standardContextual"/>
        </w:rPr>
      </w:pPr>
      <w:bookmarkStart w:id="10" w:name="_Toc183000909"/>
      <w:bookmarkStart w:id="11" w:name="_Toc185357316"/>
      <w:bookmarkStart w:id="12" w:name="_Toc185358244"/>
      <w:bookmarkStart w:id="13" w:name="_Toc185358498"/>
      <w:r w:rsidRPr="001C22B9">
        <w:rPr>
          <w:rFonts w:ascii="ITC Avant Garde" w:eastAsia="Times New Roman" w:hAnsi="ITC Avant Garde" w:cs="Times New Roman"/>
          <w:color w:val="auto"/>
          <w:kern w:val="2"/>
          <w:sz w:val="24"/>
          <w:szCs w:val="32"/>
          <w:lang w:val="es-MX"/>
          <w14:ligatures w14:val="standardContextual"/>
        </w:rPr>
        <w:t>Introducción</w:t>
      </w:r>
      <w:bookmarkStart w:id="14" w:name="_Toc183000910"/>
      <w:bookmarkEnd w:id="10"/>
      <w:bookmarkEnd w:id="11"/>
      <w:bookmarkEnd w:id="12"/>
      <w:bookmarkEnd w:id="13"/>
    </w:p>
    <w:p w14:paraId="6616B6D8" w14:textId="77777777" w:rsidR="0066403F" w:rsidRPr="00300411" w:rsidRDefault="0066403F" w:rsidP="0066403F">
      <w:pPr>
        <w:rPr>
          <w:rFonts w:ascii="ITC Avant Garde" w:eastAsia="Calibri" w:hAnsi="ITC Avant Garde" w:cs="Times New Roman"/>
          <w:color w:val="auto"/>
          <w:kern w:val="2"/>
          <w:sz w:val="22"/>
          <w:lang w:val="es-MX"/>
          <w14:ligatures w14:val="standardContextual"/>
        </w:rPr>
      </w:pPr>
      <w:r w:rsidRPr="00300411">
        <w:rPr>
          <w:rFonts w:ascii="ITC Avant Garde" w:eastAsia="Calibri" w:hAnsi="ITC Avant Garde" w:cs="Times New Roman"/>
          <w:color w:val="auto"/>
          <w:kern w:val="2"/>
          <w:sz w:val="22"/>
          <w:lang w:val="es-MX"/>
          <w14:ligatures w14:val="standardContextual"/>
        </w:rPr>
        <w:t>Propósito del Reporte y Objetivos de la Evaluación</w:t>
      </w:r>
      <w:bookmarkEnd w:id="14"/>
    </w:p>
    <w:p w14:paraId="10717615" w14:textId="77777777" w:rsidR="0066403F" w:rsidRPr="00795936" w:rsidRDefault="0066403F" w:rsidP="0066403F">
      <w:pPr>
        <w:rPr>
          <w:rFonts w:ascii="ITC Avant Garde" w:eastAsia="Calibri" w:hAnsi="ITC Avant Garde" w:cs="Times New Roman"/>
          <w:color w:val="auto"/>
          <w:kern w:val="2"/>
          <w:sz w:val="20"/>
          <w:szCs w:val="20"/>
          <w:lang w:val="es-MX"/>
          <w14:ligatures w14:val="standardContextual"/>
        </w:rPr>
      </w:pPr>
    </w:p>
    <w:p w14:paraId="6BCBAF89" w14:textId="77777777" w:rsidR="0066403F" w:rsidRPr="001C22B9" w:rsidRDefault="0066403F" w:rsidP="0066403F">
      <w:pPr>
        <w:spacing w:after="160" w:line="278" w:lineRule="auto"/>
        <w:jc w:val="both"/>
        <w:rPr>
          <w:rFonts w:ascii="ITC Avant Garde" w:eastAsia="Calibri" w:hAnsi="ITC Avant Garde" w:cs="Times New Roman"/>
          <w:b w:val="0"/>
          <w:bCs/>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El IFT como órgano autónomo con personalidad jurídica y patrimonio propios, tiene por objeto regular, promover y supervisar el uso, aprovechamiento y explotación del espectro radioeléctrico, las redes y la prestación de los servicios de radiodifusión y telecomunicaciones, además de ser la autoridad en materia de competencia económica en los sectores de los servicios antes aludidos</w:t>
      </w:r>
      <w:r>
        <w:rPr>
          <w:rFonts w:ascii="ITC Avant Garde" w:eastAsia="Calibri" w:hAnsi="ITC Avant Garde" w:cs="Times New Roman"/>
          <w:b w:val="0"/>
          <w:color w:val="auto"/>
          <w:kern w:val="2"/>
          <w:sz w:val="20"/>
          <w:szCs w:val="20"/>
          <w:lang w:val="es-MX"/>
          <w14:ligatures w14:val="standardContextual"/>
        </w:rPr>
        <w:t xml:space="preserve"> y e</w:t>
      </w:r>
      <w:r w:rsidRPr="001C22B9">
        <w:rPr>
          <w:rFonts w:ascii="ITC Avant Garde" w:eastAsia="Calibri" w:hAnsi="ITC Avant Garde" w:cs="Times New Roman"/>
          <w:b w:val="0"/>
          <w:bCs/>
          <w:color w:val="auto"/>
          <w:kern w:val="2"/>
          <w:sz w:val="20"/>
          <w:szCs w:val="20"/>
          <w:lang w:val="es-MX"/>
          <w14:ligatures w14:val="standardContextual"/>
        </w:rPr>
        <w:t xml:space="preserve">n particular, en términos de lo dispuesto por el artículo 15, fracciones I, XLI y LVI de la Ley, el Instituto </w:t>
      </w:r>
      <w:r>
        <w:rPr>
          <w:rFonts w:ascii="ITC Avant Garde" w:eastAsia="Calibri" w:hAnsi="ITC Avant Garde" w:cs="Times New Roman"/>
          <w:b w:val="0"/>
          <w:bCs/>
          <w:color w:val="auto"/>
          <w:kern w:val="2"/>
          <w:sz w:val="20"/>
          <w:szCs w:val="20"/>
          <w:lang w:val="es-MX"/>
          <w14:ligatures w14:val="standardContextual"/>
        </w:rPr>
        <w:t>expide</w:t>
      </w:r>
      <w:r w:rsidRPr="001C22B9">
        <w:rPr>
          <w:rFonts w:ascii="ITC Avant Garde" w:eastAsia="Calibri" w:hAnsi="ITC Avant Garde" w:cs="Times New Roman"/>
          <w:b w:val="0"/>
          <w:bCs/>
          <w:color w:val="auto"/>
          <w:kern w:val="2"/>
          <w:sz w:val="20"/>
          <w:szCs w:val="20"/>
          <w:lang w:val="es-MX"/>
          <w14:ligatures w14:val="standardContextual"/>
        </w:rPr>
        <w:t xml:space="preserve"> disposiciones administrativas de carácter general en materia de telecomunicaciones y radiodifusión, y demás disposiciones para el cumplimiento de lo dispuesto en la Ley, así como establece las disposiciones para sus procesos de mejora regulatoria. </w:t>
      </w:r>
    </w:p>
    <w:p w14:paraId="001A058C" w14:textId="77777777" w:rsidR="0066403F" w:rsidRPr="001C22B9" w:rsidRDefault="0066403F" w:rsidP="0066403F">
      <w:pPr>
        <w:spacing w:after="160" w:line="278" w:lineRule="auto"/>
        <w:jc w:val="both"/>
        <w:rPr>
          <w:rFonts w:ascii="ITC Avant Garde" w:eastAsia="Calibri" w:hAnsi="ITC Avant Garde" w:cs="Times New Roman"/>
          <w:b w:val="0"/>
          <w:bCs/>
          <w:color w:val="auto"/>
          <w:kern w:val="2"/>
          <w:sz w:val="20"/>
          <w:szCs w:val="20"/>
          <w:lang w:val="es-MX"/>
          <w14:ligatures w14:val="standardContextual"/>
        </w:rPr>
      </w:pPr>
      <w:r w:rsidRPr="001C22B9">
        <w:rPr>
          <w:rFonts w:ascii="ITC Avant Garde" w:eastAsia="Calibri" w:hAnsi="ITC Avant Garde" w:cs="Times New Roman"/>
          <w:b w:val="0"/>
          <w:bCs/>
          <w:color w:val="auto"/>
          <w:kern w:val="2"/>
          <w:sz w:val="20"/>
          <w:szCs w:val="20"/>
          <w:lang w:val="es-MX"/>
          <w14:ligatures w14:val="standardContextual"/>
        </w:rPr>
        <w:t xml:space="preserve">Al respecto, el Instituto de conformidad con el inciso </w:t>
      </w:r>
      <w:proofErr w:type="spellStart"/>
      <w:r w:rsidRPr="001C22B9">
        <w:rPr>
          <w:rFonts w:ascii="ITC Avant Garde" w:eastAsia="Calibri" w:hAnsi="ITC Avant Garde" w:cs="Times New Roman"/>
          <w:b w:val="0"/>
          <w:bCs/>
          <w:color w:val="auto"/>
          <w:kern w:val="2"/>
          <w:sz w:val="20"/>
          <w:szCs w:val="20"/>
          <w:lang w:val="es-MX"/>
          <w14:ligatures w14:val="standardContextual"/>
        </w:rPr>
        <w:t>iv</w:t>
      </w:r>
      <w:proofErr w:type="spellEnd"/>
      <w:r w:rsidRPr="001C22B9">
        <w:rPr>
          <w:rFonts w:ascii="ITC Avant Garde" w:eastAsia="Calibri" w:hAnsi="ITC Avant Garde" w:cs="Times New Roman"/>
          <w:b w:val="0"/>
          <w:bCs/>
          <w:color w:val="auto"/>
          <w:kern w:val="2"/>
          <w:sz w:val="20"/>
          <w:szCs w:val="20"/>
          <w:lang w:val="es-MX"/>
          <w14:ligatures w14:val="standardContextual"/>
        </w:rPr>
        <w:t xml:space="preserve">), fracción VIII, del artículo 4 del Estatuto Orgánico, cuenta dentro de su estructura con la </w:t>
      </w:r>
      <w:r>
        <w:rPr>
          <w:rFonts w:ascii="ITC Avant Garde" w:eastAsia="Calibri" w:hAnsi="ITC Avant Garde" w:cs="Times New Roman"/>
          <w:b w:val="0"/>
          <w:bCs/>
          <w:color w:val="auto"/>
          <w:kern w:val="2"/>
          <w:sz w:val="20"/>
          <w:szCs w:val="20"/>
          <w:lang w:val="es-MX"/>
          <w14:ligatures w14:val="standardContextual"/>
        </w:rPr>
        <w:t xml:space="preserve">CGMR, </w:t>
      </w:r>
      <w:r w:rsidRPr="001C22B9">
        <w:rPr>
          <w:rFonts w:ascii="ITC Avant Garde" w:eastAsia="Calibri" w:hAnsi="ITC Avant Garde" w:cs="Times New Roman"/>
          <w:b w:val="0"/>
          <w:bCs/>
          <w:color w:val="auto"/>
          <w:kern w:val="2"/>
          <w:sz w:val="20"/>
          <w:szCs w:val="20"/>
          <w:lang w:val="es-MX"/>
          <w14:ligatures w14:val="standardContextual"/>
        </w:rPr>
        <w:t xml:space="preserve">unidad administrativa a cargo del proceso de mejora regulatoria en el sector de las telecomunicaciones y la radiodifusión, </w:t>
      </w:r>
      <w:r>
        <w:rPr>
          <w:rFonts w:ascii="ITC Avant Garde" w:eastAsia="Calibri" w:hAnsi="ITC Avant Garde" w:cs="Times New Roman"/>
          <w:b w:val="0"/>
          <w:bCs/>
          <w:color w:val="auto"/>
          <w:kern w:val="2"/>
          <w:sz w:val="20"/>
          <w:szCs w:val="20"/>
          <w:lang w:val="es-MX"/>
          <w14:ligatures w14:val="standardContextual"/>
        </w:rPr>
        <w:t xml:space="preserve">es decir, es la encargada de definir e implementar las políticas necesarias para lograr la eficacia institucional respecto a la generación y aplicación de </w:t>
      </w:r>
      <w:r w:rsidRPr="001C22B9">
        <w:rPr>
          <w:rFonts w:ascii="ITC Avant Garde" w:eastAsia="Calibri" w:hAnsi="ITC Avant Garde" w:cs="Times New Roman"/>
          <w:b w:val="0"/>
          <w:bCs/>
          <w:color w:val="auto"/>
          <w:kern w:val="2"/>
          <w:sz w:val="20"/>
          <w:szCs w:val="20"/>
          <w:lang w:val="es-MX"/>
          <w14:ligatures w14:val="standardContextual"/>
        </w:rPr>
        <w:t>normas claras, de trámites y servicios simplificados</w:t>
      </w:r>
      <w:r>
        <w:rPr>
          <w:rFonts w:ascii="ITC Avant Garde" w:eastAsia="Calibri" w:hAnsi="ITC Avant Garde" w:cs="Times New Roman"/>
          <w:b w:val="0"/>
          <w:bCs/>
          <w:color w:val="auto"/>
          <w:kern w:val="2"/>
          <w:sz w:val="20"/>
          <w:szCs w:val="20"/>
          <w:lang w:val="es-MX"/>
          <w14:ligatures w14:val="standardContextual"/>
        </w:rPr>
        <w:t xml:space="preserve"> en dichos sectores.</w:t>
      </w:r>
    </w:p>
    <w:p w14:paraId="01537932" w14:textId="677F7F33"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En virtud de lo anterior</w:t>
      </w:r>
      <w:r>
        <w:rPr>
          <w:rFonts w:ascii="ITC Avant Garde" w:eastAsia="Calibri" w:hAnsi="ITC Avant Garde" w:cs="Times New Roman"/>
          <w:b w:val="0"/>
          <w:color w:val="auto"/>
          <w:kern w:val="2"/>
          <w:sz w:val="20"/>
          <w:szCs w:val="20"/>
          <w:lang w:val="es-MX"/>
          <w14:ligatures w14:val="standardContextual"/>
        </w:rPr>
        <w:t xml:space="preserve"> y</w:t>
      </w:r>
      <w:r w:rsidRPr="001C22B9">
        <w:rPr>
          <w:rFonts w:ascii="ITC Avant Garde" w:eastAsia="Calibri" w:hAnsi="ITC Avant Garde" w:cs="Times New Roman"/>
          <w:b w:val="0"/>
          <w:color w:val="auto"/>
          <w:kern w:val="2"/>
          <w:sz w:val="20"/>
          <w:szCs w:val="20"/>
          <w:lang w:val="es-MX"/>
          <w14:ligatures w14:val="standardContextual"/>
        </w:rPr>
        <w:t xml:space="preserve"> reconociendo de importancia de dar seguimiento y evaluar las políticas implementadas por el Instituto </w:t>
      </w:r>
      <w:r>
        <w:rPr>
          <w:rFonts w:ascii="ITC Avant Garde" w:eastAsia="Calibri" w:hAnsi="ITC Avant Garde" w:cs="Times New Roman"/>
          <w:b w:val="0"/>
          <w:color w:val="auto"/>
          <w:kern w:val="2"/>
          <w:sz w:val="20"/>
          <w:szCs w:val="20"/>
          <w:lang w:val="es-MX"/>
          <w14:ligatures w14:val="standardContextual"/>
        </w:rPr>
        <w:t>que</w:t>
      </w:r>
      <w:r w:rsidRPr="001C22B9">
        <w:rPr>
          <w:rFonts w:ascii="ITC Avant Garde" w:eastAsia="Calibri" w:hAnsi="ITC Avant Garde" w:cs="Times New Roman"/>
          <w:b w:val="0"/>
          <w:color w:val="auto"/>
          <w:kern w:val="2"/>
          <w:sz w:val="20"/>
          <w:szCs w:val="20"/>
          <w:lang w:val="es-MX"/>
          <w14:ligatures w14:val="standardContextual"/>
        </w:rPr>
        <w:t xml:space="preserve"> </w:t>
      </w:r>
      <w:r>
        <w:rPr>
          <w:rFonts w:ascii="ITC Avant Garde" w:eastAsia="Calibri" w:hAnsi="ITC Avant Garde" w:cs="Times New Roman"/>
          <w:b w:val="0"/>
          <w:color w:val="auto"/>
          <w:kern w:val="2"/>
          <w:sz w:val="20"/>
          <w:szCs w:val="20"/>
          <w:lang w:val="es-MX"/>
          <w14:ligatures w14:val="standardContextual"/>
        </w:rPr>
        <w:t xml:space="preserve">fomentan la eficiencia institucional, respecto de </w:t>
      </w:r>
      <w:r w:rsidRPr="00FB4CD0">
        <w:rPr>
          <w:rFonts w:ascii="ITC Avant Garde" w:eastAsia="Calibri" w:hAnsi="ITC Avant Garde" w:cs="Times New Roman"/>
          <w:b w:val="0"/>
          <w:color w:val="auto"/>
          <w:kern w:val="2"/>
          <w:sz w:val="20"/>
          <w:szCs w:val="20"/>
          <w:lang w:val="es-MX"/>
          <w14:ligatures w14:val="standardContextual"/>
        </w:rPr>
        <w:t xml:space="preserve">implementación y aplicación cierta y homologada de las Tecnologías de la Información y Comunicaciones (en lo sucesivo, las "TIC") </w:t>
      </w:r>
      <w:r>
        <w:rPr>
          <w:rFonts w:ascii="ITC Avant Garde" w:eastAsia="Calibri" w:hAnsi="ITC Avant Garde" w:cs="Times New Roman"/>
          <w:b w:val="0"/>
          <w:color w:val="auto"/>
          <w:kern w:val="2"/>
          <w:sz w:val="20"/>
          <w:szCs w:val="20"/>
          <w:lang w:val="es-MX"/>
          <w14:ligatures w14:val="standardContextual"/>
        </w:rPr>
        <w:t>en la</w:t>
      </w:r>
      <w:r w:rsidRPr="00FB4CD0">
        <w:rPr>
          <w:rFonts w:ascii="ITC Avant Garde" w:eastAsia="Calibri" w:hAnsi="ITC Avant Garde" w:cs="Times New Roman"/>
          <w:b w:val="0"/>
          <w:color w:val="auto"/>
          <w:kern w:val="2"/>
          <w:sz w:val="20"/>
          <w:szCs w:val="20"/>
          <w:lang w:val="es-MX"/>
          <w14:ligatures w14:val="standardContextual"/>
        </w:rPr>
        <w:t xml:space="preserve"> sustanciación de los trámites y </w:t>
      </w:r>
      <w:r>
        <w:rPr>
          <w:rFonts w:ascii="ITC Avant Garde" w:eastAsia="Calibri" w:hAnsi="ITC Avant Garde" w:cs="Times New Roman"/>
          <w:b w:val="0"/>
          <w:color w:val="auto"/>
          <w:kern w:val="2"/>
          <w:sz w:val="20"/>
          <w:szCs w:val="20"/>
          <w:lang w:val="es-MX"/>
          <w14:ligatures w14:val="standardContextual"/>
        </w:rPr>
        <w:t>servicios del sector</w:t>
      </w:r>
      <w:r w:rsidRPr="001C22B9">
        <w:rPr>
          <w:rFonts w:ascii="ITC Avant Garde" w:eastAsia="Calibri" w:hAnsi="ITC Avant Garde" w:cs="Times New Roman"/>
          <w:b w:val="0"/>
          <w:color w:val="auto"/>
          <w:kern w:val="2"/>
          <w:sz w:val="20"/>
          <w:szCs w:val="20"/>
          <w:lang w:val="es-MX"/>
          <w14:ligatures w14:val="standardContextual"/>
        </w:rPr>
        <w:t>, se integró en</w:t>
      </w:r>
      <w:r>
        <w:rPr>
          <w:rFonts w:ascii="ITC Avant Garde" w:eastAsia="Calibri" w:hAnsi="ITC Avant Garde" w:cs="Times New Roman"/>
          <w:b w:val="0"/>
          <w:color w:val="auto"/>
          <w:kern w:val="2"/>
          <w:sz w:val="20"/>
          <w:szCs w:val="20"/>
          <w:lang w:val="es-MX"/>
          <w14:ligatures w14:val="standardContextual"/>
        </w:rPr>
        <w:t xml:space="preserve"> su</w:t>
      </w:r>
      <w:r w:rsidRPr="001C22B9">
        <w:rPr>
          <w:rFonts w:ascii="ITC Avant Garde" w:eastAsia="Calibri" w:hAnsi="ITC Avant Garde" w:cs="Times New Roman"/>
          <w:b w:val="0"/>
          <w:color w:val="auto"/>
          <w:kern w:val="2"/>
          <w:sz w:val="20"/>
          <w:szCs w:val="20"/>
          <w:lang w:val="es-MX"/>
          <w14:ligatures w14:val="standardContextual"/>
        </w:rPr>
        <w:t xml:space="preserve"> </w:t>
      </w:r>
      <w:r w:rsidRPr="001C22B9">
        <w:rPr>
          <w:rFonts w:ascii="ITC Avant Garde" w:eastAsia="Calibri" w:hAnsi="ITC Avant Garde" w:cs="Times New Roman"/>
          <w:b w:val="0"/>
          <w:i/>
          <w:iCs/>
          <w:color w:val="auto"/>
          <w:kern w:val="2"/>
          <w:sz w:val="20"/>
          <w:szCs w:val="20"/>
          <w:lang w:val="es-MX"/>
          <w14:ligatures w14:val="standardContextual"/>
        </w:rPr>
        <w:t>Programa Anual de Trabajo 2024</w:t>
      </w:r>
      <w:r w:rsidRPr="001C22B9">
        <w:rPr>
          <w:rFonts w:ascii="ITC Avant Garde" w:eastAsia="Calibri" w:hAnsi="ITC Avant Garde" w:cs="Times New Roman"/>
          <w:b w:val="0"/>
          <w:color w:val="auto"/>
          <w:kern w:val="2"/>
          <w:sz w:val="20"/>
          <w:szCs w:val="20"/>
          <w:vertAlign w:val="superscript"/>
          <w:lang w:val="es-MX"/>
          <w14:ligatures w14:val="standardContextual"/>
        </w:rPr>
        <w:footnoteReference w:id="1"/>
      </w:r>
      <w:r>
        <w:rPr>
          <w:rFonts w:ascii="ITC Avant Garde" w:eastAsia="Calibri" w:hAnsi="ITC Avant Garde" w:cs="Times New Roman"/>
          <w:b w:val="0"/>
          <w:i/>
          <w:iCs/>
          <w:color w:val="auto"/>
          <w:kern w:val="2"/>
          <w:sz w:val="20"/>
          <w:szCs w:val="20"/>
          <w:lang w:val="es-MX"/>
          <w14:ligatures w14:val="standardContextual"/>
        </w:rPr>
        <w:t xml:space="preserve"> </w:t>
      </w:r>
      <w:r w:rsidRPr="001C22B9">
        <w:rPr>
          <w:rFonts w:ascii="ITC Avant Garde" w:eastAsia="Calibri" w:hAnsi="ITC Avant Garde" w:cs="Times New Roman"/>
          <w:b w:val="0"/>
          <w:color w:val="auto"/>
          <w:kern w:val="2"/>
          <w:sz w:val="20"/>
          <w:szCs w:val="20"/>
          <w:lang w:val="es-MX"/>
          <w14:ligatures w14:val="standardContextual"/>
        </w:rPr>
        <w:t xml:space="preserve">la elaboración del </w:t>
      </w:r>
      <w:r w:rsidRPr="001C22B9">
        <w:rPr>
          <w:rFonts w:ascii="ITC Avant Garde" w:eastAsia="Calibri" w:hAnsi="ITC Avant Garde" w:cs="Times New Roman"/>
          <w:b w:val="0"/>
          <w:i/>
          <w:iCs/>
          <w:color w:val="auto"/>
          <w:kern w:val="2"/>
          <w:sz w:val="20"/>
          <w:szCs w:val="20"/>
          <w:lang w:val="es-MX"/>
          <w14:ligatures w14:val="standardContextual"/>
        </w:rPr>
        <w:t xml:space="preserve">Reporte especial </w:t>
      </w:r>
      <w:r w:rsidRPr="001C22B9">
        <w:rPr>
          <w:rFonts w:ascii="ITC Avant Garde" w:eastAsia="Calibri" w:hAnsi="ITC Avant Garde" w:cs="Times New Roman"/>
          <w:b w:val="0"/>
          <w:i/>
          <w:iCs/>
          <w:color w:val="auto"/>
          <w:kern w:val="2"/>
          <w:sz w:val="20"/>
          <w:szCs w:val="20"/>
          <w:lang w:val="es-MX"/>
          <w14:ligatures w14:val="standardContextual"/>
        </w:rPr>
        <w:lastRenderedPageBreak/>
        <w:t xml:space="preserve">sobre la percepción ciudadana de la Estrategia del Gobierno Electrónico del IFT, </w:t>
      </w:r>
      <w:r w:rsidRPr="001C22B9">
        <w:rPr>
          <w:rFonts w:ascii="ITC Avant Garde" w:eastAsia="Calibri" w:hAnsi="ITC Avant Garde" w:cs="Times New Roman"/>
          <w:b w:val="0"/>
          <w:color w:val="auto"/>
          <w:kern w:val="2"/>
          <w:sz w:val="20"/>
          <w:szCs w:val="20"/>
          <w:lang w:val="es-MX"/>
          <w14:ligatures w14:val="standardContextual"/>
        </w:rPr>
        <w:t>con la finalidad de recopilar opiniones, comentarios</w:t>
      </w:r>
      <w:r>
        <w:rPr>
          <w:rFonts w:ascii="ITC Avant Garde" w:eastAsia="Calibri" w:hAnsi="ITC Avant Garde" w:cs="Times New Roman"/>
          <w:b w:val="0"/>
          <w:color w:val="auto"/>
          <w:kern w:val="2"/>
          <w:sz w:val="20"/>
          <w:szCs w:val="20"/>
          <w:lang w:val="es-MX"/>
          <w14:ligatures w14:val="standardContextual"/>
        </w:rPr>
        <w:t>, así como la</w:t>
      </w:r>
      <w:r w:rsidRPr="001C22B9">
        <w:rPr>
          <w:rFonts w:ascii="ITC Avant Garde" w:eastAsia="Calibri" w:hAnsi="ITC Avant Garde" w:cs="Times New Roman"/>
          <w:b w:val="0"/>
          <w:color w:val="auto"/>
          <w:kern w:val="2"/>
          <w:sz w:val="20"/>
          <w:szCs w:val="20"/>
          <w:lang w:val="es-MX"/>
          <w14:ligatures w14:val="standardContextual"/>
        </w:rPr>
        <w:t xml:space="preserve"> retroalimentación sobre la implementación y funcionamiento de la Ventanilla Electrónica.</w:t>
      </w:r>
    </w:p>
    <w:p w14:paraId="07E1A06C"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E</w:t>
      </w:r>
      <w:r>
        <w:rPr>
          <w:rFonts w:ascii="ITC Avant Garde" w:eastAsia="Calibri" w:hAnsi="ITC Avant Garde" w:cs="Times New Roman"/>
          <w:b w:val="0"/>
          <w:color w:val="auto"/>
          <w:kern w:val="2"/>
          <w:sz w:val="20"/>
          <w:szCs w:val="20"/>
          <w:lang w:val="es-MX"/>
          <w14:ligatures w14:val="standardContextual"/>
        </w:rPr>
        <w:t>l propósito de e</w:t>
      </w:r>
      <w:r w:rsidRPr="001C22B9">
        <w:rPr>
          <w:rFonts w:ascii="ITC Avant Garde" w:eastAsia="Calibri" w:hAnsi="ITC Avant Garde" w:cs="Times New Roman"/>
          <w:b w:val="0"/>
          <w:color w:val="auto"/>
          <w:kern w:val="2"/>
          <w:sz w:val="20"/>
          <w:szCs w:val="20"/>
          <w:lang w:val="es-MX"/>
          <w14:ligatures w14:val="standardContextual"/>
        </w:rPr>
        <w:t xml:space="preserve">ste reporte </w:t>
      </w:r>
      <w:r>
        <w:rPr>
          <w:rFonts w:ascii="ITC Avant Garde" w:eastAsia="Calibri" w:hAnsi="ITC Avant Garde" w:cs="Times New Roman"/>
          <w:b w:val="0"/>
          <w:color w:val="auto"/>
          <w:kern w:val="2"/>
          <w:sz w:val="20"/>
          <w:szCs w:val="20"/>
          <w:lang w:val="es-MX"/>
          <w14:ligatures w14:val="standardContextual"/>
        </w:rPr>
        <w:t xml:space="preserve">consiste en </w:t>
      </w:r>
      <w:r w:rsidRPr="001C22B9">
        <w:rPr>
          <w:rFonts w:ascii="ITC Avant Garde" w:eastAsia="Calibri" w:hAnsi="ITC Avant Garde" w:cs="Times New Roman"/>
          <w:b w:val="0"/>
          <w:color w:val="auto"/>
          <w:kern w:val="2"/>
          <w:sz w:val="20"/>
          <w:szCs w:val="20"/>
          <w:lang w:val="es-MX"/>
          <w14:ligatures w14:val="standardContextual"/>
        </w:rPr>
        <w:t>evalua</w:t>
      </w:r>
      <w:r>
        <w:rPr>
          <w:rFonts w:ascii="ITC Avant Garde" w:eastAsia="Calibri" w:hAnsi="ITC Avant Garde" w:cs="Times New Roman"/>
          <w:b w:val="0"/>
          <w:color w:val="auto"/>
          <w:kern w:val="2"/>
          <w:sz w:val="20"/>
          <w:szCs w:val="20"/>
          <w:lang w:val="es-MX"/>
          <w14:ligatures w14:val="standardContextual"/>
        </w:rPr>
        <w:t>r</w:t>
      </w:r>
      <w:r w:rsidRPr="001C22B9">
        <w:rPr>
          <w:rFonts w:ascii="ITC Avant Garde" w:eastAsia="Calibri" w:hAnsi="ITC Avant Garde" w:cs="Times New Roman"/>
          <w:b w:val="0"/>
          <w:color w:val="auto"/>
          <w:kern w:val="2"/>
          <w:sz w:val="20"/>
          <w:szCs w:val="20"/>
          <w:lang w:val="es-MX"/>
          <w14:ligatures w14:val="standardContextual"/>
        </w:rPr>
        <w:t xml:space="preserve"> la Estrategia de Gobierno Electrónico implementada por el Instituto, focalizado en la implementación y uso de la Ventanilla Electrónica, </w:t>
      </w:r>
      <w:r>
        <w:rPr>
          <w:rFonts w:ascii="ITC Avant Garde" w:eastAsia="Calibri" w:hAnsi="ITC Avant Garde" w:cs="Times New Roman"/>
          <w:b w:val="0"/>
          <w:color w:val="auto"/>
          <w:kern w:val="2"/>
          <w:sz w:val="20"/>
          <w:szCs w:val="20"/>
          <w:lang w:val="es-MX"/>
          <w14:ligatures w14:val="standardContextual"/>
        </w:rPr>
        <w:t xml:space="preserve">como </w:t>
      </w:r>
      <w:r w:rsidRPr="001C22B9">
        <w:rPr>
          <w:rFonts w:ascii="ITC Avant Garde" w:eastAsia="Calibri" w:hAnsi="ITC Avant Garde" w:cs="Times New Roman"/>
          <w:b w:val="0"/>
          <w:color w:val="auto"/>
          <w:kern w:val="2"/>
          <w:sz w:val="20"/>
          <w:szCs w:val="20"/>
          <w:lang w:val="es-MX"/>
          <w14:ligatures w14:val="standardContextual"/>
        </w:rPr>
        <w:t>herramienta central para la digitalización de trámites. El análisis se sustenta en dos elementos: la </w:t>
      </w:r>
      <w:r w:rsidRPr="001C22B9">
        <w:rPr>
          <w:rFonts w:ascii="ITC Avant Garde" w:eastAsia="Calibri" w:hAnsi="ITC Avant Garde" w:cs="Times New Roman"/>
          <w:bCs/>
          <w:color w:val="auto"/>
          <w:kern w:val="2"/>
          <w:sz w:val="20"/>
          <w:szCs w:val="20"/>
          <w:lang w:val="es-MX"/>
          <w14:ligatures w14:val="standardContextual"/>
        </w:rPr>
        <w:t>Consulta Pública de Evaluación de la Estrategia de Gobierno Electrónico</w:t>
      </w:r>
      <w:r w:rsidRPr="001C22B9">
        <w:rPr>
          <w:rFonts w:ascii="ITC Avant Garde" w:eastAsia="Calibri" w:hAnsi="ITC Avant Garde" w:cs="Times New Roman"/>
          <w:bCs/>
          <w:color w:val="auto"/>
          <w:kern w:val="2"/>
          <w:sz w:val="20"/>
          <w:szCs w:val="20"/>
          <w:vertAlign w:val="superscript"/>
          <w:lang w:val="es-MX"/>
          <w14:ligatures w14:val="standardContextual"/>
        </w:rPr>
        <w:footnoteReference w:id="2"/>
      </w:r>
      <w:r w:rsidRPr="001C22B9">
        <w:rPr>
          <w:rFonts w:ascii="ITC Avant Garde" w:eastAsia="Calibri" w:hAnsi="ITC Avant Garde" w:cs="Times New Roman"/>
          <w:b w:val="0"/>
          <w:color w:val="auto"/>
          <w:kern w:val="2"/>
          <w:sz w:val="20"/>
          <w:szCs w:val="20"/>
          <w:lang w:val="es-MX"/>
          <w14:ligatures w14:val="standardContextual"/>
        </w:rPr>
        <w:t> y la </w:t>
      </w:r>
      <w:r w:rsidRPr="001C22B9">
        <w:rPr>
          <w:rFonts w:ascii="ITC Avant Garde" w:eastAsia="Calibri" w:hAnsi="ITC Avant Garde" w:cs="Times New Roman"/>
          <w:bCs/>
          <w:color w:val="auto"/>
          <w:kern w:val="2"/>
          <w:sz w:val="20"/>
          <w:szCs w:val="20"/>
          <w:lang w:val="es-MX"/>
          <w14:ligatures w14:val="standardContextual"/>
        </w:rPr>
        <w:t>Encuesta de Satisfacción de la Ventanilla Electrónica</w:t>
      </w:r>
      <w:r w:rsidRPr="001C22B9">
        <w:rPr>
          <w:rFonts w:ascii="ITC Avant Garde" w:eastAsia="Calibri" w:hAnsi="ITC Avant Garde" w:cs="Times New Roman"/>
          <w:bCs/>
          <w:color w:val="auto"/>
          <w:kern w:val="2"/>
          <w:sz w:val="20"/>
          <w:szCs w:val="20"/>
          <w:vertAlign w:val="superscript"/>
          <w:lang w:val="es-MX"/>
          <w14:ligatures w14:val="standardContextual"/>
        </w:rPr>
        <w:footnoteReference w:id="3"/>
      </w:r>
      <w:r w:rsidRPr="001C22B9">
        <w:rPr>
          <w:rFonts w:ascii="ITC Avant Garde" w:eastAsia="Calibri" w:hAnsi="ITC Avant Garde" w:cs="Times New Roman"/>
          <w:b w:val="0"/>
          <w:color w:val="auto"/>
          <w:kern w:val="2"/>
          <w:sz w:val="20"/>
          <w:szCs w:val="20"/>
          <w:lang w:val="es-MX"/>
          <w14:ligatures w14:val="standardContextual"/>
        </w:rPr>
        <w:t>. La finalidad es recopilar y analizar la percepción y la experiencia de l</w:t>
      </w:r>
      <w:r>
        <w:rPr>
          <w:rFonts w:ascii="ITC Avant Garde" w:eastAsia="Calibri" w:hAnsi="ITC Avant Garde" w:cs="Times New Roman"/>
          <w:b w:val="0"/>
          <w:color w:val="auto"/>
          <w:kern w:val="2"/>
          <w:sz w:val="20"/>
          <w:szCs w:val="20"/>
          <w:lang w:val="es-MX"/>
          <w14:ligatures w14:val="standardContextual"/>
        </w:rPr>
        <w:t>as personas</w:t>
      </w:r>
      <w:r w:rsidRPr="001C22B9">
        <w:rPr>
          <w:rFonts w:ascii="ITC Avant Garde" w:eastAsia="Calibri" w:hAnsi="ITC Avant Garde" w:cs="Times New Roman"/>
          <w:b w:val="0"/>
          <w:color w:val="auto"/>
          <w:kern w:val="2"/>
          <w:sz w:val="20"/>
          <w:szCs w:val="20"/>
          <w:lang w:val="es-MX"/>
          <w14:ligatures w14:val="standardContextual"/>
        </w:rPr>
        <w:t xml:space="preserve"> usuari</w:t>
      </w:r>
      <w:r>
        <w:rPr>
          <w:rFonts w:ascii="ITC Avant Garde" w:eastAsia="Calibri" w:hAnsi="ITC Avant Garde" w:cs="Times New Roman"/>
          <w:b w:val="0"/>
          <w:color w:val="auto"/>
          <w:kern w:val="2"/>
          <w:sz w:val="20"/>
          <w:szCs w:val="20"/>
          <w:lang w:val="es-MX"/>
          <w14:ligatures w14:val="standardContextual"/>
        </w:rPr>
        <w:t>a</w:t>
      </w:r>
      <w:r w:rsidRPr="001C22B9">
        <w:rPr>
          <w:rFonts w:ascii="ITC Avant Garde" w:eastAsia="Calibri" w:hAnsi="ITC Avant Garde" w:cs="Times New Roman"/>
          <w:b w:val="0"/>
          <w:color w:val="auto"/>
          <w:kern w:val="2"/>
          <w:sz w:val="20"/>
          <w:szCs w:val="20"/>
          <w:lang w:val="es-MX"/>
          <w14:ligatures w14:val="standardContextual"/>
        </w:rPr>
        <w:t>s para mejorar la prestación de servicios digitales en el sector de telecomunicaciones y radiodifusión proporcionados por el IFT.</w:t>
      </w:r>
    </w:p>
    <w:p w14:paraId="2435CBD6"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Objetivos del</w:t>
      </w:r>
      <w:r>
        <w:rPr>
          <w:rFonts w:ascii="ITC Avant Garde" w:eastAsia="Calibri" w:hAnsi="ITC Avant Garde" w:cs="Times New Roman"/>
          <w:b w:val="0"/>
          <w:color w:val="auto"/>
          <w:kern w:val="2"/>
          <w:sz w:val="20"/>
          <w:szCs w:val="20"/>
          <w:lang w:val="es-MX"/>
          <w14:ligatures w14:val="standardContextual"/>
        </w:rPr>
        <w:t xml:space="preserve"> presente</w:t>
      </w:r>
      <w:r w:rsidRPr="001C22B9">
        <w:rPr>
          <w:rFonts w:ascii="ITC Avant Garde" w:eastAsia="Calibri" w:hAnsi="ITC Avant Garde" w:cs="Times New Roman"/>
          <w:b w:val="0"/>
          <w:color w:val="auto"/>
          <w:kern w:val="2"/>
          <w:sz w:val="20"/>
          <w:szCs w:val="20"/>
          <w:lang w:val="es-MX"/>
          <w14:ligatures w14:val="standardContextual"/>
        </w:rPr>
        <w:t xml:space="preserve"> reporte:</w:t>
      </w:r>
    </w:p>
    <w:p w14:paraId="3ED9942E" w14:textId="77777777" w:rsidR="0066403F" w:rsidRPr="001C22B9" w:rsidRDefault="0066403F" w:rsidP="0066403F">
      <w:pPr>
        <w:numPr>
          <w:ilvl w:val="0"/>
          <w:numId w:val="3"/>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Evaluar la percepción ciudadana</w:t>
      </w:r>
      <w:r w:rsidRPr="001C22B9">
        <w:rPr>
          <w:rFonts w:ascii="ITC Avant Garde" w:eastAsia="Calibri" w:hAnsi="ITC Avant Garde" w:cs="Times New Roman"/>
          <w:b w:val="0"/>
          <w:color w:val="auto"/>
          <w:kern w:val="2"/>
          <w:sz w:val="20"/>
          <w:szCs w:val="20"/>
          <w:lang w:val="es-MX"/>
          <w14:ligatures w14:val="standardContextual"/>
        </w:rPr>
        <w:t> sobre la Estrategia de Gobierno Electrónico, enfocándose en transparencia, accesibilidad, seguridad y eficiencia de los servicios.</w:t>
      </w:r>
    </w:p>
    <w:p w14:paraId="3C166E78" w14:textId="77777777" w:rsidR="0066403F" w:rsidRPr="001C22B9" w:rsidRDefault="0066403F" w:rsidP="0066403F">
      <w:pPr>
        <w:numPr>
          <w:ilvl w:val="0"/>
          <w:numId w:val="3"/>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 xml:space="preserve">Medir la satisfacción de </w:t>
      </w:r>
      <w:r>
        <w:rPr>
          <w:rFonts w:ascii="ITC Avant Garde" w:eastAsia="Calibri" w:hAnsi="ITC Avant Garde" w:cs="Times New Roman"/>
          <w:bCs/>
          <w:color w:val="auto"/>
          <w:kern w:val="2"/>
          <w:sz w:val="20"/>
          <w:szCs w:val="20"/>
          <w:lang w:val="es-MX"/>
          <w14:ligatures w14:val="standardContextual"/>
        </w:rPr>
        <w:t>las personas usuarias de</w:t>
      </w:r>
      <w:r w:rsidRPr="001C22B9">
        <w:rPr>
          <w:rFonts w:ascii="ITC Avant Garde" w:eastAsia="Calibri" w:hAnsi="ITC Avant Garde" w:cs="Times New Roman"/>
          <w:bCs/>
          <w:color w:val="auto"/>
          <w:kern w:val="2"/>
          <w:sz w:val="20"/>
          <w:szCs w:val="20"/>
          <w:lang w:val="es-MX"/>
          <w14:ligatures w14:val="standardContextual"/>
        </w:rPr>
        <w:t xml:space="preserve"> la Ventanilla Electrónica</w:t>
      </w:r>
      <w:r w:rsidRPr="001C22B9">
        <w:rPr>
          <w:rFonts w:ascii="ITC Avant Garde" w:eastAsia="Calibri" w:hAnsi="ITC Avant Garde" w:cs="Times New Roman"/>
          <w:b w:val="0"/>
          <w:color w:val="auto"/>
          <w:kern w:val="2"/>
          <w:sz w:val="20"/>
          <w:szCs w:val="20"/>
          <w:lang w:val="es-MX"/>
          <w14:ligatures w14:val="standardContextual"/>
        </w:rPr>
        <w:t>, con énfasis en la usabilidad, eficiencia operativa y tiempos de respuesta en la gestión de trámites.</w:t>
      </w:r>
    </w:p>
    <w:p w14:paraId="4398CF8E" w14:textId="77777777" w:rsidR="0066403F" w:rsidRPr="001C22B9" w:rsidRDefault="0066403F" w:rsidP="0066403F">
      <w:pPr>
        <w:numPr>
          <w:ilvl w:val="0"/>
          <w:numId w:val="3"/>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Identificar oportunidades de mejora</w:t>
      </w:r>
      <w:r w:rsidRPr="001C22B9">
        <w:rPr>
          <w:rFonts w:ascii="ITC Avant Garde" w:eastAsia="Calibri" w:hAnsi="ITC Avant Garde" w:cs="Times New Roman"/>
          <w:b w:val="0"/>
          <w:color w:val="auto"/>
          <w:kern w:val="2"/>
          <w:sz w:val="20"/>
          <w:szCs w:val="20"/>
          <w:lang w:val="es-MX"/>
          <w14:ligatures w14:val="standardContextual"/>
        </w:rPr>
        <w:t> para la Ventanilla Electrónica y la Estrategia General de Gobierno Electrónico mediante un análisis comparativo de ambos enfoques.</w:t>
      </w:r>
    </w:p>
    <w:p w14:paraId="585F4BE2" w14:textId="77777777" w:rsidR="0066403F" w:rsidRDefault="0066403F" w:rsidP="0066403F">
      <w:pPr>
        <w:rPr>
          <w:rFonts w:ascii="ITC Avant Garde" w:eastAsia="Calibri" w:hAnsi="ITC Avant Garde" w:cs="Times New Roman"/>
          <w:iCs/>
          <w:color w:val="auto"/>
          <w:kern w:val="2"/>
          <w:sz w:val="20"/>
          <w:szCs w:val="20"/>
          <w:lang w:val="es-MX"/>
          <w14:ligatures w14:val="standardContextual"/>
        </w:rPr>
      </w:pPr>
      <w:bookmarkStart w:id="15" w:name="_Toc183000911"/>
    </w:p>
    <w:p w14:paraId="5AEEFA03" w14:textId="77777777" w:rsidR="0066403F" w:rsidRPr="00300411" w:rsidRDefault="0066403F" w:rsidP="0066403F">
      <w:pPr>
        <w:rPr>
          <w:rFonts w:ascii="ITC Avant Garde" w:eastAsia="Calibri" w:hAnsi="ITC Avant Garde" w:cs="Times New Roman"/>
          <w:color w:val="auto"/>
          <w:kern w:val="2"/>
          <w:sz w:val="22"/>
          <w:lang w:val="es-MX"/>
          <w14:ligatures w14:val="standardContextual"/>
        </w:rPr>
      </w:pPr>
      <w:r w:rsidRPr="00300411">
        <w:rPr>
          <w:rFonts w:ascii="ITC Avant Garde" w:eastAsia="Calibri" w:hAnsi="ITC Avant Garde" w:cs="Times New Roman"/>
          <w:color w:val="auto"/>
          <w:kern w:val="2"/>
          <w:sz w:val="22"/>
          <w:lang w:val="es-MX"/>
          <w14:ligatures w14:val="standardContextual"/>
        </w:rPr>
        <w:t>Descripción de la Estrategia de Gobierno Electrónico del IFT</w:t>
      </w:r>
      <w:bookmarkEnd w:id="15"/>
    </w:p>
    <w:p w14:paraId="1CFA27EC" w14:textId="77777777" w:rsidR="0066403F" w:rsidRPr="00795936" w:rsidRDefault="0066403F" w:rsidP="0066403F">
      <w:pPr>
        <w:rPr>
          <w:rFonts w:ascii="ITC Avant Garde" w:eastAsia="Calibri" w:hAnsi="ITC Avant Garde" w:cs="Times New Roman"/>
          <w:iCs/>
          <w:color w:val="auto"/>
          <w:kern w:val="2"/>
          <w:sz w:val="20"/>
          <w:szCs w:val="20"/>
          <w:lang w:val="es-MX"/>
          <w14:ligatures w14:val="standardContextual"/>
        </w:rPr>
      </w:pPr>
    </w:p>
    <w:p w14:paraId="43DA529D" w14:textId="77777777" w:rsidR="0066403F"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La Estrategia de Gobierno Electrónico del IFT</w:t>
      </w:r>
      <w:r>
        <w:rPr>
          <w:rFonts w:ascii="ITC Avant Garde" w:eastAsia="Calibri" w:hAnsi="ITC Avant Garde" w:cs="Times New Roman"/>
          <w:b w:val="0"/>
          <w:color w:val="auto"/>
          <w:kern w:val="2"/>
          <w:sz w:val="20"/>
          <w:szCs w:val="20"/>
          <w:lang w:val="es-MX"/>
          <w14:ligatures w14:val="standardContextual"/>
        </w:rPr>
        <w:t xml:space="preserve"> fue posible derivado de la reforma </w:t>
      </w:r>
      <w:r w:rsidRPr="001C22B9">
        <w:rPr>
          <w:rFonts w:ascii="ITC Avant Garde" w:eastAsia="Calibri" w:hAnsi="ITC Avant Garde" w:cs="Times New Roman"/>
          <w:b w:val="0"/>
          <w:color w:val="auto"/>
          <w:kern w:val="2"/>
          <w:sz w:val="20"/>
          <w:szCs w:val="20"/>
          <w:lang w:val="es-MX"/>
          <w14:ligatures w14:val="standardContextual"/>
        </w:rPr>
        <w:t>constitucional de 2013</w:t>
      </w:r>
      <w:r>
        <w:rPr>
          <w:rFonts w:ascii="ITC Avant Garde" w:eastAsia="Calibri" w:hAnsi="ITC Avant Garde" w:cs="Times New Roman"/>
          <w:b w:val="0"/>
          <w:color w:val="auto"/>
          <w:kern w:val="2"/>
          <w:sz w:val="20"/>
          <w:szCs w:val="20"/>
          <w:lang w:val="es-MX"/>
          <w14:ligatures w14:val="standardContextual"/>
        </w:rPr>
        <w:t xml:space="preserve"> y a la emisión del </w:t>
      </w:r>
      <w:r w:rsidRPr="005F4EA5">
        <w:rPr>
          <w:rFonts w:ascii="ITC Avant Garde" w:eastAsia="Calibri" w:hAnsi="ITC Avant Garde" w:cs="Times New Roman"/>
          <w:b w:val="0"/>
          <w:i/>
          <w:iCs/>
          <w:color w:val="auto"/>
          <w:kern w:val="2"/>
          <w:sz w:val="20"/>
          <w:szCs w:val="20"/>
          <w:lang w:val="es-MX"/>
          <w14:ligatures w14:val="standardContextual"/>
        </w:rPr>
        <w:t>Decreto por el que se expiden la Ley Federal de Telecomunicaciones y Radiodifusión, y la Ley del Sistema Público de Radiodifusión del Estado Mexicano; y se reforman, adicionan y derogan diversas disposiciones en materia de telecomunicaciones y radiodifusión</w:t>
      </w:r>
      <w:r>
        <w:rPr>
          <w:rStyle w:val="Refdenotaalpie"/>
          <w:rFonts w:ascii="ITC Avant Garde" w:eastAsia="Calibri" w:hAnsi="ITC Avant Garde" w:cs="Times New Roman"/>
          <w:b w:val="0"/>
          <w:i/>
          <w:iCs/>
          <w:color w:val="auto"/>
          <w:kern w:val="2"/>
          <w:sz w:val="20"/>
          <w:szCs w:val="20"/>
          <w:lang w:val="es-MX"/>
          <w14:ligatures w14:val="standardContextual"/>
        </w:rPr>
        <w:footnoteReference w:id="4"/>
      </w:r>
      <w:r>
        <w:rPr>
          <w:rFonts w:ascii="ITC Avant Garde" w:eastAsia="Calibri" w:hAnsi="ITC Avant Garde" w:cs="Times New Roman"/>
          <w:b w:val="0"/>
          <w:color w:val="auto"/>
          <w:kern w:val="2"/>
          <w:sz w:val="20"/>
          <w:szCs w:val="20"/>
          <w:lang w:val="es-MX"/>
          <w14:ligatures w14:val="standardContextual"/>
        </w:rPr>
        <w:t xml:space="preserve">, que conforme a su artículo 15, fracción LII, se le otorga al Instituto autonomía técnica y además le brinda la facultad de establecer </w:t>
      </w:r>
      <w:r w:rsidRPr="003D06A1">
        <w:rPr>
          <w:rFonts w:ascii="ITC Avant Garde" w:eastAsia="Calibri" w:hAnsi="ITC Avant Garde" w:cs="Times New Roman"/>
          <w:b w:val="0"/>
          <w:color w:val="auto"/>
          <w:kern w:val="2"/>
          <w:sz w:val="20"/>
          <w:szCs w:val="20"/>
          <w:lang w:val="es-MX"/>
          <w14:ligatures w14:val="standardContextual"/>
        </w:rPr>
        <w:t>los mecanismos</w:t>
      </w:r>
      <w:r>
        <w:rPr>
          <w:rFonts w:ascii="ITC Avant Garde" w:eastAsia="Calibri" w:hAnsi="ITC Avant Garde" w:cs="Times New Roman"/>
          <w:b w:val="0"/>
          <w:color w:val="auto"/>
          <w:kern w:val="2"/>
          <w:sz w:val="20"/>
          <w:szCs w:val="20"/>
          <w:lang w:val="es-MX"/>
          <w14:ligatures w14:val="standardContextual"/>
        </w:rPr>
        <w:t xml:space="preserve"> necesarios</w:t>
      </w:r>
      <w:r w:rsidRPr="003D06A1">
        <w:rPr>
          <w:rFonts w:ascii="ITC Avant Garde" w:eastAsia="Calibri" w:hAnsi="ITC Avant Garde" w:cs="Times New Roman"/>
          <w:b w:val="0"/>
          <w:color w:val="auto"/>
          <w:kern w:val="2"/>
          <w:sz w:val="20"/>
          <w:szCs w:val="20"/>
          <w:lang w:val="es-MX"/>
          <w14:ligatures w14:val="standardContextual"/>
        </w:rPr>
        <w:t xml:space="preserve"> para que los procedimientos de su competencia, se puedan sustanciar por medio de las </w:t>
      </w:r>
      <w:r>
        <w:rPr>
          <w:rFonts w:ascii="ITC Avant Garde" w:eastAsia="Calibri" w:hAnsi="ITC Avant Garde" w:cs="Times New Roman"/>
          <w:b w:val="0"/>
          <w:color w:val="auto"/>
          <w:kern w:val="2"/>
          <w:sz w:val="20"/>
          <w:szCs w:val="20"/>
          <w:lang w:val="es-MX"/>
          <w14:ligatures w14:val="standardContextual"/>
        </w:rPr>
        <w:t>TIC.</w:t>
      </w:r>
    </w:p>
    <w:p w14:paraId="01295E96" w14:textId="77777777" w:rsidR="0066403F" w:rsidRDefault="0066403F" w:rsidP="0066403F">
      <w:pPr>
        <w:spacing w:after="160" w:line="278" w:lineRule="auto"/>
        <w:jc w:val="both"/>
        <w:rPr>
          <w:rFonts w:ascii="ITC Avant Garde" w:eastAsia="Calibri" w:hAnsi="ITC Avant Garde" w:cs="Times New Roman"/>
          <w:b w:val="0"/>
          <w:bCs/>
          <w:color w:val="auto"/>
          <w:kern w:val="2"/>
          <w:sz w:val="20"/>
          <w:szCs w:val="20"/>
          <w:lang w:val="es-MX"/>
          <w14:ligatures w14:val="standardContextual"/>
        </w:rPr>
      </w:pPr>
      <w:r>
        <w:rPr>
          <w:rFonts w:ascii="ITC Avant Garde" w:eastAsia="Calibri" w:hAnsi="ITC Avant Garde" w:cs="Times New Roman"/>
          <w:b w:val="0"/>
          <w:color w:val="auto"/>
          <w:kern w:val="2"/>
          <w:sz w:val="20"/>
          <w:szCs w:val="20"/>
          <w:lang w:val="es-MX"/>
          <w14:ligatures w14:val="standardContextual"/>
        </w:rPr>
        <w:t xml:space="preserve">En virtud de lo anterior, y </w:t>
      </w:r>
      <w:r>
        <w:rPr>
          <w:rFonts w:ascii="ITC Avant Garde" w:eastAsia="Calibri" w:hAnsi="ITC Avant Garde" w:cs="Times New Roman"/>
          <w:b w:val="0"/>
          <w:bCs/>
          <w:color w:val="auto"/>
          <w:kern w:val="2"/>
          <w:sz w:val="20"/>
          <w:szCs w:val="20"/>
          <w:lang w:val="es-MX"/>
          <w14:ligatures w14:val="standardContextual"/>
        </w:rPr>
        <w:t>conscientes</w:t>
      </w:r>
      <w:r w:rsidRPr="001C22B9">
        <w:rPr>
          <w:rFonts w:ascii="ITC Avant Garde" w:eastAsia="Calibri" w:hAnsi="ITC Avant Garde" w:cs="Times New Roman"/>
          <w:b w:val="0"/>
          <w:bCs/>
          <w:color w:val="auto"/>
          <w:kern w:val="2"/>
          <w:sz w:val="20"/>
          <w:szCs w:val="20"/>
          <w:lang w:val="es-MX"/>
          <w14:ligatures w14:val="standardContextual"/>
        </w:rPr>
        <w:t xml:space="preserve"> de los objetivos generales que persigue la política de mejora regulatoria</w:t>
      </w:r>
      <w:r>
        <w:rPr>
          <w:rFonts w:ascii="ITC Avant Garde" w:eastAsia="Calibri" w:hAnsi="ITC Avant Garde" w:cs="Times New Roman"/>
          <w:b w:val="0"/>
          <w:bCs/>
          <w:color w:val="auto"/>
          <w:kern w:val="2"/>
          <w:sz w:val="20"/>
          <w:szCs w:val="20"/>
          <w:lang w:val="es-MX"/>
          <w14:ligatures w14:val="standardContextual"/>
        </w:rPr>
        <w:t xml:space="preserve"> implementada por el propio instituto</w:t>
      </w:r>
      <w:r w:rsidRPr="001C22B9">
        <w:rPr>
          <w:rFonts w:ascii="ITC Avant Garde" w:eastAsia="Calibri" w:hAnsi="ITC Avant Garde" w:cs="Times New Roman"/>
          <w:b w:val="0"/>
          <w:bCs/>
          <w:color w:val="auto"/>
          <w:kern w:val="2"/>
          <w:sz w:val="20"/>
          <w:szCs w:val="20"/>
          <w:lang w:val="es-MX"/>
          <w14:ligatures w14:val="standardContextual"/>
        </w:rPr>
        <w:t xml:space="preserve">, </w:t>
      </w:r>
      <w:r>
        <w:rPr>
          <w:rFonts w:ascii="ITC Avant Garde" w:eastAsia="Calibri" w:hAnsi="ITC Avant Garde" w:cs="Times New Roman"/>
          <w:b w:val="0"/>
          <w:bCs/>
          <w:color w:val="auto"/>
          <w:kern w:val="2"/>
          <w:sz w:val="20"/>
          <w:szCs w:val="20"/>
          <w:lang w:val="es-MX"/>
          <w14:ligatures w14:val="standardContextual"/>
        </w:rPr>
        <w:t>específicamente en la simplificación de</w:t>
      </w:r>
      <w:r w:rsidRPr="001C22B9">
        <w:rPr>
          <w:rFonts w:ascii="ITC Avant Garde" w:eastAsia="Calibri" w:hAnsi="ITC Avant Garde" w:cs="Times New Roman"/>
          <w:b w:val="0"/>
          <w:bCs/>
          <w:color w:val="auto"/>
          <w:kern w:val="2"/>
          <w:sz w:val="20"/>
          <w:szCs w:val="20"/>
          <w:lang w:val="es-MX"/>
          <w14:ligatures w14:val="standardContextual"/>
        </w:rPr>
        <w:t xml:space="preserve"> trámites y servicios, el Pleno del Instituto emitió los </w:t>
      </w:r>
      <w:r>
        <w:rPr>
          <w:rFonts w:ascii="ITC Avant Garde" w:eastAsia="Calibri" w:hAnsi="ITC Avant Garde" w:cs="Times New Roman"/>
          <w:b w:val="0"/>
          <w:bCs/>
          <w:color w:val="auto"/>
          <w:kern w:val="2"/>
          <w:sz w:val="20"/>
          <w:szCs w:val="20"/>
          <w:lang w:val="es-MX"/>
          <w14:ligatures w14:val="standardContextual"/>
        </w:rPr>
        <w:t>“</w:t>
      </w:r>
      <w:r w:rsidRPr="001C22B9">
        <w:rPr>
          <w:rFonts w:ascii="ITC Avant Garde" w:eastAsia="Calibri" w:hAnsi="ITC Avant Garde" w:cs="Times New Roman"/>
          <w:b w:val="0"/>
          <w:bCs/>
          <w:i/>
          <w:iCs/>
          <w:color w:val="auto"/>
          <w:kern w:val="2"/>
          <w:sz w:val="20"/>
          <w:szCs w:val="20"/>
          <w:lang w:val="es-MX"/>
          <w14:ligatures w14:val="standardContextual"/>
        </w:rPr>
        <w:t>Lineamientos para la sustanciación de los trámites y servicios que se realicen ante el Instituto Federal de Telecomunicaciones, a través de la Ventanilla Electrónica</w:t>
      </w:r>
      <w:r>
        <w:rPr>
          <w:rFonts w:ascii="ITC Avant Garde" w:eastAsia="Calibri" w:hAnsi="ITC Avant Garde" w:cs="Times New Roman"/>
          <w:b w:val="0"/>
          <w:bCs/>
          <w:i/>
          <w:iCs/>
          <w:color w:val="auto"/>
          <w:kern w:val="2"/>
          <w:sz w:val="20"/>
          <w:szCs w:val="20"/>
          <w:lang w:val="es-MX"/>
          <w14:ligatures w14:val="standardContextual"/>
        </w:rPr>
        <w:t>”</w:t>
      </w:r>
      <w:r w:rsidRPr="000859DF">
        <w:rPr>
          <w:rFonts w:ascii="ITC Avant Garde" w:eastAsia="Calibri" w:hAnsi="ITC Avant Garde" w:cs="Times New Roman"/>
          <w:b w:val="0"/>
          <w:color w:val="auto"/>
          <w:kern w:val="2"/>
          <w:sz w:val="20"/>
          <w:szCs w:val="20"/>
          <w:vertAlign w:val="superscript"/>
          <w:lang w:val="es-MX"/>
          <w14:ligatures w14:val="standardContextual"/>
        </w:rPr>
        <w:footnoteReference w:id="5"/>
      </w:r>
      <w:r w:rsidRPr="001C22B9">
        <w:rPr>
          <w:rFonts w:ascii="ITC Avant Garde" w:eastAsia="Calibri" w:hAnsi="ITC Avant Garde" w:cs="Times New Roman"/>
          <w:b w:val="0"/>
          <w:bCs/>
          <w:color w:val="auto"/>
          <w:kern w:val="2"/>
          <w:sz w:val="20"/>
          <w:szCs w:val="20"/>
          <w:lang w:val="es-MX"/>
          <w14:ligatures w14:val="standardContextual"/>
        </w:rPr>
        <w:t>,</w:t>
      </w:r>
      <w:r>
        <w:rPr>
          <w:rFonts w:ascii="ITC Avant Garde" w:eastAsia="Calibri" w:hAnsi="ITC Avant Garde" w:cs="Times New Roman"/>
          <w:b w:val="0"/>
          <w:bCs/>
          <w:color w:val="auto"/>
          <w:kern w:val="2"/>
          <w:sz w:val="20"/>
          <w:szCs w:val="20"/>
          <w:lang w:val="es-MX"/>
          <w14:ligatures w14:val="standardContextual"/>
        </w:rPr>
        <w:t xml:space="preserve"> </w:t>
      </w:r>
      <w:r w:rsidRPr="001C22B9">
        <w:rPr>
          <w:rFonts w:ascii="ITC Avant Garde" w:eastAsia="Calibri" w:hAnsi="ITC Avant Garde" w:cs="Times New Roman"/>
          <w:b w:val="0"/>
          <w:bCs/>
          <w:color w:val="auto"/>
          <w:kern w:val="2"/>
          <w:sz w:val="20"/>
          <w:szCs w:val="20"/>
          <w:lang w:val="es-MX"/>
          <w14:ligatures w14:val="standardContextual"/>
        </w:rPr>
        <w:t xml:space="preserve">cuyo propósito consistió en </w:t>
      </w:r>
      <w:r>
        <w:rPr>
          <w:rFonts w:ascii="ITC Avant Garde" w:eastAsia="Calibri" w:hAnsi="ITC Avant Garde" w:cs="Times New Roman"/>
          <w:b w:val="0"/>
          <w:bCs/>
          <w:color w:val="auto"/>
          <w:kern w:val="2"/>
          <w:sz w:val="20"/>
          <w:szCs w:val="20"/>
          <w:lang w:val="es-MX"/>
          <w14:ligatures w14:val="standardContextual"/>
        </w:rPr>
        <w:t xml:space="preserve">diseñar, implementar y administrar </w:t>
      </w:r>
      <w:r w:rsidRPr="001C22B9">
        <w:rPr>
          <w:rFonts w:ascii="ITC Avant Garde" w:eastAsia="Calibri" w:hAnsi="ITC Avant Garde" w:cs="Times New Roman"/>
          <w:b w:val="0"/>
          <w:bCs/>
          <w:color w:val="auto"/>
          <w:kern w:val="2"/>
          <w:sz w:val="20"/>
          <w:szCs w:val="20"/>
          <w:lang w:val="es-MX"/>
          <w14:ligatures w14:val="standardContextual"/>
        </w:rPr>
        <w:lastRenderedPageBreak/>
        <w:t>una herramienta tecnológica que facilita</w:t>
      </w:r>
      <w:r>
        <w:rPr>
          <w:rFonts w:ascii="ITC Avant Garde" w:eastAsia="Calibri" w:hAnsi="ITC Avant Garde" w:cs="Times New Roman"/>
          <w:b w:val="0"/>
          <w:bCs/>
          <w:color w:val="auto"/>
          <w:kern w:val="2"/>
          <w:sz w:val="20"/>
          <w:szCs w:val="20"/>
          <w:lang w:val="es-MX"/>
          <w14:ligatures w14:val="standardContextual"/>
        </w:rPr>
        <w:t>rá</w:t>
      </w:r>
      <w:r w:rsidRPr="001C22B9">
        <w:rPr>
          <w:rFonts w:ascii="ITC Avant Garde" w:eastAsia="Calibri" w:hAnsi="ITC Avant Garde" w:cs="Times New Roman"/>
          <w:b w:val="0"/>
          <w:bCs/>
          <w:color w:val="auto"/>
          <w:kern w:val="2"/>
          <w:sz w:val="20"/>
          <w:szCs w:val="20"/>
          <w:lang w:val="es-MX"/>
          <w14:ligatures w14:val="standardContextual"/>
        </w:rPr>
        <w:t xml:space="preserve"> la sustanciación de los trámites y servicios en el sector, </w:t>
      </w:r>
      <w:r>
        <w:rPr>
          <w:rFonts w:ascii="ITC Avant Garde" w:eastAsia="Calibri" w:hAnsi="ITC Avant Garde" w:cs="Times New Roman"/>
          <w:b w:val="0"/>
          <w:bCs/>
          <w:color w:val="auto"/>
          <w:kern w:val="2"/>
          <w:sz w:val="20"/>
          <w:szCs w:val="20"/>
          <w:lang w:val="es-MX"/>
          <w14:ligatures w14:val="standardContextual"/>
        </w:rPr>
        <w:t xml:space="preserve">misma que fue denominada como: </w:t>
      </w:r>
      <w:r w:rsidRPr="00C60BC4">
        <w:rPr>
          <w:rFonts w:ascii="ITC Avant Garde" w:eastAsia="Calibri" w:hAnsi="ITC Avant Garde" w:cs="Times New Roman"/>
          <w:bCs/>
          <w:color w:val="auto"/>
          <w:kern w:val="2"/>
          <w:sz w:val="20"/>
          <w:szCs w:val="20"/>
          <w:lang w:val="es-MX"/>
          <w14:ligatures w14:val="standardContextual"/>
        </w:rPr>
        <w:t>Ventanilla Electrónica</w:t>
      </w:r>
      <w:r w:rsidRPr="00FA795C">
        <w:rPr>
          <w:rFonts w:ascii="ITC Avant Garde" w:eastAsia="Calibri" w:hAnsi="ITC Avant Garde" w:cs="Times New Roman"/>
          <w:b w:val="0"/>
          <w:bCs/>
          <w:color w:val="auto"/>
          <w:kern w:val="2"/>
          <w:sz w:val="20"/>
          <w:szCs w:val="20"/>
          <w:lang w:val="es-MX"/>
          <w14:ligatures w14:val="standardContextual"/>
        </w:rPr>
        <w:t xml:space="preserve"> </w:t>
      </w:r>
      <w:r w:rsidRPr="00FA795C">
        <w:rPr>
          <w:rFonts w:ascii="ITC Avant Garde" w:eastAsia="Calibri" w:hAnsi="ITC Avant Garde" w:cs="Times New Roman"/>
          <w:bCs/>
          <w:color w:val="auto"/>
          <w:kern w:val="2"/>
          <w:sz w:val="20"/>
          <w:szCs w:val="20"/>
          <w:lang w:val="es-MX"/>
          <w14:ligatures w14:val="standardContextual"/>
        </w:rPr>
        <w:t>d</w:t>
      </w:r>
      <w:r w:rsidRPr="00FA795C">
        <w:rPr>
          <w:rFonts w:ascii="ITC Avant Garde" w:eastAsia="Calibri" w:hAnsi="ITC Avant Garde" w:cs="Times New Roman"/>
          <w:color w:val="auto"/>
          <w:kern w:val="2"/>
          <w:sz w:val="20"/>
          <w:szCs w:val="20"/>
          <w:lang w:val="es-MX"/>
          <w14:ligatures w14:val="standardContextual"/>
        </w:rPr>
        <w:t>el IFT</w:t>
      </w:r>
      <w:r w:rsidRPr="001C22B9">
        <w:rPr>
          <w:rFonts w:ascii="ITC Avant Garde" w:eastAsia="Calibri" w:hAnsi="ITC Avant Garde" w:cs="Times New Roman"/>
          <w:b w:val="0"/>
          <w:bCs/>
          <w:color w:val="auto"/>
          <w:kern w:val="2"/>
          <w:sz w:val="20"/>
          <w:szCs w:val="20"/>
          <w:lang w:val="es-MX"/>
          <w14:ligatures w14:val="standardContextual"/>
        </w:rPr>
        <w:t>.</w:t>
      </w:r>
    </w:p>
    <w:p w14:paraId="4354BC1D"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A51E38">
        <w:rPr>
          <w:rFonts w:ascii="ITC Avant Garde" w:eastAsia="Calibri" w:hAnsi="ITC Avant Garde" w:cs="Times New Roman"/>
          <w:b w:val="0"/>
          <w:bCs/>
          <w:color w:val="auto"/>
          <w:kern w:val="2"/>
          <w:sz w:val="20"/>
          <w:szCs w:val="20"/>
          <w:lang w:val="es-MX"/>
          <w14:ligatures w14:val="standardContextual"/>
        </w:rPr>
        <w:t xml:space="preserve">La creación </w:t>
      </w:r>
      <w:r>
        <w:rPr>
          <w:rFonts w:ascii="ITC Avant Garde" w:eastAsia="Calibri" w:hAnsi="ITC Avant Garde" w:cs="Times New Roman"/>
          <w:b w:val="0"/>
          <w:bCs/>
          <w:color w:val="auto"/>
          <w:kern w:val="2"/>
          <w:sz w:val="20"/>
          <w:szCs w:val="20"/>
          <w:lang w:val="es-MX"/>
          <w14:ligatures w14:val="standardContextual"/>
        </w:rPr>
        <w:t>y puesta en funcionamiento de esta</w:t>
      </w:r>
      <w:r w:rsidRPr="00A51E38">
        <w:rPr>
          <w:rFonts w:ascii="ITC Avant Garde" w:eastAsia="Calibri" w:hAnsi="ITC Avant Garde" w:cs="Times New Roman"/>
          <w:b w:val="0"/>
          <w:bCs/>
          <w:color w:val="auto"/>
          <w:kern w:val="2"/>
          <w:sz w:val="20"/>
          <w:szCs w:val="20"/>
          <w:lang w:val="es-MX"/>
          <w14:ligatures w14:val="standardContextual"/>
        </w:rPr>
        <w:t xml:space="preserve"> Ventanilla Electrónica</w:t>
      </w:r>
      <w:r>
        <w:rPr>
          <w:rFonts w:ascii="ITC Avant Garde" w:eastAsia="Calibri" w:hAnsi="ITC Avant Garde" w:cs="Times New Roman"/>
          <w:b w:val="0"/>
          <w:bCs/>
          <w:color w:val="auto"/>
          <w:kern w:val="2"/>
          <w:sz w:val="20"/>
          <w:szCs w:val="20"/>
          <w:lang w:val="es-MX"/>
          <w14:ligatures w14:val="standardContextual"/>
        </w:rPr>
        <w:t>,</w:t>
      </w:r>
      <w:r w:rsidRPr="00A51E38">
        <w:rPr>
          <w:rFonts w:ascii="ITC Avant Garde" w:eastAsia="Calibri" w:hAnsi="ITC Avant Garde" w:cs="Times New Roman"/>
          <w:b w:val="0"/>
          <w:bCs/>
          <w:color w:val="auto"/>
          <w:kern w:val="2"/>
          <w:sz w:val="20"/>
          <w:szCs w:val="20"/>
          <w:lang w:val="es-MX"/>
          <w14:ligatures w14:val="standardContextual"/>
        </w:rPr>
        <w:t xml:space="preserve"> </w:t>
      </w:r>
      <w:r w:rsidRPr="001C22B9">
        <w:rPr>
          <w:rFonts w:ascii="ITC Avant Garde" w:eastAsia="Calibri" w:hAnsi="ITC Avant Garde" w:cs="Times New Roman"/>
          <w:b w:val="0"/>
          <w:color w:val="auto"/>
          <w:kern w:val="2"/>
          <w:sz w:val="20"/>
          <w:szCs w:val="20"/>
          <w:lang w:val="es-MX"/>
          <w14:ligatures w14:val="standardContextual"/>
        </w:rPr>
        <w:t>ofrece</w:t>
      </w:r>
      <w:r>
        <w:rPr>
          <w:rFonts w:ascii="ITC Avant Garde" w:eastAsia="Calibri" w:hAnsi="ITC Avant Garde" w:cs="Times New Roman"/>
          <w:b w:val="0"/>
          <w:color w:val="auto"/>
          <w:kern w:val="2"/>
          <w:sz w:val="20"/>
          <w:szCs w:val="20"/>
          <w:lang w:val="es-MX"/>
          <w14:ligatures w14:val="standardContextual"/>
        </w:rPr>
        <w:t xml:space="preserve"> a las personas usuarias </w:t>
      </w:r>
      <w:r w:rsidRPr="001C22B9">
        <w:rPr>
          <w:rFonts w:ascii="ITC Avant Garde" w:eastAsia="Calibri" w:hAnsi="ITC Avant Garde" w:cs="Times New Roman"/>
          <w:b w:val="0"/>
          <w:color w:val="auto"/>
          <w:kern w:val="2"/>
          <w:sz w:val="20"/>
          <w:szCs w:val="20"/>
          <w:lang w:val="es-MX"/>
          <w14:ligatures w14:val="standardContextual"/>
        </w:rPr>
        <w:t>una plataforma</w:t>
      </w:r>
      <w:r>
        <w:rPr>
          <w:rFonts w:ascii="ITC Avant Garde" w:eastAsia="Calibri" w:hAnsi="ITC Avant Garde" w:cs="Times New Roman"/>
          <w:b w:val="0"/>
          <w:color w:val="auto"/>
          <w:kern w:val="2"/>
          <w:sz w:val="20"/>
          <w:szCs w:val="20"/>
          <w:lang w:val="es-MX"/>
          <w14:ligatures w14:val="standardContextual"/>
        </w:rPr>
        <w:t xml:space="preserve"> digital</w:t>
      </w:r>
      <w:r w:rsidRPr="001C22B9">
        <w:rPr>
          <w:rFonts w:ascii="ITC Avant Garde" w:eastAsia="Calibri" w:hAnsi="ITC Avant Garde" w:cs="Times New Roman"/>
          <w:b w:val="0"/>
          <w:color w:val="auto"/>
          <w:kern w:val="2"/>
          <w:sz w:val="20"/>
          <w:szCs w:val="20"/>
          <w:lang w:val="es-MX"/>
          <w14:ligatures w14:val="standardContextual"/>
        </w:rPr>
        <w:t xml:space="preserve"> que permite a los interesados gestionar </w:t>
      </w:r>
      <w:r>
        <w:rPr>
          <w:rFonts w:ascii="ITC Avant Garde" w:eastAsia="Calibri" w:hAnsi="ITC Avant Garde" w:cs="Times New Roman"/>
          <w:b w:val="0"/>
          <w:color w:val="auto"/>
          <w:kern w:val="2"/>
          <w:sz w:val="20"/>
          <w:szCs w:val="20"/>
          <w:lang w:val="es-MX"/>
          <w14:ligatures w14:val="standardContextual"/>
        </w:rPr>
        <w:t xml:space="preserve">sus </w:t>
      </w:r>
      <w:r w:rsidRPr="001C22B9">
        <w:rPr>
          <w:rFonts w:ascii="ITC Avant Garde" w:eastAsia="Calibri" w:hAnsi="ITC Avant Garde" w:cs="Times New Roman"/>
          <w:b w:val="0"/>
          <w:color w:val="auto"/>
          <w:kern w:val="2"/>
          <w:sz w:val="20"/>
          <w:szCs w:val="20"/>
          <w:lang w:val="es-MX"/>
          <w14:ligatures w14:val="standardContextual"/>
        </w:rPr>
        <w:t xml:space="preserve">trámites digitalmente, </w:t>
      </w:r>
      <w:r>
        <w:rPr>
          <w:rFonts w:ascii="ITC Avant Garde" w:eastAsia="Calibri" w:hAnsi="ITC Avant Garde" w:cs="Times New Roman"/>
          <w:b w:val="0"/>
          <w:color w:val="auto"/>
          <w:kern w:val="2"/>
          <w:sz w:val="20"/>
          <w:szCs w:val="20"/>
          <w:lang w:val="es-MX"/>
          <w14:ligatures w14:val="standardContextual"/>
        </w:rPr>
        <w:t xml:space="preserve">ofreciendo así una forma más de presentar sus trámites de manera remota, además de la </w:t>
      </w:r>
      <w:r w:rsidRPr="001C22B9">
        <w:rPr>
          <w:rFonts w:ascii="ITC Avant Garde" w:eastAsia="Calibri" w:hAnsi="ITC Avant Garde" w:cs="Times New Roman"/>
          <w:b w:val="0"/>
          <w:color w:val="auto"/>
          <w:kern w:val="2"/>
          <w:sz w:val="20"/>
          <w:szCs w:val="20"/>
          <w:lang w:val="es-MX"/>
          <w14:ligatures w14:val="standardContextual"/>
        </w:rPr>
        <w:t>interacción presencial</w:t>
      </w:r>
      <w:r>
        <w:rPr>
          <w:rFonts w:ascii="ITC Avant Garde" w:eastAsia="Calibri" w:hAnsi="ITC Avant Garde" w:cs="Times New Roman"/>
          <w:b w:val="0"/>
          <w:color w:val="auto"/>
          <w:kern w:val="2"/>
          <w:sz w:val="20"/>
          <w:szCs w:val="20"/>
          <w:lang w:val="es-MX"/>
          <w14:ligatures w14:val="standardContextual"/>
        </w:rPr>
        <w:t xml:space="preserve"> ofrecida por la ventanilla de Oficialía de Partes Común del Instituto</w:t>
      </w:r>
      <w:r w:rsidRPr="001C22B9">
        <w:rPr>
          <w:rFonts w:ascii="ITC Avant Garde" w:eastAsia="Calibri" w:hAnsi="ITC Avant Garde" w:cs="Times New Roman"/>
          <w:b w:val="0"/>
          <w:color w:val="auto"/>
          <w:kern w:val="2"/>
          <w:sz w:val="20"/>
          <w:szCs w:val="20"/>
          <w:lang w:val="es-MX"/>
          <w14:ligatures w14:val="standardContextual"/>
        </w:rPr>
        <w:t xml:space="preserve">, </w:t>
      </w:r>
      <w:r>
        <w:rPr>
          <w:rFonts w:ascii="ITC Avant Garde" w:eastAsia="Calibri" w:hAnsi="ITC Avant Garde" w:cs="Times New Roman"/>
          <w:b w:val="0"/>
          <w:color w:val="auto"/>
          <w:kern w:val="2"/>
          <w:sz w:val="20"/>
          <w:szCs w:val="20"/>
          <w:lang w:val="es-MX"/>
          <w14:ligatures w14:val="standardContextual"/>
        </w:rPr>
        <w:t xml:space="preserve">permitiendo así, a las personas usuarias </w:t>
      </w:r>
      <w:r w:rsidRPr="001C22B9">
        <w:rPr>
          <w:rFonts w:ascii="ITC Avant Garde" w:eastAsia="Calibri" w:hAnsi="ITC Avant Garde" w:cs="Times New Roman"/>
          <w:b w:val="0"/>
          <w:color w:val="auto"/>
          <w:kern w:val="2"/>
          <w:sz w:val="20"/>
          <w:szCs w:val="20"/>
          <w:lang w:val="es-MX"/>
          <w14:ligatures w14:val="standardContextual"/>
        </w:rPr>
        <w:t>mejora</w:t>
      </w:r>
      <w:r>
        <w:rPr>
          <w:rFonts w:ascii="ITC Avant Garde" w:eastAsia="Calibri" w:hAnsi="ITC Avant Garde" w:cs="Times New Roman"/>
          <w:b w:val="0"/>
          <w:color w:val="auto"/>
          <w:kern w:val="2"/>
          <w:sz w:val="20"/>
          <w:szCs w:val="20"/>
          <w:lang w:val="es-MX"/>
          <w14:ligatures w14:val="standardContextual"/>
        </w:rPr>
        <w:t>r</w:t>
      </w:r>
      <w:r w:rsidRPr="001C22B9">
        <w:rPr>
          <w:rFonts w:ascii="ITC Avant Garde" w:eastAsia="Calibri" w:hAnsi="ITC Avant Garde" w:cs="Times New Roman"/>
          <w:b w:val="0"/>
          <w:color w:val="auto"/>
          <w:kern w:val="2"/>
          <w:sz w:val="20"/>
          <w:szCs w:val="20"/>
          <w:lang w:val="es-MX"/>
          <w14:ligatures w14:val="standardContextual"/>
        </w:rPr>
        <w:t xml:space="preserve"> la accesibilidad</w:t>
      </w:r>
      <w:r>
        <w:rPr>
          <w:rFonts w:ascii="ITC Avant Garde" w:eastAsia="Calibri" w:hAnsi="ITC Avant Garde" w:cs="Times New Roman"/>
          <w:b w:val="0"/>
          <w:color w:val="auto"/>
          <w:kern w:val="2"/>
          <w:sz w:val="20"/>
          <w:szCs w:val="20"/>
          <w:lang w:val="es-MX"/>
          <w14:ligatures w14:val="standardContextual"/>
        </w:rPr>
        <w:t xml:space="preserve"> de sus diligencias</w:t>
      </w:r>
      <w:r w:rsidRPr="001C22B9">
        <w:rPr>
          <w:rFonts w:ascii="ITC Avant Garde" w:eastAsia="Calibri" w:hAnsi="ITC Avant Garde" w:cs="Times New Roman"/>
          <w:b w:val="0"/>
          <w:color w:val="auto"/>
          <w:kern w:val="2"/>
          <w:sz w:val="20"/>
          <w:szCs w:val="20"/>
          <w:lang w:val="es-MX"/>
          <w14:ligatures w14:val="standardContextual"/>
        </w:rPr>
        <w:t xml:space="preserve"> y </w:t>
      </w:r>
      <w:r>
        <w:rPr>
          <w:rFonts w:ascii="ITC Avant Garde" w:eastAsia="Calibri" w:hAnsi="ITC Avant Garde" w:cs="Times New Roman"/>
          <w:b w:val="0"/>
          <w:color w:val="auto"/>
          <w:kern w:val="2"/>
          <w:sz w:val="20"/>
          <w:szCs w:val="20"/>
          <w:lang w:val="es-MX"/>
          <w14:ligatures w14:val="standardContextual"/>
        </w:rPr>
        <w:t xml:space="preserve">permitiéndoles </w:t>
      </w:r>
      <w:r w:rsidRPr="001C22B9">
        <w:rPr>
          <w:rFonts w:ascii="ITC Avant Garde" w:eastAsia="Calibri" w:hAnsi="ITC Avant Garde" w:cs="Times New Roman"/>
          <w:b w:val="0"/>
          <w:color w:val="auto"/>
          <w:kern w:val="2"/>
          <w:sz w:val="20"/>
          <w:szCs w:val="20"/>
          <w:lang w:val="es-MX"/>
          <w14:ligatures w14:val="standardContextual"/>
        </w:rPr>
        <w:t>optimiza</w:t>
      </w:r>
      <w:r>
        <w:rPr>
          <w:rFonts w:ascii="ITC Avant Garde" w:eastAsia="Calibri" w:hAnsi="ITC Avant Garde" w:cs="Times New Roman"/>
          <w:b w:val="0"/>
          <w:color w:val="auto"/>
          <w:kern w:val="2"/>
          <w:sz w:val="20"/>
          <w:szCs w:val="20"/>
          <w:lang w:val="es-MX"/>
          <w14:ligatures w14:val="standardContextual"/>
        </w:rPr>
        <w:t>r</w:t>
      </w:r>
      <w:r w:rsidRPr="001C22B9">
        <w:rPr>
          <w:rFonts w:ascii="ITC Avant Garde" w:eastAsia="Calibri" w:hAnsi="ITC Avant Garde" w:cs="Times New Roman"/>
          <w:b w:val="0"/>
          <w:color w:val="auto"/>
          <w:kern w:val="2"/>
          <w:sz w:val="20"/>
          <w:szCs w:val="20"/>
          <w:lang w:val="es-MX"/>
          <w14:ligatures w14:val="standardContextual"/>
        </w:rPr>
        <w:t xml:space="preserve"> los recursos</w:t>
      </w:r>
      <w:r>
        <w:rPr>
          <w:rFonts w:ascii="ITC Avant Garde" w:eastAsia="Calibri" w:hAnsi="ITC Avant Garde" w:cs="Times New Roman"/>
          <w:b w:val="0"/>
          <w:color w:val="auto"/>
          <w:kern w:val="2"/>
          <w:sz w:val="20"/>
          <w:szCs w:val="20"/>
          <w:lang w:val="es-MX"/>
          <w14:ligatures w14:val="standardContextual"/>
        </w:rPr>
        <w:t xml:space="preserve"> humanos y financieros. La Ventanilla Electrónica le permitió al Instituto dar</w:t>
      </w:r>
      <w:r w:rsidRPr="00A51E38">
        <w:rPr>
          <w:rFonts w:ascii="ITC Avant Garde" w:eastAsia="Calibri" w:hAnsi="ITC Avant Garde" w:cs="Times New Roman"/>
          <w:b w:val="0"/>
          <w:bCs/>
          <w:color w:val="auto"/>
          <w:kern w:val="2"/>
          <w:sz w:val="20"/>
          <w:szCs w:val="20"/>
          <w:lang w:val="es-MX"/>
          <w14:ligatures w14:val="standardContextual"/>
        </w:rPr>
        <w:t xml:space="preserve"> inicio a los trabajos relacionados con</w:t>
      </w:r>
      <w:r>
        <w:rPr>
          <w:rFonts w:ascii="ITC Avant Garde" w:eastAsia="Calibri" w:hAnsi="ITC Avant Garde" w:cs="Times New Roman"/>
          <w:b w:val="0"/>
          <w:bCs/>
          <w:color w:val="auto"/>
          <w:kern w:val="2"/>
          <w:sz w:val="20"/>
          <w:szCs w:val="20"/>
          <w:lang w:val="es-MX"/>
          <w14:ligatures w14:val="standardContextual"/>
        </w:rPr>
        <w:t xml:space="preserve"> la implementación del</w:t>
      </w:r>
      <w:r w:rsidRPr="00A51E38">
        <w:rPr>
          <w:rFonts w:ascii="ITC Avant Garde" w:eastAsia="Calibri" w:hAnsi="ITC Avant Garde" w:cs="Times New Roman"/>
          <w:b w:val="0"/>
          <w:bCs/>
          <w:color w:val="auto"/>
          <w:kern w:val="2"/>
          <w:sz w:val="20"/>
          <w:szCs w:val="20"/>
          <w:lang w:val="es-MX"/>
          <w14:ligatures w14:val="standardContextual"/>
        </w:rPr>
        <w:t xml:space="preserve"> Gobierno Electrónico en </w:t>
      </w:r>
      <w:r>
        <w:rPr>
          <w:rFonts w:ascii="ITC Avant Garde" w:eastAsia="Calibri" w:hAnsi="ITC Avant Garde" w:cs="Times New Roman"/>
          <w:b w:val="0"/>
          <w:bCs/>
          <w:color w:val="auto"/>
          <w:kern w:val="2"/>
          <w:sz w:val="20"/>
          <w:szCs w:val="20"/>
          <w:lang w:val="es-MX"/>
          <w14:ligatures w14:val="standardContextual"/>
        </w:rPr>
        <w:t>sus</w:t>
      </w:r>
      <w:r w:rsidRPr="00A51E38">
        <w:rPr>
          <w:rFonts w:ascii="ITC Avant Garde" w:eastAsia="Calibri" w:hAnsi="ITC Avant Garde" w:cs="Times New Roman"/>
          <w:b w:val="0"/>
          <w:bCs/>
          <w:color w:val="auto"/>
          <w:kern w:val="2"/>
          <w:sz w:val="20"/>
          <w:szCs w:val="20"/>
          <w:lang w:val="es-MX"/>
          <w14:ligatures w14:val="standardContextual"/>
        </w:rPr>
        <w:t xml:space="preserve"> procesos de mejora regulatoria, </w:t>
      </w:r>
      <w:r>
        <w:rPr>
          <w:rFonts w:ascii="ITC Avant Garde" w:eastAsia="Calibri" w:hAnsi="ITC Avant Garde" w:cs="Times New Roman"/>
          <w:b w:val="0"/>
          <w:bCs/>
          <w:color w:val="auto"/>
          <w:kern w:val="2"/>
          <w:sz w:val="20"/>
          <w:szCs w:val="20"/>
          <w:lang w:val="es-MX"/>
          <w14:ligatures w14:val="standardContextual"/>
        </w:rPr>
        <w:t>la implementación y aplicación homologada</w:t>
      </w:r>
      <w:r w:rsidRPr="00A51E38">
        <w:rPr>
          <w:rFonts w:ascii="ITC Avant Garde" w:eastAsia="Calibri" w:hAnsi="ITC Avant Garde" w:cs="Times New Roman"/>
          <w:b w:val="0"/>
          <w:bCs/>
          <w:color w:val="auto"/>
          <w:kern w:val="2"/>
          <w:sz w:val="20"/>
          <w:szCs w:val="20"/>
          <w:lang w:val="es-MX"/>
          <w14:ligatures w14:val="standardContextual"/>
        </w:rPr>
        <w:t xml:space="preserve"> de las TIC en su funcionamiento</w:t>
      </w:r>
      <w:r>
        <w:rPr>
          <w:rFonts w:ascii="ITC Avant Garde" w:eastAsia="Calibri" w:hAnsi="ITC Avant Garde" w:cs="Times New Roman"/>
          <w:b w:val="0"/>
          <w:bCs/>
          <w:color w:val="auto"/>
          <w:kern w:val="2"/>
          <w:sz w:val="20"/>
          <w:szCs w:val="20"/>
          <w:lang w:val="es-MX"/>
          <w14:ligatures w14:val="standardContextual"/>
        </w:rPr>
        <w:t xml:space="preserve">, para después implementarlas en sus demás procesos administrativos, lo que le permitió a esta Institución pública </w:t>
      </w:r>
      <w:r w:rsidRPr="00A51E38">
        <w:rPr>
          <w:rFonts w:ascii="ITC Avant Garde" w:eastAsia="Calibri" w:hAnsi="ITC Avant Garde" w:cs="Times New Roman"/>
          <w:b w:val="0"/>
          <w:bCs/>
          <w:color w:val="auto"/>
          <w:kern w:val="2"/>
          <w:sz w:val="20"/>
          <w:szCs w:val="20"/>
          <w:lang w:val="es-MX"/>
          <w14:ligatures w14:val="standardContextual"/>
        </w:rPr>
        <w:t>incrementar la eficacia</w:t>
      </w:r>
      <w:r>
        <w:rPr>
          <w:rFonts w:ascii="ITC Avant Garde" w:eastAsia="Calibri" w:hAnsi="ITC Avant Garde" w:cs="Times New Roman"/>
          <w:b w:val="0"/>
          <w:bCs/>
          <w:color w:val="auto"/>
          <w:kern w:val="2"/>
          <w:sz w:val="20"/>
          <w:szCs w:val="20"/>
          <w:lang w:val="es-MX"/>
          <w14:ligatures w14:val="standardContextual"/>
        </w:rPr>
        <w:t xml:space="preserve">, </w:t>
      </w:r>
      <w:r w:rsidRPr="00A51E38">
        <w:rPr>
          <w:rFonts w:ascii="ITC Avant Garde" w:eastAsia="Calibri" w:hAnsi="ITC Avant Garde" w:cs="Times New Roman"/>
          <w:b w:val="0"/>
          <w:bCs/>
          <w:color w:val="auto"/>
          <w:kern w:val="2"/>
          <w:sz w:val="20"/>
          <w:szCs w:val="20"/>
          <w:lang w:val="es-MX"/>
          <w14:ligatures w14:val="standardContextual"/>
        </w:rPr>
        <w:t xml:space="preserve">eficiencia, seguridad jurídica y la transparencia en la resolución y prestación de </w:t>
      </w:r>
      <w:r>
        <w:rPr>
          <w:rFonts w:ascii="ITC Avant Garde" w:eastAsia="Calibri" w:hAnsi="ITC Avant Garde" w:cs="Times New Roman"/>
          <w:b w:val="0"/>
          <w:bCs/>
          <w:color w:val="auto"/>
          <w:kern w:val="2"/>
          <w:sz w:val="20"/>
          <w:szCs w:val="20"/>
          <w:lang w:val="es-MX"/>
          <w14:ligatures w14:val="standardContextual"/>
        </w:rPr>
        <w:t>sus trámites y servicios</w:t>
      </w:r>
      <w:r w:rsidRPr="00A51E38">
        <w:rPr>
          <w:rFonts w:ascii="ITC Avant Garde" w:eastAsia="Calibri" w:hAnsi="ITC Avant Garde" w:cs="Times New Roman"/>
          <w:b w:val="0"/>
          <w:bCs/>
          <w:color w:val="auto"/>
          <w:kern w:val="2"/>
          <w:sz w:val="20"/>
          <w:szCs w:val="20"/>
          <w:lang w:val="es-MX"/>
          <w14:ligatures w14:val="standardContextual"/>
        </w:rPr>
        <w:t>.</w:t>
      </w:r>
    </w:p>
    <w:p w14:paraId="24C18B87"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Pr>
          <w:rFonts w:ascii="ITC Avant Garde" w:eastAsia="Calibri" w:hAnsi="ITC Avant Garde" w:cs="Times New Roman"/>
          <w:b w:val="0"/>
          <w:color w:val="auto"/>
          <w:kern w:val="2"/>
          <w:sz w:val="20"/>
          <w:szCs w:val="20"/>
          <w:lang w:val="es-MX"/>
          <w14:ligatures w14:val="standardContextual"/>
        </w:rPr>
        <w:t>La Estrategia de Gobierno Electrónico</w:t>
      </w:r>
      <w:r w:rsidRPr="001C22B9">
        <w:rPr>
          <w:rFonts w:ascii="ITC Avant Garde" w:eastAsia="Calibri" w:hAnsi="ITC Avant Garde" w:cs="Times New Roman"/>
          <w:b w:val="0"/>
          <w:color w:val="auto"/>
          <w:kern w:val="2"/>
          <w:sz w:val="20"/>
          <w:szCs w:val="20"/>
          <w:lang w:val="es-MX"/>
          <w14:ligatures w14:val="standardContextual"/>
        </w:rPr>
        <w:t xml:space="preserve"> se rige por tres pilares:</w:t>
      </w:r>
    </w:p>
    <w:p w14:paraId="301273E4" w14:textId="77777777" w:rsidR="0066403F" w:rsidRPr="001C22B9" w:rsidRDefault="0066403F" w:rsidP="0066403F">
      <w:pPr>
        <w:numPr>
          <w:ilvl w:val="0"/>
          <w:numId w:val="4"/>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Evaluación regulatoria</w:t>
      </w:r>
      <w:r w:rsidRPr="001C22B9">
        <w:rPr>
          <w:rFonts w:ascii="ITC Avant Garde" w:eastAsia="Calibri" w:hAnsi="ITC Avant Garde" w:cs="Times New Roman"/>
          <w:b w:val="0"/>
          <w:color w:val="auto"/>
          <w:kern w:val="2"/>
          <w:sz w:val="20"/>
          <w:szCs w:val="20"/>
          <w:lang w:val="es-MX"/>
          <w14:ligatures w14:val="standardContextual"/>
        </w:rPr>
        <w:t xml:space="preserve">: </w:t>
      </w:r>
      <w:r>
        <w:rPr>
          <w:rFonts w:ascii="ITC Avant Garde" w:eastAsia="Calibri" w:hAnsi="ITC Avant Garde" w:cs="Times New Roman"/>
          <w:b w:val="0"/>
          <w:color w:val="auto"/>
          <w:kern w:val="2"/>
          <w:sz w:val="20"/>
          <w:szCs w:val="20"/>
          <w:lang w:val="es-MX"/>
          <w14:ligatures w14:val="standardContextual"/>
        </w:rPr>
        <w:t>Consiste en r</w:t>
      </w:r>
      <w:r w:rsidRPr="001C22B9">
        <w:rPr>
          <w:rFonts w:ascii="ITC Avant Garde" w:eastAsia="Calibri" w:hAnsi="ITC Avant Garde" w:cs="Times New Roman"/>
          <w:b w:val="0"/>
          <w:color w:val="auto"/>
          <w:kern w:val="2"/>
          <w:sz w:val="20"/>
          <w:szCs w:val="20"/>
          <w:lang w:val="es-MX"/>
          <w14:ligatures w14:val="standardContextual"/>
        </w:rPr>
        <w:t>evisar y ajustar el marco regulatorio de cada trámite para su eliminación o simplificación, incorporando aquellos que puedan realizarse digitalmente.</w:t>
      </w:r>
    </w:p>
    <w:p w14:paraId="4EF4ADFF" w14:textId="77777777" w:rsidR="0066403F" w:rsidRPr="001C22B9" w:rsidRDefault="0066403F" w:rsidP="0066403F">
      <w:pPr>
        <w:numPr>
          <w:ilvl w:val="0"/>
          <w:numId w:val="4"/>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Evaluación de procesos</w:t>
      </w:r>
      <w:r w:rsidRPr="001C22B9">
        <w:rPr>
          <w:rFonts w:ascii="ITC Avant Garde" w:eastAsia="Calibri" w:hAnsi="ITC Avant Garde" w:cs="Times New Roman"/>
          <w:b w:val="0"/>
          <w:color w:val="auto"/>
          <w:kern w:val="2"/>
          <w:sz w:val="20"/>
          <w:szCs w:val="20"/>
          <w:lang w:val="es-MX"/>
          <w14:ligatures w14:val="standardContextual"/>
        </w:rPr>
        <w:t xml:space="preserve">: </w:t>
      </w:r>
      <w:r>
        <w:rPr>
          <w:rFonts w:ascii="ITC Avant Garde" w:eastAsia="Calibri" w:hAnsi="ITC Avant Garde" w:cs="Times New Roman"/>
          <w:b w:val="0"/>
          <w:color w:val="auto"/>
          <w:kern w:val="2"/>
          <w:sz w:val="20"/>
          <w:szCs w:val="20"/>
          <w:lang w:val="es-MX"/>
          <w14:ligatures w14:val="standardContextual"/>
        </w:rPr>
        <w:t>La cual permite a</w:t>
      </w:r>
      <w:r w:rsidRPr="001C22B9">
        <w:rPr>
          <w:rFonts w:ascii="ITC Avant Garde" w:eastAsia="Calibri" w:hAnsi="ITC Avant Garde" w:cs="Times New Roman"/>
          <w:b w:val="0"/>
          <w:color w:val="auto"/>
          <w:kern w:val="2"/>
          <w:sz w:val="20"/>
          <w:szCs w:val="20"/>
          <w:lang w:val="es-MX"/>
          <w14:ligatures w14:val="standardContextual"/>
        </w:rPr>
        <w:t>nalizar y rediseñar los procedimientos para su mayor eficiencia y digitalización.</w:t>
      </w:r>
    </w:p>
    <w:p w14:paraId="1BC3E402" w14:textId="77777777" w:rsidR="0066403F" w:rsidRPr="001C22B9" w:rsidRDefault="0066403F" w:rsidP="0066403F">
      <w:pPr>
        <w:numPr>
          <w:ilvl w:val="0"/>
          <w:numId w:val="4"/>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Digitalización</w:t>
      </w:r>
      <w:r w:rsidRPr="001C22B9">
        <w:rPr>
          <w:rFonts w:ascii="ITC Avant Garde" w:eastAsia="Calibri" w:hAnsi="ITC Avant Garde" w:cs="Times New Roman"/>
          <w:b w:val="0"/>
          <w:color w:val="auto"/>
          <w:kern w:val="2"/>
          <w:sz w:val="20"/>
          <w:szCs w:val="20"/>
          <w:lang w:val="es-MX"/>
          <w14:ligatures w14:val="standardContextual"/>
        </w:rPr>
        <w:t xml:space="preserve">: </w:t>
      </w:r>
      <w:r>
        <w:rPr>
          <w:rFonts w:ascii="ITC Avant Garde" w:eastAsia="Calibri" w:hAnsi="ITC Avant Garde" w:cs="Times New Roman"/>
          <w:b w:val="0"/>
          <w:color w:val="auto"/>
          <w:kern w:val="2"/>
          <w:sz w:val="20"/>
          <w:szCs w:val="20"/>
          <w:lang w:val="es-MX"/>
          <w14:ligatures w14:val="standardContextual"/>
        </w:rPr>
        <w:t>Permite u</w:t>
      </w:r>
      <w:r w:rsidRPr="001C22B9">
        <w:rPr>
          <w:rFonts w:ascii="ITC Avant Garde" w:eastAsia="Calibri" w:hAnsi="ITC Avant Garde" w:cs="Times New Roman"/>
          <w:b w:val="0"/>
          <w:color w:val="auto"/>
          <w:kern w:val="2"/>
          <w:sz w:val="20"/>
          <w:szCs w:val="20"/>
          <w:lang w:val="es-MX"/>
          <w14:ligatures w14:val="standardContextual"/>
        </w:rPr>
        <w:t xml:space="preserve">tilizar tecnologías de la información para digitalizar y gestionar trámites de manera más accesible y eficiente, según los </w:t>
      </w:r>
      <w:r w:rsidRPr="00B977DE">
        <w:rPr>
          <w:rFonts w:ascii="ITC Avant Garde" w:eastAsia="Calibri" w:hAnsi="ITC Avant Garde" w:cs="Times New Roman"/>
          <w:color w:val="auto"/>
          <w:kern w:val="2"/>
          <w:sz w:val="20"/>
          <w:szCs w:val="20"/>
          <w:lang w:val="es-MX"/>
          <w14:ligatures w14:val="standardContextual"/>
        </w:rPr>
        <w:t>Lineamientos</w:t>
      </w:r>
      <w:r w:rsidRPr="001C22B9">
        <w:rPr>
          <w:rFonts w:ascii="ITC Avant Garde" w:eastAsia="Calibri" w:hAnsi="ITC Avant Garde" w:cs="Times New Roman"/>
          <w:bCs/>
          <w:color w:val="auto"/>
          <w:kern w:val="2"/>
          <w:sz w:val="20"/>
          <w:szCs w:val="20"/>
          <w:lang w:val="es-MX"/>
          <w14:ligatures w14:val="standardContextual"/>
        </w:rPr>
        <w:t xml:space="preserve"> de la Ventanilla Electrónica</w:t>
      </w:r>
      <w:r>
        <w:rPr>
          <w:rStyle w:val="Refdenotaalpie"/>
          <w:rFonts w:ascii="ITC Avant Garde" w:eastAsia="Calibri" w:hAnsi="ITC Avant Garde" w:cs="Times New Roman"/>
          <w:bCs/>
          <w:color w:val="auto"/>
          <w:kern w:val="2"/>
          <w:sz w:val="20"/>
          <w:szCs w:val="20"/>
          <w:lang w:val="es-MX"/>
          <w14:ligatures w14:val="standardContextual"/>
        </w:rPr>
        <w:footnoteReference w:id="6"/>
      </w:r>
      <w:r w:rsidRPr="001C22B9">
        <w:rPr>
          <w:rFonts w:ascii="ITC Avant Garde" w:eastAsia="Calibri" w:hAnsi="ITC Avant Garde" w:cs="Times New Roman"/>
          <w:b w:val="0"/>
          <w:color w:val="auto"/>
          <w:kern w:val="2"/>
          <w:sz w:val="20"/>
          <w:szCs w:val="20"/>
          <w:lang w:val="es-MX"/>
          <w14:ligatures w14:val="standardContextual"/>
        </w:rPr>
        <w:t> publicados y actualizados en el Diario Oficial de la Federación en 2019 y 2023</w:t>
      </w:r>
      <w:r w:rsidRPr="00AF5A60">
        <w:rPr>
          <w:rFonts w:ascii="ITC Avant Garde" w:eastAsia="Calibri" w:hAnsi="ITC Avant Garde" w:cs="Times New Roman"/>
          <w:b w:val="0"/>
          <w:color w:val="auto"/>
          <w:kern w:val="2"/>
          <w:sz w:val="20"/>
          <w:szCs w:val="20"/>
          <w:lang w:val="es-MX"/>
          <w14:ligatures w14:val="standardContextual"/>
        </w:rPr>
        <w:t>.</w:t>
      </w:r>
    </w:p>
    <w:p w14:paraId="67F7BDA4" w14:textId="77777777" w:rsidR="0066403F" w:rsidRDefault="0066403F" w:rsidP="0066403F">
      <w:pPr>
        <w:rPr>
          <w:rFonts w:ascii="ITC Avant Garde" w:eastAsia="Calibri" w:hAnsi="ITC Avant Garde" w:cs="Times New Roman"/>
          <w:color w:val="auto"/>
          <w:kern w:val="2"/>
          <w:sz w:val="22"/>
          <w:lang w:val="es-MX"/>
          <w14:ligatures w14:val="standardContextual"/>
        </w:rPr>
      </w:pPr>
      <w:bookmarkStart w:id="16" w:name="_Toc183000912"/>
      <w:r w:rsidRPr="00300411">
        <w:rPr>
          <w:rFonts w:ascii="ITC Avant Garde" w:eastAsia="Calibri" w:hAnsi="ITC Avant Garde" w:cs="Times New Roman"/>
          <w:color w:val="auto"/>
          <w:kern w:val="2"/>
          <w:sz w:val="22"/>
          <w:lang w:val="es-MX"/>
          <w14:ligatures w14:val="standardContextual"/>
        </w:rPr>
        <w:t>Alcance y Uso de la Ventanilla Electrónica</w:t>
      </w:r>
      <w:bookmarkEnd w:id="16"/>
      <w:r w:rsidRPr="00300411">
        <w:rPr>
          <w:rFonts w:ascii="ITC Avant Garde" w:eastAsia="Calibri" w:hAnsi="ITC Avant Garde" w:cs="Times New Roman"/>
          <w:color w:val="auto"/>
          <w:kern w:val="2"/>
          <w:sz w:val="22"/>
          <w:lang w:val="es-MX"/>
          <w14:ligatures w14:val="standardContextual"/>
        </w:rPr>
        <w:t xml:space="preserve"> en el marco de la Estrategia de Gobierno Electrónico</w:t>
      </w:r>
    </w:p>
    <w:p w14:paraId="26333C2F" w14:textId="77777777" w:rsidR="0066403F" w:rsidRPr="007F3956" w:rsidRDefault="0066403F" w:rsidP="0066403F">
      <w:pPr>
        <w:rPr>
          <w:rFonts w:ascii="ITC Avant Garde" w:eastAsia="Calibri" w:hAnsi="ITC Avant Garde" w:cs="Times New Roman"/>
          <w:color w:val="auto"/>
          <w:kern w:val="2"/>
          <w:sz w:val="22"/>
          <w:lang w:val="es-MX"/>
          <w14:ligatures w14:val="standardContextual"/>
        </w:rPr>
      </w:pPr>
    </w:p>
    <w:p w14:paraId="1698975E"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La Ventanilla Electrónica</w:t>
      </w:r>
      <w:r>
        <w:rPr>
          <w:rFonts w:ascii="ITC Avant Garde" w:eastAsia="Calibri" w:hAnsi="ITC Avant Garde" w:cs="Times New Roman"/>
          <w:b w:val="0"/>
          <w:color w:val="auto"/>
          <w:kern w:val="2"/>
          <w:sz w:val="20"/>
          <w:szCs w:val="20"/>
          <w:lang w:val="es-MX"/>
          <w14:ligatures w14:val="standardContextual"/>
        </w:rPr>
        <w:t>, como se ha dicho anteriormente,</w:t>
      </w:r>
      <w:r w:rsidRPr="001C22B9">
        <w:rPr>
          <w:rFonts w:ascii="ITC Avant Garde" w:eastAsia="Calibri" w:hAnsi="ITC Avant Garde" w:cs="Times New Roman"/>
          <w:b w:val="0"/>
          <w:color w:val="auto"/>
          <w:kern w:val="2"/>
          <w:sz w:val="20"/>
          <w:szCs w:val="20"/>
          <w:lang w:val="es-MX"/>
          <w14:ligatures w14:val="standardContextual"/>
        </w:rPr>
        <w:t xml:space="preserve"> se centra en facilitar la gestión de trámites del IFT</w:t>
      </w:r>
      <w:r>
        <w:rPr>
          <w:rFonts w:ascii="ITC Avant Garde" w:eastAsia="Calibri" w:hAnsi="ITC Avant Garde" w:cs="Times New Roman"/>
          <w:b w:val="0"/>
          <w:color w:val="auto"/>
          <w:kern w:val="2"/>
          <w:sz w:val="20"/>
          <w:szCs w:val="20"/>
          <w:lang w:val="es-MX"/>
          <w14:ligatures w14:val="standardContextual"/>
        </w:rPr>
        <w:t xml:space="preserve"> mediante el uso de las TIC</w:t>
      </w:r>
      <w:r w:rsidRPr="001C22B9">
        <w:rPr>
          <w:rFonts w:ascii="ITC Avant Garde" w:eastAsia="Calibri" w:hAnsi="ITC Avant Garde" w:cs="Times New Roman"/>
          <w:b w:val="0"/>
          <w:color w:val="auto"/>
          <w:kern w:val="2"/>
          <w:sz w:val="20"/>
          <w:szCs w:val="20"/>
          <w:lang w:val="es-MX"/>
          <w14:ligatures w14:val="standardContextual"/>
        </w:rPr>
        <w:t xml:space="preserve">, </w:t>
      </w:r>
      <w:r>
        <w:rPr>
          <w:rFonts w:ascii="ITC Avant Garde" w:eastAsia="Calibri" w:hAnsi="ITC Avant Garde" w:cs="Times New Roman"/>
          <w:b w:val="0"/>
          <w:color w:val="auto"/>
          <w:kern w:val="2"/>
          <w:sz w:val="20"/>
          <w:szCs w:val="20"/>
          <w:lang w:val="es-MX"/>
          <w14:ligatures w14:val="standardContextual"/>
        </w:rPr>
        <w:t>implementando</w:t>
      </w:r>
      <w:r w:rsidRPr="001C22B9">
        <w:rPr>
          <w:rFonts w:ascii="ITC Avant Garde" w:eastAsia="Calibri" w:hAnsi="ITC Avant Garde" w:cs="Times New Roman"/>
          <w:b w:val="0"/>
          <w:color w:val="auto"/>
          <w:kern w:val="2"/>
          <w:sz w:val="20"/>
          <w:szCs w:val="20"/>
          <w:lang w:val="es-MX"/>
          <w14:ligatures w14:val="standardContextual"/>
        </w:rPr>
        <w:t xml:space="preserve"> funcionalidades </w:t>
      </w:r>
      <w:r>
        <w:rPr>
          <w:rFonts w:ascii="ITC Avant Garde" w:eastAsia="Calibri" w:hAnsi="ITC Avant Garde" w:cs="Times New Roman"/>
          <w:b w:val="0"/>
          <w:color w:val="auto"/>
          <w:kern w:val="2"/>
          <w:sz w:val="20"/>
          <w:szCs w:val="20"/>
          <w:lang w:val="es-MX"/>
          <w14:ligatures w14:val="standardContextual"/>
        </w:rPr>
        <w:t>tecnológicas como la generación de</w:t>
      </w:r>
      <w:r w:rsidRPr="001C22B9">
        <w:rPr>
          <w:rFonts w:ascii="ITC Avant Garde" w:eastAsia="Calibri" w:hAnsi="ITC Avant Garde" w:cs="Times New Roman"/>
          <w:b w:val="0"/>
          <w:color w:val="auto"/>
          <w:kern w:val="2"/>
          <w:sz w:val="20"/>
          <w:szCs w:val="20"/>
          <w:lang w:val="es-MX"/>
          <w14:ligatures w14:val="standardContextual"/>
        </w:rPr>
        <w:t> </w:t>
      </w:r>
      <w:r w:rsidRPr="00B977DE">
        <w:rPr>
          <w:rFonts w:ascii="ITC Avant Garde" w:eastAsia="Calibri" w:hAnsi="ITC Avant Garde" w:cs="Times New Roman"/>
          <w:b w:val="0"/>
          <w:color w:val="auto"/>
          <w:kern w:val="2"/>
          <w:sz w:val="20"/>
          <w:szCs w:val="20"/>
          <w:lang w:val="es-MX"/>
          <w14:ligatures w14:val="standardContextual"/>
        </w:rPr>
        <w:t>actuaciones electrónicas</w:t>
      </w:r>
      <w:r w:rsidRPr="001C22B9">
        <w:rPr>
          <w:rFonts w:ascii="ITC Avant Garde" w:eastAsia="Calibri" w:hAnsi="ITC Avant Garde" w:cs="Times New Roman"/>
          <w:b w:val="0"/>
          <w:color w:val="auto"/>
          <w:kern w:val="2"/>
          <w:sz w:val="20"/>
          <w:szCs w:val="20"/>
          <w:lang w:val="es-MX"/>
          <w14:ligatures w14:val="standardContextual"/>
        </w:rPr>
        <w:t>, el uso de </w:t>
      </w:r>
      <w:r w:rsidRPr="00B977DE">
        <w:rPr>
          <w:rFonts w:ascii="ITC Avant Garde" w:eastAsia="Calibri" w:hAnsi="ITC Avant Garde" w:cs="Times New Roman"/>
          <w:b w:val="0"/>
          <w:color w:val="auto"/>
          <w:kern w:val="2"/>
          <w:sz w:val="20"/>
          <w:szCs w:val="20"/>
          <w:lang w:val="es-MX"/>
          <w14:ligatures w14:val="standardContextual"/>
        </w:rPr>
        <w:t>firma electrónica avanzada</w:t>
      </w:r>
      <w:r w:rsidRPr="001C22B9">
        <w:rPr>
          <w:rFonts w:ascii="ITC Avant Garde" w:eastAsia="Calibri" w:hAnsi="ITC Avant Garde" w:cs="Times New Roman"/>
          <w:b w:val="0"/>
          <w:color w:val="auto"/>
          <w:kern w:val="2"/>
          <w:sz w:val="20"/>
          <w:szCs w:val="20"/>
          <w:lang w:val="es-MX"/>
          <w14:ligatures w14:val="standardContextual"/>
        </w:rPr>
        <w:t> y el </w:t>
      </w:r>
      <w:r w:rsidRPr="00B977DE">
        <w:rPr>
          <w:rFonts w:ascii="ITC Avant Garde" w:eastAsia="Calibri" w:hAnsi="ITC Avant Garde" w:cs="Times New Roman"/>
          <w:b w:val="0"/>
          <w:color w:val="auto"/>
          <w:kern w:val="2"/>
          <w:sz w:val="20"/>
          <w:szCs w:val="20"/>
          <w:lang w:val="es-MX"/>
          <w14:ligatures w14:val="standardContextual"/>
        </w:rPr>
        <w:t>expediente de seguimiento</w:t>
      </w:r>
      <w:r w:rsidRPr="001C22B9">
        <w:rPr>
          <w:rFonts w:ascii="Arial" w:eastAsia="Calibri" w:hAnsi="Arial" w:cs="Arial"/>
          <w:b w:val="0"/>
          <w:color w:val="auto"/>
          <w:kern w:val="2"/>
          <w:sz w:val="20"/>
          <w:szCs w:val="20"/>
          <w:lang w:val="es-MX"/>
          <w14:ligatures w14:val="standardContextual"/>
        </w:rPr>
        <w:t>​</w:t>
      </w:r>
      <w:r w:rsidRPr="001C22B9">
        <w:rPr>
          <w:rFonts w:ascii="ITC Avant Garde" w:eastAsia="Calibri" w:hAnsi="ITC Avant Garde" w:cs="Times New Roman"/>
          <w:b w:val="0"/>
          <w:color w:val="auto"/>
          <w:kern w:val="2"/>
          <w:sz w:val="20"/>
          <w:szCs w:val="20"/>
          <w:lang w:val="es-MX"/>
          <w14:ligatures w14:val="standardContextual"/>
        </w:rPr>
        <w:t xml:space="preserve">. </w:t>
      </w:r>
      <w:r>
        <w:rPr>
          <w:rFonts w:ascii="ITC Avant Garde" w:eastAsia="Calibri" w:hAnsi="ITC Avant Garde" w:cs="Times New Roman"/>
          <w:b w:val="0"/>
          <w:color w:val="auto"/>
          <w:kern w:val="2"/>
          <w:sz w:val="20"/>
          <w:szCs w:val="20"/>
          <w:lang w:val="es-MX"/>
          <w14:ligatures w14:val="standardContextual"/>
        </w:rPr>
        <w:t xml:space="preserve">Esta </w:t>
      </w:r>
      <w:r w:rsidRPr="001C22B9">
        <w:rPr>
          <w:rFonts w:ascii="ITC Avant Garde" w:eastAsia="Calibri" w:hAnsi="ITC Avant Garde" w:cs="Times New Roman"/>
          <w:b w:val="0"/>
          <w:color w:val="auto"/>
          <w:kern w:val="2"/>
          <w:sz w:val="20"/>
          <w:szCs w:val="20"/>
          <w:lang w:val="es-MX"/>
          <w14:ligatures w14:val="standardContextual"/>
        </w:rPr>
        <w:t xml:space="preserve">plataforma </w:t>
      </w:r>
      <w:r>
        <w:rPr>
          <w:rFonts w:ascii="ITC Avant Garde" w:eastAsia="Calibri" w:hAnsi="ITC Avant Garde" w:cs="Times New Roman"/>
          <w:b w:val="0"/>
          <w:color w:val="auto"/>
          <w:kern w:val="2"/>
          <w:sz w:val="20"/>
          <w:szCs w:val="20"/>
          <w:lang w:val="es-MX"/>
          <w14:ligatures w14:val="standardContextual"/>
        </w:rPr>
        <w:t xml:space="preserve">electrónica </w:t>
      </w:r>
      <w:r w:rsidRPr="001C22B9">
        <w:rPr>
          <w:rFonts w:ascii="ITC Avant Garde" w:eastAsia="Calibri" w:hAnsi="ITC Avant Garde" w:cs="Times New Roman"/>
          <w:b w:val="0"/>
          <w:color w:val="auto"/>
          <w:kern w:val="2"/>
          <w:sz w:val="20"/>
          <w:szCs w:val="20"/>
          <w:lang w:val="es-MX"/>
          <w14:ligatures w14:val="standardContextual"/>
        </w:rPr>
        <w:t>ha permitido</w:t>
      </w:r>
      <w:r>
        <w:rPr>
          <w:rFonts w:ascii="ITC Avant Garde" w:eastAsia="Calibri" w:hAnsi="ITC Avant Garde" w:cs="Times New Roman"/>
          <w:b w:val="0"/>
          <w:color w:val="auto"/>
          <w:kern w:val="2"/>
          <w:sz w:val="20"/>
          <w:szCs w:val="20"/>
          <w:lang w:val="es-MX"/>
          <w14:ligatures w14:val="standardContextual"/>
        </w:rPr>
        <w:t xml:space="preserve"> hasta la fecha,</w:t>
      </w:r>
      <w:r w:rsidRPr="001C22B9">
        <w:rPr>
          <w:rFonts w:ascii="ITC Avant Garde" w:eastAsia="Calibri" w:hAnsi="ITC Avant Garde" w:cs="Times New Roman"/>
          <w:b w:val="0"/>
          <w:color w:val="auto"/>
          <w:kern w:val="2"/>
          <w:sz w:val="20"/>
          <w:szCs w:val="20"/>
          <w:lang w:val="es-MX"/>
          <w14:ligatures w14:val="standardContextual"/>
        </w:rPr>
        <w:t xml:space="preserve"> la digitalización de más de 250 trámites</w:t>
      </w:r>
      <w:r>
        <w:rPr>
          <w:rFonts w:ascii="ITC Avant Garde" w:eastAsia="Calibri" w:hAnsi="ITC Avant Garde" w:cs="Times New Roman"/>
          <w:b w:val="0"/>
          <w:color w:val="auto"/>
          <w:kern w:val="2"/>
          <w:sz w:val="20"/>
          <w:szCs w:val="20"/>
          <w:lang w:val="es-MX"/>
          <w14:ligatures w14:val="standardContextual"/>
        </w:rPr>
        <w:t xml:space="preserve"> </w:t>
      </w:r>
      <w:r w:rsidRPr="00B977DE">
        <w:rPr>
          <w:rFonts w:ascii="ITC Avant Garde" w:eastAsia="Calibri" w:hAnsi="ITC Avant Garde" w:cs="Times New Roman"/>
          <w:b w:val="0"/>
          <w:color w:val="auto"/>
          <w:kern w:val="2"/>
          <w:sz w:val="20"/>
          <w:szCs w:val="20"/>
          <w:lang w:val="es-MX"/>
          <w14:ligatures w14:val="standardContextual"/>
        </w:rPr>
        <w:t xml:space="preserve">de un total de </w:t>
      </w:r>
      <w:r w:rsidRPr="001C22B9">
        <w:rPr>
          <w:rFonts w:ascii="ITC Avant Garde" w:eastAsia="Calibri" w:hAnsi="ITC Avant Garde" w:cs="Times New Roman"/>
          <w:b w:val="0"/>
          <w:color w:val="auto"/>
          <w:kern w:val="2"/>
          <w:sz w:val="20"/>
          <w:szCs w:val="20"/>
          <w:lang w:val="es-MX"/>
          <w14:ligatures w14:val="standardContextual"/>
        </w:rPr>
        <w:t>promoviendo</w:t>
      </w:r>
      <w:r>
        <w:rPr>
          <w:rFonts w:ascii="ITC Avant Garde" w:eastAsia="Calibri" w:hAnsi="ITC Avant Garde" w:cs="Times New Roman"/>
          <w:b w:val="0"/>
          <w:color w:val="auto"/>
          <w:kern w:val="2"/>
          <w:sz w:val="20"/>
          <w:szCs w:val="20"/>
          <w:lang w:val="es-MX"/>
          <w14:ligatures w14:val="standardContextual"/>
        </w:rPr>
        <w:t xml:space="preserve"> no solo optimización de los recursos de sus personas usuarias, también ayudando a</w:t>
      </w:r>
      <w:r w:rsidRPr="001C22B9">
        <w:rPr>
          <w:rFonts w:ascii="ITC Avant Garde" w:eastAsia="Calibri" w:hAnsi="ITC Avant Garde" w:cs="Times New Roman"/>
          <w:b w:val="0"/>
          <w:color w:val="auto"/>
          <w:kern w:val="2"/>
          <w:sz w:val="20"/>
          <w:szCs w:val="20"/>
          <w:lang w:val="es-MX"/>
          <w14:ligatures w14:val="standardContextual"/>
        </w:rPr>
        <w:t xml:space="preserve"> </w:t>
      </w:r>
      <w:r w:rsidRPr="00B977DE">
        <w:rPr>
          <w:rFonts w:ascii="ITC Avant Garde" w:eastAsia="Calibri" w:hAnsi="ITC Avant Garde" w:cs="Times New Roman"/>
          <w:b w:val="0"/>
          <w:color w:val="auto"/>
          <w:kern w:val="2"/>
          <w:sz w:val="20"/>
          <w:szCs w:val="20"/>
          <w:lang w:val="es-MX"/>
          <w14:ligatures w14:val="standardContextual"/>
        </w:rPr>
        <w:t xml:space="preserve">la sostenibilidad </w:t>
      </w:r>
      <w:r w:rsidRPr="001C22B9">
        <w:rPr>
          <w:rFonts w:ascii="ITC Avant Garde" w:eastAsia="Calibri" w:hAnsi="ITC Avant Garde" w:cs="Times New Roman"/>
          <w:b w:val="0"/>
          <w:color w:val="auto"/>
          <w:kern w:val="2"/>
          <w:sz w:val="20"/>
          <w:szCs w:val="20"/>
          <w:lang w:val="es-MX"/>
          <w14:ligatures w14:val="standardContextual"/>
        </w:rPr>
        <w:t xml:space="preserve">al reducir el uso de papel y la necesidad de desplazamientos físicos. </w:t>
      </w:r>
      <w:r>
        <w:rPr>
          <w:rFonts w:ascii="ITC Avant Garde" w:eastAsia="Calibri" w:hAnsi="ITC Avant Garde" w:cs="Times New Roman"/>
          <w:b w:val="0"/>
          <w:color w:val="auto"/>
          <w:kern w:val="2"/>
          <w:sz w:val="20"/>
          <w:szCs w:val="20"/>
          <w:lang w:val="es-MX"/>
          <w14:ligatures w14:val="standardContextual"/>
        </w:rPr>
        <w:t xml:space="preserve">Se tiene registro que, hasta tercer trimestre de 2024, se han facilitado </w:t>
      </w:r>
      <w:r w:rsidRPr="00B977DE">
        <w:rPr>
          <w:rFonts w:ascii="ITC Avant Garde" w:eastAsia="Calibri" w:hAnsi="ITC Avant Garde" w:cs="Times New Roman"/>
          <w:b w:val="0"/>
          <w:color w:val="auto"/>
          <w:kern w:val="2"/>
          <w:sz w:val="20"/>
          <w:szCs w:val="20"/>
          <w:lang w:val="es-MX"/>
          <w14:ligatures w14:val="standardContextual"/>
        </w:rPr>
        <w:t>más de 340.000 trámites, mostrando su efectividad como herramienta para los sectores de telecomunicaciones y radiodifusión</w:t>
      </w:r>
      <w:r w:rsidRPr="001C22B9">
        <w:rPr>
          <w:rFonts w:ascii="Arial" w:eastAsia="Calibri" w:hAnsi="Arial" w:cs="Arial"/>
          <w:b w:val="0"/>
          <w:color w:val="auto"/>
          <w:kern w:val="2"/>
          <w:sz w:val="20"/>
          <w:szCs w:val="20"/>
          <w:lang w:val="es-MX"/>
          <w14:ligatures w14:val="standardContextual"/>
        </w:rPr>
        <w:t>​</w:t>
      </w:r>
    </w:p>
    <w:p w14:paraId="76F39EC7" w14:textId="77777777" w:rsidR="0066403F" w:rsidRPr="00300411" w:rsidRDefault="0066403F" w:rsidP="0066403F">
      <w:pPr>
        <w:rPr>
          <w:rFonts w:ascii="ITC Avant Garde" w:eastAsia="Calibri" w:hAnsi="ITC Avant Garde" w:cs="Times New Roman"/>
          <w:color w:val="auto"/>
          <w:kern w:val="2"/>
          <w:sz w:val="22"/>
          <w:lang w:val="es-MX"/>
          <w14:ligatures w14:val="standardContextual"/>
        </w:rPr>
      </w:pPr>
      <w:bookmarkStart w:id="17" w:name="_Toc183000913"/>
      <w:r w:rsidRPr="00300411">
        <w:rPr>
          <w:rFonts w:ascii="ITC Avant Garde" w:eastAsia="Calibri" w:hAnsi="ITC Avant Garde" w:cs="Times New Roman"/>
          <w:color w:val="auto"/>
          <w:kern w:val="2"/>
          <w:sz w:val="22"/>
          <w:lang w:val="es-MX"/>
          <w14:ligatures w14:val="standardContextual"/>
        </w:rPr>
        <w:lastRenderedPageBreak/>
        <w:t>La importancia de evaluar la Ventanilla Electrónica en el marco de la Estrategia de Gobierno Electrónico</w:t>
      </w:r>
      <w:bookmarkEnd w:id="17"/>
    </w:p>
    <w:p w14:paraId="7B1F29E2" w14:textId="77777777" w:rsidR="0066403F" w:rsidRPr="00795936" w:rsidRDefault="0066403F" w:rsidP="0066403F">
      <w:pPr>
        <w:rPr>
          <w:rFonts w:ascii="ITC Avant Garde" w:eastAsia="Calibri" w:hAnsi="ITC Avant Garde" w:cs="Times New Roman"/>
          <w:color w:val="auto"/>
          <w:kern w:val="2"/>
          <w:sz w:val="20"/>
          <w:szCs w:val="20"/>
          <w:lang w:val="es-MX"/>
          <w14:ligatures w14:val="standardContextual"/>
        </w:rPr>
      </w:pPr>
    </w:p>
    <w:p w14:paraId="7596AB06" w14:textId="6B00C996" w:rsidR="0066403F" w:rsidRPr="00720A9E"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Pr>
          <w:rFonts w:ascii="ITC Avant Garde" w:eastAsia="Calibri" w:hAnsi="ITC Avant Garde" w:cs="Times New Roman"/>
          <w:b w:val="0"/>
          <w:color w:val="auto"/>
          <w:kern w:val="2"/>
          <w:sz w:val="20"/>
          <w:szCs w:val="20"/>
          <w:lang w:val="es-MX"/>
          <w14:ligatures w14:val="standardContextual"/>
        </w:rPr>
        <w:t>Desde su creación, el Instituto se ha encargado de fomentar escuchar las</w:t>
      </w:r>
      <w:r w:rsidRPr="00FF4240">
        <w:rPr>
          <w:rFonts w:ascii="ITC Avant Garde" w:eastAsia="Calibri" w:hAnsi="ITC Avant Garde" w:cs="Times New Roman"/>
          <w:b w:val="0"/>
          <w:color w:val="auto"/>
          <w:kern w:val="2"/>
          <w:sz w:val="20"/>
          <w:szCs w:val="20"/>
          <w:lang w:val="es-MX"/>
          <w14:ligatures w14:val="standardContextual"/>
        </w:rPr>
        <w:t xml:space="preserve"> propuestas y comentarios de los ciudadanos y de todas las partes interesadas sobre las materias de su competencia</w:t>
      </w:r>
      <w:r>
        <w:rPr>
          <w:rFonts w:ascii="ITC Avant Garde" w:eastAsia="Calibri" w:hAnsi="ITC Avant Garde" w:cs="Times New Roman"/>
          <w:b w:val="0"/>
          <w:color w:val="auto"/>
          <w:kern w:val="2"/>
          <w:sz w:val="20"/>
          <w:szCs w:val="20"/>
          <w:lang w:val="es-MX"/>
          <w14:ligatures w14:val="standardContextual"/>
        </w:rPr>
        <w:t xml:space="preserve">, ya que, </w:t>
      </w:r>
      <w:r w:rsidR="00715F31" w:rsidRPr="00715F31">
        <w:rPr>
          <w:rFonts w:ascii="ITC Avant Garde" w:eastAsia="Calibri" w:hAnsi="ITC Avant Garde" w:cs="Times New Roman"/>
          <w:b w:val="0"/>
          <w:color w:val="auto"/>
          <w:kern w:val="2"/>
          <w:sz w:val="20"/>
          <w:szCs w:val="20"/>
          <w:lang w:val="es-MX"/>
          <w14:ligatures w14:val="standardContextual"/>
        </w:rPr>
        <w:t>en la Ley se establece que el IFT deberá operar bajo los principios de transparencia y participación ciudadana, asegurando la emisión y modificación de reglas</w:t>
      </w:r>
      <w:r w:rsidRPr="00FF4240">
        <w:rPr>
          <w:rFonts w:ascii="ITC Avant Garde" w:eastAsia="Calibri" w:hAnsi="ITC Avant Garde" w:cs="Times New Roman"/>
          <w:b w:val="0"/>
          <w:color w:val="auto"/>
          <w:kern w:val="2"/>
          <w:sz w:val="20"/>
          <w:szCs w:val="20"/>
          <w:lang w:val="es-MX"/>
          <w14:ligatures w14:val="standardContextual"/>
        </w:rPr>
        <w:t xml:space="preserve">, lineamientos o disposiciones administrativas de carácter general, así como en cualquier caso que </w:t>
      </w:r>
      <w:r w:rsidRPr="00B977DE">
        <w:rPr>
          <w:rFonts w:ascii="ITC Avant Garde" w:eastAsia="Calibri" w:hAnsi="ITC Avant Garde" w:cs="Times New Roman"/>
          <w:b w:val="0"/>
          <w:color w:val="auto"/>
          <w:kern w:val="2"/>
          <w:sz w:val="20"/>
          <w:szCs w:val="20"/>
          <w:lang w:val="es-MX"/>
          <w14:ligatures w14:val="standardContextual"/>
        </w:rPr>
        <w:t>determine el Pleno</w:t>
      </w:r>
      <w:r w:rsidRPr="00FF4240">
        <w:rPr>
          <w:rFonts w:ascii="ITC Avant Garde" w:eastAsia="Calibri" w:hAnsi="ITC Avant Garde" w:cs="Times New Roman"/>
          <w:b w:val="0"/>
          <w:color w:val="auto"/>
          <w:kern w:val="2"/>
          <w:sz w:val="20"/>
          <w:szCs w:val="20"/>
          <w:lang w:val="es-MX"/>
          <w14:ligatures w14:val="standardContextual"/>
        </w:rPr>
        <w:t>.</w:t>
      </w:r>
    </w:p>
    <w:p w14:paraId="302C02FC" w14:textId="77777777" w:rsidR="0066403F"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Pr>
          <w:rFonts w:ascii="ITC Avant Garde" w:eastAsia="Calibri" w:hAnsi="ITC Avant Garde" w:cs="Times New Roman"/>
          <w:b w:val="0"/>
          <w:bCs/>
          <w:color w:val="auto"/>
          <w:kern w:val="2"/>
          <w:sz w:val="20"/>
          <w:szCs w:val="20"/>
          <w:lang w:val="es-MX"/>
          <w14:ligatures w14:val="standardContextual"/>
        </w:rPr>
        <w:t xml:space="preserve">Al respecto, los </w:t>
      </w:r>
      <w:r w:rsidRPr="0003012C">
        <w:rPr>
          <w:rFonts w:ascii="ITC Avant Garde" w:eastAsia="Calibri" w:hAnsi="ITC Avant Garde" w:cs="Times New Roman"/>
          <w:b w:val="0"/>
          <w:i/>
          <w:iCs/>
          <w:color w:val="auto"/>
          <w:kern w:val="2"/>
          <w:sz w:val="20"/>
          <w:szCs w:val="20"/>
          <w:lang w:val="es-MX"/>
          <w14:ligatures w14:val="standardContextual"/>
        </w:rPr>
        <w:t>Lineamientos de Consulta Pública y Análisis de Impacto Regulatorio del Instituto Federal de Telecomunicaciones</w:t>
      </w:r>
      <w:r>
        <w:rPr>
          <w:rFonts w:ascii="ITC Avant Garde" w:eastAsia="Calibri" w:hAnsi="ITC Avant Garde" w:cs="Times New Roman"/>
          <w:b w:val="0"/>
          <w:i/>
          <w:iCs/>
          <w:color w:val="auto"/>
          <w:kern w:val="2"/>
          <w:sz w:val="20"/>
          <w:szCs w:val="20"/>
          <w:lang w:val="es-MX"/>
          <w14:ligatures w14:val="standardContextual"/>
        </w:rPr>
        <w:t xml:space="preserve">, </w:t>
      </w:r>
      <w:r w:rsidRPr="00B977DE">
        <w:rPr>
          <w:rFonts w:ascii="ITC Avant Garde" w:eastAsia="Calibri" w:hAnsi="ITC Avant Garde" w:cs="Times New Roman"/>
          <w:b w:val="0"/>
          <w:color w:val="auto"/>
          <w:kern w:val="2"/>
          <w:sz w:val="20"/>
          <w:szCs w:val="20"/>
          <w:lang w:val="es-MX"/>
          <w14:ligatures w14:val="standardContextual"/>
        </w:rPr>
        <w:t>prevé la posibilida</w:t>
      </w:r>
      <w:r>
        <w:rPr>
          <w:rFonts w:ascii="ITC Avant Garde" w:eastAsia="Calibri" w:hAnsi="ITC Avant Garde" w:cs="Times New Roman"/>
          <w:b w:val="0"/>
          <w:color w:val="auto"/>
          <w:kern w:val="2"/>
          <w:sz w:val="20"/>
          <w:szCs w:val="20"/>
          <w:lang w:val="es-MX"/>
          <w14:ligatures w14:val="standardContextual"/>
        </w:rPr>
        <w:t>d de que el IFT pueda evaluar las políticas regulatorias implementadas a través de la realización de consultas públicas de evaluación. En ese sentido, el Pleno del Instituto emitió el acuerdo correspondiente para la realización de referido tipo.</w:t>
      </w:r>
    </w:p>
    <w:p w14:paraId="237B567D"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La evaluación</w:t>
      </w:r>
      <w:r>
        <w:rPr>
          <w:rFonts w:ascii="ITC Avant Garde" w:eastAsia="Calibri" w:hAnsi="ITC Avant Garde" w:cs="Times New Roman"/>
          <w:b w:val="0"/>
          <w:color w:val="auto"/>
          <w:kern w:val="2"/>
          <w:sz w:val="20"/>
          <w:szCs w:val="20"/>
          <w:lang w:val="es-MX"/>
          <w14:ligatures w14:val="standardContextual"/>
        </w:rPr>
        <w:t xml:space="preserve"> utilizada para medir la satisfacción de las personas usuarias de</w:t>
      </w:r>
      <w:r w:rsidRPr="001C22B9">
        <w:rPr>
          <w:rFonts w:ascii="ITC Avant Garde" w:eastAsia="Calibri" w:hAnsi="ITC Avant Garde" w:cs="Times New Roman"/>
          <w:b w:val="0"/>
          <w:color w:val="auto"/>
          <w:kern w:val="2"/>
          <w:sz w:val="20"/>
          <w:szCs w:val="20"/>
          <w:lang w:val="es-MX"/>
          <w14:ligatures w14:val="standardContextual"/>
        </w:rPr>
        <w:t xml:space="preserve"> la Ventanilla Electrónica y la Estrategia de Gobierno Electrónico</w:t>
      </w:r>
      <w:r>
        <w:rPr>
          <w:rFonts w:ascii="ITC Avant Garde" w:eastAsia="Calibri" w:hAnsi="ITC Avant Garde" w:cs="Times New Roman"/>
          <w:b w:val="0"/>
          <w:color w:val="auto"/>
          <w:kern w:val="2"/>
          <w:sz w:val="20"/>
          <w:szCs w:val="20"/>
          <w:lang w:val="es-MX"/>
          <w14:ligatures w14:val="standardContextual"/>
        </w:rPr>
        <w:t xml:space="preserve"> del Instituto</w:t>
      </w:r>
      <w:r w:rsidRPr="001C22B9">
        <w:rPr>
          <w:rFonts w:ascii="ITC Avant Garde" w:eastAsia="Calibri" w:hAnsi="ITC Avant Garde" w:cs="Times New Roman"/>
          <w:b w:val="0"/>
          <w:color w:val="auto"/>
          <w:kern w:val="2"/>
          <w:sz w:val="20"/>
          <w:szCs w:val="20"/>
          <w:lang w:val="es-MX"/>
          <w14:ligatures w14:val="standardContextual"/>
        </w:rPr>
        <w:t xml:space="preserve"> permit</w:t>
      </w:r>
      <w:r>
        <w:rPr>
          <w:rFonts w:ascii="ITC Avant Garde" w:eastAsia="Calibri" w:hAnsi="ITC Avant Garde" w:cs="Times New Roman"/>
          <w:b w:val="0"/>
          <w:color w:val="auto"/>
          <w:kern w:val="2"/>
          <w:sz w:val="20"/>
          <w:szCs w:val="20"/>
          <w:lang w:val="es-MX"/>
          <w14:ligatures w14:val="standardContextual"/>
        </w:rPr>
        <w:t>ió</w:t>
      </w:r>
      <w:r w:rsidRPr="001C22B9">
        <w:rPr>
          <w:rFonts w:ascii="ITC Avant Garde" w:eastAsia="Calibri" w:hAnsi="ITC Avant Garde" w:cs="Times New Roman"/>
          <w:b w:val="0"/>
          <w:color w:val="auto"/>
          <w:kern w:val="2"/>
          <w:sz w:val="20"/>
          <w:szCs w:val="20"/>
          <w:lang w:val="es-MX"/>
          <w14:ligatures w14:val="standardContextual"/>
        </w:rPr>
        <w:t xml:space="preserve"> verificar la eficiencia y adaptabilidad de estos servicio</w:t>
      </w:r>
      <w:r>
        <w:rPr>
          <w:rFonts w:ascii="ITC Avant Garde" w:eastAsia="Calibri" w:hAnsi="ITC Avant Garde" w:cs="Times New Roman"/>
          <w:b w:val="0"/>
          <w:color w:val="auto"/>
          <w:kern w:val="2"/>
          <w:sz w:val="20"/>
          <w:szCs w:val="20"/>
          <w:lang w:val="es-MX"/>
          <w14:ligatures w14:val="standardContextual"/>
        </w:rPr>
        <w:t>s, desde su entrada en vigor y durante su implementación</w:t>
      </w:r>
      <w:r w:rsidRPr="001C22B9">
        <w:rPr>
          <w:rFonts w:ascii="ITC Avant Garde" w:eastAsia="Calibri" w:hAnsi="ITC Avant Garde" w:cs="Times New Roman"/>
          <w:b w:val="0"/>
          <w:color w:val="auto"/>
          <w:kern w:val="2"/>
          <w:sz w:val="20"/>
          <w:szCs w:val="20"/>
          <w:lang w:val="es-MX"/>
          <w14:ligatures w14:val="standardContextual"/>
        </w:rPr>
        <w:t xml:space="preserve">. Según </w:t>
      </w:r>
      <w:r w:rsidRPr="00AA560E">
        <w:rPr>
          <w:rFonts w:ascii="ITC Avant Garde" w:eastAsia="Calibri" w:hAnsi="ITC Avant Garde" w:cs="Times New Roman"/>
          <w:b w:val="0"/>
          <w:color w:val="auto"/>
          <w:kern w:val="2"/>
          <w:sz w:val="20"/>
          <w:szCs w:val="20"/>
          <w:lang w:val="es-MX"/>
          <w14:ligatures w14:val="standardContextual"/>
        </w:rPr>
        <w:t>la OCDE dio a conocer a sus países miembros la Recomendación del Consejo sobre Política y Gobernanza Regulatoria en 2012</w:t>
      </w:r>
      <w:r>
        <w:rPr>
          <w:rStyle w:val="Refdenotaalpie"/>
          <w:rFonts w:ascii="ITC Avant Garde" w:eastAsia="Calibri" w:hAnsi="ITC Avant Garde" w:cs="Times New Roman"/>
          <w:b w:val="0"/>
          <w:color w:val="auto"/>
          <w:kern w:val="2"/>
          <w:sz w:val="20"/>
          <w:szCs w:val="20"/>
          <w:lang w:val="es-MX"/>
          <w14:ligatures w14:val="standardContextual"/>
        </w:rPr>
        <w:footnoteReference w:id="7"/>
      </w:r>
      <w:r>
        <w:rPr>
          <w:rFonts w:ascii="ITC Avant Garde" w:eastAsia="Calibri" w:hAnsi="ITC Avant Garde" w:cs="Times New Roman"/>
          <w:b w:val="0"/>
          <w:color w:val="auto"/>
          <w:kern w:val="2"/>
          <w:sz w:val="20"/>
          <w:szCs w:val="20"/>
          <w:lang w:val="es-MX"/>
          <w14:ligatures w14:val="standardContextual"/>
        </w:rPr>
        <w:t xml:space="preserve">, entre ellas, la relacionada con </w:t>
      </w:r>
      <w:r w:rsidRPr="001C22B9">
        <w:rPr>
          <w:rFonts w:ascii="ITC Avant Garde" w:eastAsia="Calibri" w:hAnsi="ITC Avant Garde" w:cs="Times New Roman"/>
          <w:b w:val="0"/>
          <w:color w:val="auto"/>
          <w:kern w:val="2"/>
          <w:sz w:val="20"/>
          <w:szCs w:val="20"/>
          <w:lang w:val="es-MX"/>
          <w14:ligatures w14:val="standardContextual"/>
        </w:rPr>
        <w:t>la </w:t>
      </w:r>
      <w:r w:rsidRPr="001C22B9">
        <w:rPr>
          <w:rFonts w:ascii="ITC Avant Garde" w:eastAsia="Calibri" w:hAnsi="ITC Avant Garde" w:cs="Times New Roman"/>
          <w:bCs/>
          <w:color w:val="auto"/>
          <w:kern w:val="2"/>
          <w:sz w:val="20"/>
          <w:szCs w:val="20"/>
          <w:lang w:val="es-MX"/>
          <w14:ligatures w14:val="standardContextual"/>
        </w:rPr>
        <w:t>evaluación ex post</w:t>
      </w:r>
      <w:r>
        <w:rPr>
          <w:rFonts w:ascii="ITC Avant Garde" w:eastAsia="Calibri" w:hAnsi="ITC Avant Garde" w:cs="Times New Roman"/>
          <w:bCs/>
          <w:color w:val="auto"/>
          <w:kern w:val="2"/>
          <w:sz w:val="20"/>
          <w:szCs w:val="20"/>
          <w:lang w:val="es-MX"/>
          <w14:ligatures w14:val="standardContextual"/>
        </w:rPr>
        <w:t xml:space="preserve">, </w:t>
      </w:r>
      <w:r w:rsidRPr="00B977DE">
        <w:rPr>
          <w:rFonts w:ascii="ITC Avant Garde" w:eastAsia="Calibri" w:hAnsi="ITC Avant Garde" w:cs="Times New Roman"/>
          <w:b w:val="0"/>
          <w:color w:val="auto"/>
          <w:kern w:val="2"/>
          <w:sz w:val="20"/>
          <w:szCs w:val="20"/>
          <w:lang w:val="es-MX"/>
          <w14:ligatures w14:val="standardContextual"/>
        </w:rPr>
        <w:t>ésta</w:t>
      </w:r>
      <w:r w:rsidRPr="001C22B9">
        <w:rPr>
          <w:rFonts w:ascii="ITC Avant Garde" w:eastAsia="Calibri" w:hAnsi="ITC Avant Garde" w:cs="Times New Roman"/>
          <w:b w:val="0"/>
          <w:color w:val="auto"/>
          <w:kern w:val="2"/>
          <w:sz w:val="20"/>
          <w:szCs w:val="20"/>
          <w:lang w:val="es-MX"/>
          <w14:ligatures w14:val="standardContextual"/>
        </w:rPr>
        <w:t xml:space="preserve"> permite garantizar que los beneficios de los servicios digitales superen los costos, ofreciendo una base para decisiones informadas y ajustes en los sistemas de gestión pública</w:t>
      </w:r>
      <w:r w:rsidRPr="001C22B9">
        <w:rPr>
          <w:rFonts w:ascii="Arial" w:eastAsia="Calibri" w:hAnsi="Arial" w:cs="Arial"/>
          <w:b w:val="0"/>
          <w:color w:val="auto"/>
          <w:kern w:val="2"/>
          <w:sz w:val="20"/>
          <w:szCs w:val="20"/>
          <w:lang w:val="es-MX"/>
          <w14:ligatures w14:val="standardContextual"/>
        </w:rPr>
        <w:t>​</w:t>
      </w:r>
      <w:r w:rsidRPr="001C22B9">
        <w:rPr>
          <w:rFonts w:ascii="ITC Avant Garde" w:eastAsia="Calibri" w:hAnsi="ITC Avant Garde" w:cs="Times New Roman"/>
          <w:b w:val="0"/>
          <w:color w:val="auto"/>
          <w:kern w:val="2"/>
          <w:sz w:val="20"/>
          <w:szCs w:val="20"/>
          <w:lang w:val="es-MX"/>
          <w14:ligatures w14:val="standardContextual"/>
        </w:rPr>
        <w:t>.</w:t>
      </w:r>
    </w:p>
    <w:p w14:paraId="37C049EB"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Este proceso de evaluación </w:t>
      </w:r>
      <w:r>
        <w:rPr>
          <w:rFonts w:ascii="ITC Avant Garde" w:eastAsia="Calibri" w:hAnsi="ITC Avant Garde" w:cs="Times New Roman"/>
          <w:b w:val="0"/>
          <w:color w:val="auto"/>
          <w:kern w:val="2"/>
          <w:sz w:val="20"/>
          <w:szCs w:val="20"/>
          <w:lang w:val="es-MX"/>
          <w14:ligatures w14:val="standardContextual"/>
        </w:rPr>
        <w:t xml:space="preserve">utilizado </w:t>
      </w:r>
      <w:r w:rsidRPr="001C22B9">
        <w:rPr>
          <w:rFonts w:ascii="ITC Avant Garde" w:eastAsia="Calibri" w:hAnsi="ITC Avant Garde" w:cs="Times New Roman"/>
          <w:b w:val="0"/>
          <w:color w:val="auto"/>
          <w:kern w:val="2"/>
          <w:sz w:val="20"/>
          <w:szCs w:val="20"/>
          <w:lang w:val="es-MX"/>
          <w14:ligatures w14:val="standardContextual"/>
        </w:rPr>
        <w:t>aporta beneficios en tres áreas principales:</w:t>
      </w:r>
    </w:p>
    <w:p w14:paraId="66E08619" w14:textId="77777777" w:rsidR="0066403F" w:rsidRPr="001C22B9" w:rsidRDefault="0066403F" w:rsidP="0066403F">
      <w:pPr>
        <w:numPr>
          <w:ilvl w:val="0"/>
          <w:numId w:val="5"/>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Optimización de los servicios</w:t>
      </w:r>
      <w:r w:rsidRPr="001C22B9">
        <w:rPr>
          <w:rFonts w:ascii="ITC Avant Garde" w:eastAsia="Calibri" w:hAnsi="ITC Avant Garde" w:cs="Times New Roman"/>
          <w:b w:val="0"/>
          <w:color w:val="auto"/>
          <w:kern w:val="2"/>
          <w:sz w:val="20"/>
          <w:szCs w:val="20"/>
          <w:lang w:val="es-MX"/>
          <w14:ligatures w14:val="standardContextual"/>
        </w:rPr>
        <w:t xml:space="preserve">: </w:t>
      </w:r>
      <w:r>
        <w:rPr>
          <w:rFonts w:ascii="ITC Avant Garde" w:eastAsia="Calibri" w:hAnsi="ITC Avant Garde" w:cs="Times New Roman"/>
          <w:b w:val="0"/>
          <w:color w:val="auto"/>
          <w:kern w:val="2"/>
          <w:sz w:val="20"/>
          <w:szCs w:val="20"/>
          <w:lang w:val="es-MX"/>
          <w14:ligatures w14:val="standardContextual"/>
        </w:rPr>
        <w:t>Permite i</w:t>
      </w:r>
      <w:r w:rsidRPr="001C22B9">
        <w:rPr>
          <w:rFonts w:ascii="ITC Avant Garde" w:eastAsia="Calibri" w:hAnsi="ITC Avant Garde" w:cs="Times New Roman"/>
          <w:b w:val="0"/>
          <w:color w:val="auto"/>
          <w:kern w:val="2"/>
          <w:sz w:val="20"/>
          <w:szCs w:val="20"/>
          <w:lang w:val="es-MX"/>
          <w14:ligatures w14:val="standardContextual"/>
        </w:rPr>
        <w:t>dentificar áreas de mejora en tiempo real para adaptar el servicio a las necesidades del usuario.</w:t>
      </w:r>
    </w:p>
    <w:p w14:paraId="4E856318" w14:textId="77777777" w:rsidR="0066403F" w:rsidRPr="001C22B9" w:rsidRDefault="0066403F" w:rsidP="0066403F">
      <w:pPr>
        <w:numPr>
          <w:ilvl w:val="0"/>
          <w:numId w:val="5"/>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Incremento de la confianza del usuario</w:t>
      </w:r>
      <w:r w:rsidRPr="001C22B9">
        <w:rPr>
          <w:rFonts w:ascii="ITC Avant Garde" w:eastAsia="Calibri" w:hAnsi="ITC Avant Garde" w:cs="Times New Roman"/>
          <w:b w:val="0"/>
          <w:color w:val="auto"/>
          <w:kern w:val="2"/>
          <w:sz w:val="20"/>
          <w:szCs w:val="20"/>
          <w:lang w:val="es-MX"/>
          <w14:ligatures w14:val="standardContextual"/>
        </w:rPr>
        <w:t xml:space="preserve">: </w:t>
      </w:r>
      <w:r>
        <w:rPr>
          <w:rFonts w:ascii="ITC Avant Garde" w:eastAsia="Calibri" w:hAnsi="ITC Avant Garde" w:cs="Times New Roman"/>
          <w:b w:val="0"/>
          <w:color w:val="auto"/>
          <w:kern w:val="2"/>
          <w:sz w:val="20"/>
          <w:szCs w:val="20"/>
          <w:lang w:val="es-MX"/>
          <w14:ligatures w14:val="standardContextual"/>
        </w:rPr>
        <w:t xml:space="preserve">Al conocer cada uno de los procedimientos en sus actuaciones, brinda a las personas usuarias mayor </w:t>
      </w:r>
      <w:r w:rsidRPr="001C22B9">
        <w:rPr>
          <w:rFonts w:ascii="ITC Avant Garde" w:eastAsia="Calibri" w:hAnsi="ITC Avant Garde" w:cs="Times New Roman"/>
          <w:b w:val="0"/>
          <w:color w:val="auto"/>
          <w:kern w:val="2"/>
          <w:sz w:val="20"/>
          <w:szCs w:val="20"/>
          <w:lang w:val="es-MX"/>
          <w14:ligatures w14:val="standardContextual"/>
        </w:rPr>
        <w:t xml:space="preserve">transparencia en </w:t>
      </w:r>
      <w:r>
        <w:rPr>
          <w:rFonts w:ascii="ITC Avant Garde" w:eastAsia="Calibri" w:hAnsi="ITC Avant Garde" w:cs="Times New Roman"/>
          <w:b w:val="0"/>
          <w:color w:val="auto"/>
          <w:kern w:val="2"/>
          <w:sz w:val="20"/>
          <w:szCs w:val="20"/>
          <w:lang w:val="es-MX"/>
          <w14:ligatures w14:val="standardContextual"/>
        </w:rPr>
        <w:t>dichos procedimientos</w:t>
      </w:r>
      <w:r w:rsidRPr="001C22B9">
        <w:rPr>
          <w:rFonts w:ascii="ITC Avant Garde" w:eastAsia="Calibri" w:hAnsi="ITC Avant Garde" w:cs="Times New Roman"/>
          <w:b w:val="0"/>
          <w:color w:val="auto"/>
          <w:kern w:val="2"/>
          <w:sz w:val="20"/>
          <w:szCs w:val="20"/>
          <w:lang w:val="es-MX"/>
          <w14:ligatures w14:val="standardContextual"/>
        </w:rPr>
        <w:t xml:space="preserve"> ayuda</w:t>
      </w:r>
      <w:r>
        <w:rPr>
          <w:rFonts w:ascii="ITC Avant Garde" w:eastAsia="Calibri" w:hAnsi="ITC Avant Garde" w:cs="Times New Roman"/>
          <w:b w:val="0"/>
          <w:color w:val="auto"/>
          <w:kern w:val="2"/>
          <w:sz w:val="20"/>
          <w:szCs w:val="20"/>
          <w:lang w:val="es-MX"/>
          <w14:ligatures w14:val="standardContextual"/>
        </w:rPr>
        <w:t>ndo</w:t>
      </w:r>
      <w:r w:rsidRPr="001C22B9">
        <w:rPr>
          <w:rFonts w:ascii="ITC Avant Garde" w:eastAsia="Calibri" w:hAnsi="ITC Avant Garde" w:cs="Times New Roman"/>
          <w:b w:val="0"/>
          <w:color w:val="auto"/>
          <w:kern w:val="2"/>
          <w:sz w:val="20"/>
          <w:szCs w:val="20"/>
          <w:lang w:val="es-MX"/>
          <w14:ligatures w14:val="standardContextual"/>
        </w:rPr>
        <w:t xml:space="preserve"> a construir una relación de confianza entre el usuario y el IFT.</w:t>
      </w:r>
    </w:p>
    <w:p w14:paraId="6E376CC7" w14:textId="77777777" w:rsidR="0066403F" w:rsidRPr="001C22B9" w:rsidRDefault="0066403F" w:rsidP="0066403F">
      <w:pPr>
        <w:numPr>
          <w:ilvl w:val="0"/>
          <w:numId w:val="5"/>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Cumplimiento de estándares de calidad</w:t>
      </w:r>
      <w:r w:rsidRPr="001C22B9">
        <w:rPr>
          <w:rFonts w:ascii="ITC Avant Garde" w:eastAsia="Calibri" w:hAnsi="ITC Avant Garde" w:cs="Times New Roman"/>
          <w:b w:val="0"/>
          <w:color w:val="auto"/>
          <w:kern w:val="2"/>
          <w:sz w:val="20"/>
          <w:szCs w:val="20"/>
          <w:lang w:val="es-MX"/>
          <w14:ligatures w14:val="standardContextual"/>
        </w:rPr>
        <w:t>: A</w:t>
      </w:r>
      <w:r>
        <w:rPr>
          <w:rFonts w:ascii="ITC Avant Garde" w:eastAsia="Calibri" w:hAnsi="ITC Avant Garde" w:cs="Times New Roman"/>
          <w:b w:val="0"/>
          <w:color w:val="auto"/>
          <w:kern w:val="2"/>
          <w:sz w:val="20"/>
          <w:szCs w:val="20"/>
          <w:lang w:val="es-MX"/>
          <w14:ligatures w14:val="standardContextual"/>
        </w:rPr>
        <w:t>l a</w:t>
      </w:r>
      <w:r w:rsidRPr="001C22B9">
        <w:rPr>
          <w:rFonts w:ascii="ITC Avant Garde" w:eastAsia="Calibri" w:hAnsi="ITC Avant Garde" w:cs="Times New Roman"/>
          <w:b w:val="0"/>
          <w:color w:val="auto"/>
          <w:kern w:val="2"/>
          <w:sz w:val="20"/>
          <w:szCs w:val="20"/>
          <w:lang w:val="es-MX"/>
          <w14:ligatures w14:val="standardContextual"/>
        </w:rPr>
        <w:t>dherirse a los principios de mejora regulatoria y gobierno abierto, el IFT se alinea con</w:t>
      </w:r>
      <w:r>
        <w:rPr>
          <w:rFonts w:ascii="ITC Avant Garde" w:eastAsia="Calibri" w:hAnsi="ITC Avant Garde" w:cs="Times New Roman"/>
          <w:b w:val="0"/>
          <w:color w:val="auto"/>
          <w:kern w:val="2"/>
          <w:sz w:val="20"/>
          <w:szCs w:val="20"/>
          <w:lang w:val="es-MX"/>
          <w14:ligatures w14:val="standardContextual"/>
        </w:rPr>
        <w:t xml:space="preserve"> los mejores</w:t>
      </w:r>
      <w:r w:rsidRPr="001C22B9">
        <w:rPr>
          <w:rFonts w:ascii="ITC Avant Garde" w:eastAsia="Calibri" w:hAnsi="ITC Avant Garde" w:cs="Times New Roman"/>
          <w:b w:val="0"/>
          <w:color w:val="auto"/>
          <w:kern w:val="2"/>
          <w:sz w:val="20"/>
          <w:szCs w:val="20"/>
          <w:lang w:val="es-MX"/>
          <w14:ligatures w14:val="standardContextual"/>
        </w:rPr>
        <w:t xml:space="preserve"> estándares internacionales, optimizando la percepción y el desempeño de sus servicios digitales.</w:t>
      </w:r>
    </w:p>
    <w:p w14:paraId="5F54FF0F" w14:textId="77777777" w:rsidR="0066403F" w:rsidRPr="005234D5" w:rsidRDefault="0066403F" w:rsidP="0066403F">
      <w:pPr>
        <w:rPr>
          <w:rFonts w:ascii="ITC Avant Garde" w:eastAsia="Calibri" w:hAnsi="ITC Avant Garde"/>
          <w:color w:val="auto"/>
          <w:kern w:val="2"/>
          <w:sz w:val="22"/>
          <w:lang w:val="es-MX"/>
          <w14:ligatures w14:val="standardContextual"/>
        </w:rPr>
      </w:pPr>
      <w:bookmarkStart w:id="18" w:name="_Toc183000914"/>
      <w:r w:rsidRPr="005234D5">
        <w:rPr>
          <w:rFonts w:ascii="ITC Avant Garde" w:eastAsia="Calibri" w:hAnsi="ITC Avant Garde"/>
          <w:color w:val="auto"/>
          <w:kern w:val="2"/>
          <w:sz w:val="22"/>
          <w:lang w:val="es-MX"/>
          <w14:ligatures w14:val="standardContextual"/>
        </w:rPr>
        <w:t>Perspectiva General del Reporte</w:t>
      </w:r>
      <w:bookmarkEnd w:id="18"/>
    </w:p>
    <w:p w14:paraId="5AC9CA86" w14:textId="77777777" w:rsidR="0066403F" w:rsidRPr="00795936" w:rsidRDefault="0066403F" w:rsidP="0066403F">
      <w:pPr>
        <w:rPr>
          <w:rFonts w:ascii="ITC Avant Garde" w:eastAsia="Calibri" w:hAnsi="ITC Avant Garde"/>
          <w:color w:val="auto"/>
          <w:kern w:val="2"/>
          <w:sz w:val="20"/>
          <w:szCs w:val="20"/>
          <w:lang w:val="es-MX"/>
          <w14:ligatures w14:val="standardContextual"/>
        </w:rPr>
      </w:pPr>
    </w:p>
    <w:p w14:paraId="0A6B5BFD"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Pr>
          <w:rFonts w:ascii="ITC Avant Garde" w:eastAsia="Calibri" w:hAnsi="ITC Avant Garde" w:cs="Times New Roman"/>
          <w:b w:val="0"/>
          <w:color w:val="auto"/>
          <w:kern w:val="2"/>
          <w:sz w:val="20"/>
          <w:szCs w:val="20"/>
          <w:lang w:val="es-MX"/>
          <w14:ligatures w14:val="standardContextual"/>
        </w:rPr>
        <w:t>Por último, este</w:t>
      </w:r>
      <w:r w:rsidRPr="001C22B9">
        <w:rPr>
          <w:rFonts w:ascii="ITC Avant Garde" w:eastAsia="Calibri" w:hAnsi="ITC Avant Garde" w:cs="Times New Roman"/>
          <w:b w:val="0"/>
          <w:color w:val="auto"/>
          <w:kern w:val="2"/>
          <w:sz w:val="20"/>
          <w:szCs w:val="20"/>
          <w:lang w:val="es-MX"/>
          <w14:ligatures w14:val="standardContextual"/>
        </w:rPr>
        <w:t xml:space="preserve"> reporte ofrece un análisis de los </w:t>
      </w:r>
      <w:r>
        <w:rPr>
          <w:rFonts w:ascii="ITC Avant Garde" w:eastAsia="Calibri" w:hAnsi="ITC Avant Garde" w:cs="Times New Roman"/>
          <w:b w:val="0"/>
          <w:color w:val="auto"/>
          <w:kern w:val="2"/>
          <w:sz w:val="20"/>
          <w:szCs w:val="20"/>
          <w:lang w:val="es-MX"/>
          <w14:ligatures w14:val="standardContextual"/>
        </w:rPr>
        <w:t xml:space="preserve">beneficios que ha generado la Ventanilla Electrónica desde su implementación, su consagración como el pilar de la Estrategia de Gobierno Electrónico del instituto, así como también aquellos </w:t>
      </w:r>
      <w:r w:rsidRPr="001C22B9">
        <w:rPr>
          <w:rFonts w:ascii="ITC Avant Garde" w:eastAsia="Calibri" w:hAnsi="ITC Avant Garde" w:cs="Times New Roman"/>
          <w:b w:val="0"/>
          <w:color w:val="auto"/>
          <w:kern w:val="2"/>
          <w:sz w:val="20"/>
          <w:szCs w:val="20"/>
          <w:lang w:val="es-MX"/>
          <w14:ligatures w14:val="standardContextual"/>
        </w:rPr>
        <w:t xml:space="preserve">factores que afectan la experiencia y percepción de </w:t>
      </w:r>
      <w:r>
        <w:rPr>
          <w:rFonts w:ascii="ITC Avant Garde" w:eastAsia="Calibri" w:hAnsi="ITC Avant Garde" w:cs="Times New Roman"/>
          <w:b w:val="0"/>
          <w:color w:val="auto"/>
          <w:kern w:val="2"/>
          <w:sz w:val="20"/>
          <w:szCs w:val="20"/>
          <w:lang w:val="es-MX"/>
          <w14:ligatures w14:val="standardContextual"/>
        </w:rPr>
        <w:t xml:space="preserve">las personas usuarias </w:t>
      </w:r>
      <w:r w:rsidRPr="001C22B9">
        <w:rPr>
          <w:rFonts w:ascii="ITC Avant Garde" w:eastAsia="Calibri" w:hAnsi="ITC Avant Garde" w:cs="Times New Roman"/>
          <w:b w:val="0"/>
          <w:color w:val="auto"/>
          <w:kern w:val="2"/>
          <w:sz w:val="20"/>
          <w:szCs w:val="20"/>
          <w:lang w:val="es-MX"/>
          <w14:ligatures w14:val="standardContextual"/>
        </w:rPr>
        <w:t xml:space="preserve">de la </w:t>
      </w:r>
      <w:r>
        <w:rPr>
          <w:rFonts w:ascii="ITC Avant Garde" w:eastAsia="Calibri" w:hAnsi="ITC Avant Garde" w:cs="Times New Roman"/>
          <w:b w:val="0"/>
          <w:color w:val="auto"/>
          <w:kern w:val="2"/>
          <w:sz w:val="20"/>
          <w:szCs w:val="20"/>
          <w:lang w:val="es-MX"/>
          <w14:ligatures w14:val="standardContextual"/>
        </w:rPr>
        <w:t>misma</w:t>
      </w:r>
      <w:r w:rsidRPr="001C22B9">
        <w:rPr>
          <w:rFonts w:ascii="ITC Avant Garde" w:eastAsia="Calibri" w:hAnsi="ITC Avant Garde" w:cs="Times New Roman"/>
          <w:b w:val="0"/>
          <w:color w:val="auto"/>
          <w:kern w:val="2"/>
          <w:sz w:val="20"/>
          <w:szCs w:val="20"/>
          <w:lang w:val="es-MX"/>
          <w14:ligatures w14:val="standardContextual"/>
        </w:rPr>
        <w:t>, explorando elementos clave como facilidad de uso, tiempos de respuesta, seguridad y transparencia</w:t>
      </w:r>
      <w:r>
        <w:rPr>
          <w:rFonts w:ascii="ITC Avant Garde" w:eastAsia="Calibri" w:hAnsi="ITC Avant Garde" w:cs="Times New Roman"/>
          <w:b w:val="0"/>
          <w:color w:val="auto"/>
          <w:kern w:val="2"/>
          <w:sz w:val="20"/>
          <w:szCs w:val="20"/>
          <w:lang w:val="es-MX"/>
          <w14:ligatures w14:val="standardContextual"/>
        </w:rPr>
        <w:t xml:space="preserve">, lo anterior se </w:t>
      </w:r>
      <w:r w:rsidRPr="001C22B9">
        <w:rPr>
          <w:rFonts w:ascii="ITC Avant Garde" w:eastAsia="Calibri" w:hAnsi="ITC Avant Garde" w:cs="Times New Roman"/>
          <w:b w:val="0"/>
          <w:color w:val="auto"/>
          <w:kern w:val="2"/>
          <w:sz w:val="20"/>
          <w:szCs w:val="20"/>
          <w:lang w:val="es-MX"/>
          <w14:ligatures w14:val="standardContextual"/>
        </w:rPr>
        <w:t xml:space="preserve"> consulta </w:t>
      </w:r>
      <w:r w:rsidRPr="001C22B9">
        <w:rPr>
          <w:rFonts w:ascii="ITC Avant Garde" w:eastAsia="Calibri" w:hAnsi="ITC Avant Garde" w:cs="Times New Roman"/>
          <w:b w:val="0"/>
          <w:color w:val="auto"/>
          <w:kern w:val="2"/>
          <w:sz w:val="20"/>
          <w:szCs w:val="20"/>
          <w:lang w:val="es-MX"/>
          <w14:ligatures w14:val="standardContextual"/>
        </w:rPr>
        <w:lastRenderedPageBreak/>
        <w:t>pública</w:t>
      </w:r>
      <w:r>
        <w:rPr>
          <w:rFonts w:ascii="ITC Avant Garde" w:eastAsia="Calibri" w:hAnsi="ITC Avant Garde" w:cs="Times New Roman"/>
          <w:b w:val="0"/>
          <w:color w:val="auto"/>
          <w:kern w:val="2"/>
          <w:sz w:val="20"/>
          <w:szCs w:val="20"/>
          <w:lang w:val="es-MX"/>
          <w14:ligatures w14:val="standardContextual"/>
        </w:rPr>
        <w:t xml:space="preserve"> de evaluación</w:t>
      </w:r>
      <w:r w:rsidRPr="001C22B9">
        <w:rPr>
          <w:rFonts w:ascii="ITC Avant Garde" w:eastAsia="Calibri" w:hAnsi="ITC Avant Garde" w:cs="Times New Roman"/>
          <w:b w:val="0"/>
          <w:color w:val="auto"/>
          <w:kern w:val="2"/>
          <w:sz w:val="20"/>
          <w:szCs w:val="20"/>
          <w:lang w:val="es-MX"/>
          <w14:ligatures w14:val="standardContextual"/>
        </w:rPr>
        <w:t xml:space="preserve"> y las encuestas de satisfacción, el reporte identificará áreas de mejora específicas y propondrá recomendaciones para la optimización continua del servicio.</w:t>
      </w:r>
    </w:p>
    <w:p w14:paraId="53B49C33" w14:textId="77777777" w:rsidR="0066403F" w:rsidRPr="00216F40"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Con la información obtenida, el IFT podrá tomar decisiones documentadas para mejorar la calidad en la prestación </w:t>
      </w:r>
      <w:r>
        <w:rPr>
          <w:rFonts w:ascii="ITC Avant Garde" w:eastAsia="Calibri" w:hAnsi="ITC Avant Garde" w:cs="Times New Roman"/>
          <w:b w:val="0"/>
          <w:color w:val="auto"/>
          <w:kern w:val="2"/>
          <w:sz w:val="20"/>
          <w:szCs w:val="20"/>
          <w:lang w:val="es-MX"/>
          <w14:ligatures w14:val="standardContextual"/>
        </w:rPr>
        <w:t xml:space="preserve">de los </w:t>
      </w:r>
      <w:r w:rsidRPr="001C22B9">
        <w:rPr>
          <w:rFonts w:ascii="ITC Avant Garde" w:eastAsia="Calibri" w:hAnsi="ITC Avant Garde" w:cs="Times New Roman"/>
          <w:b w:val="0"/>
          <w:color w:val="auto"/>
          <w:kern w:val="2"/>
          <w:sz w:val="20"/>
          <w:szCs w:val="20"/>
          <w:lang w:val="es-MX"/>
          <w14:ligatures w14:val="standardContextual"/>
        </w:rPr>
        <w:t xml:space="preserve">servicios </w:t>
      </w:r>
      <w:r>
        <w:rPr>
          <w:rFonts w:ascii="ITC Avant Garde" w:eastAsia="Calibri" w:hAnsi="ITC Avant Garde" w:cs="Times New Roman"/>
          <w:b w:val="0"/>
          <w:color w:val="auto"/>
          <w:kern w:val="2"/>
          <w:sz w:val="20"/>
          <w:szCs w:val="20"/>
          <w:lang w:val="es-MX"/>
          <w14:ligatures w14:val="standardContextual"/>
        </w:rPr>
        <w:t>ofrecidos a través de la Ventanilla Electrónica</w:t>
      </w:r>
      <w:r w:rsidRPr="001C22B9">
        <w:rPr>
          <w:rFonts w:ascii="ITC Avant Garde" w:eastAsia="Calibri" w:hAnsi="ITC Avant Garde" w:cs="Times New Roman"/>
          <w:b w:val="0"/>
          <w:color w:val="auto"/>
          <w:kern w:val="2"/>
          <w:sz w:val="20"/>
          <w:szCs w:val="20"/>
          <w:lang w:val="es-MX"/>
          <w14:ligatures w14:val="standardContextual"/>
        </w:rPr>
        <w:t>, incrementar la eficiencia operativa y fortalecer la percepción institucional, cumpliendo con las recomendaciones de organismos internacionales y respondiendo a las necesidades del usuario.</w:t>
      </w:r>
    </w:p>
    <w:p w14:paraId="52D93F92" w14:textId="77777777" w:rsidR="0066403F" w:rsidRDefault="0066403F" w:rsidP="0066403F">
      <w:pPr>
        <w:pStyle w:val="Prrafodelista"/>
        <w:keepNext/>
        <w:keepLines/>
        <w:numPr>
          <w:ilvl w:val="0"/>
          <w:numId w:val="41"/>
        </w:numPr>
        <w:spacing w:before="240" w:after="240" w:line="278" w:lineRule="auto"/>
        <w:jc w:val="both"/>
        <w:outlineLvl w:val="0"/>
        <w:rPr>
          <w:rFonts w:ascii="ITC Avant Garde" w:eastAsia="Times New Roman" w:hAnsi="ITC Avant Garde" w:cs="Times New Roman"/>
          <w:color w:val="auto"/>
          <w:kern w:val="2"/>
          <w:sz w:val="24"/>
          <w:szCs w:val="32"/>
          <w:lang w:val="es-MX"/>
          <w14:ligatures w14:val="standardContextual"/>
        </w:rPr>
      </w:pPr>
      <w:bookmarkStart w:id="19" w:name="_Toc183000915"/>
      <w:bookmarkStart w:id="20" w:name="_Toc185357317"/>
      <w:bookmarkStart w:id="21" w:name="_Toc185358245"/>
      <w:bookmarkStart w:id="22" w:name="_Toc185358499"/>
      <w:r w:rsidRPr="007F3956">
        <w:rPr>
          <w:rFonts w:ascii="ITC Avant Garde" w:eastAsia="Times New Roman" w:hAnsi="ITC Avant Garde" w:cs="Times New Roman"/>
          <w:color w:val="auto"/>
          <w:kern w:val="2"/>
          <w:sz w:val="24"/>
          <w:szCs w:val="32"/>
          <w:lang w:val="es-MX"/>
          <w14:ligatures w14:val="standardContextual"/>
        </w:rPr>
        <w:t>Metodología</w:t>
      </w:r>
      <w:bookmarkEnd w:id="19"/>
      <w:bookmarkEnd w:id="20"/>
      <w:bookmarkEnd w:id="21"/>
      <w:bookmarkEnd w:id="22"/>
    </w:p>
    <w:p w14:paraId="7368A538" w14:textId="77777777" w:rsidR="0066403F" w:rsidRPr="00C55F32" w:rsidRDefault="0066403F" w:rsidP="0066403F">
      <w:pPr>
        <w:rPr>
          <w:rFonts w:ascii="ITC Avant Garde" w:hAnsi="ITC Avant Garde"/>
          <w:sz w:val="22"/>
        </w:rPr>
      </w:pPr>
      <w:bookmarkStart w:id="23" w:name="_Toc183000916"/>
      <w:r w:rsidRPr="00C55F32">
        <w:rPr>
          <w:rFonts w:ascii="ITC Avant Garde" w:hAnsi="ITC Avant Garde"/>
          <w:sz w:val="22"/>
        </w:rPr>
        <w:t>Fuentes de Datos</w:t>
      </w:r>
      <w:bookmarkEnd w:id="23"/>
    </w:p>
    <w:p w14:paraId="109745BD" w14:textId="77777777" w:rsidR="0066403F" w:rsidRPr="00795936" w:rsidRDefault="0066403F" w:rsidP="0066403F">
      <w:pPr>
        <w:rPr>
          <w:rFonts w:ascii="ITC Avant Garde" w:eastAsia="Calibri" w:hAnsi="ITC Avant Garde" w:cs="Times New Roman"/>
          <w:color w:val="auto"/>
          <w:kern w:val="2"/>
          <w:sz w:val="20"/>
          <w:szCs w:val="20"/>
          <w:lang w:val="es-MX"/>
          <w14:ligatures w14:val="standardContextual"/>
        </w:rPr>
      </w:pPr>
    </w:p>
    <w:p w14:paraId="165B28D2"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Para el desarrollo de este análisis, se emplearon dos fuentes principales:</w:t>
      </w:r>
    </w:p>
    <w:p w14:paraId="4239CCDE" w14:textId="77777777" w:rsidR="0066403F" w:rsidRPr="00A07F81" w:rsidRDefault="0066403F" w:rsidP="0066403F">
      <w:pPr>
        <w:numPr>
          <w:ilvl w:val="0"/>
          <w:numId w:val="6"/>
        </w:numPr>
        <w:spacing w:after="160" w:line="278" w:lineRule="auto"/>
        <w:jc w:val="both"/>
        <w:rPr>
          <w:rFonts w:ascii="ITC Avant Garde" w:eastAsia="Calibri" w:hAnsi="ITC Avant Garde"/>
          <w:b w:val="0"/>
          <w:color w:val="auto"/>
          <w:kern w:val="2"/>
          <w:sz w:val="20"/>
          <w:szCs w:val="20"/>
          <w:lang w:val="es-MX"/>
          <w14:ligatures w14:val="standardContextual"/>
        </w:rPr>
      </w:pPr>
      <w:r w:rsidRPr="00AA757E">
        <w:rPr>
          <w:rFonts w:ascii="ITC Avant Garde" w:eastAsia="Times New Roman" w:hAnsi="ITC Avant Garde" w:cs="Times New Roman"/>
          <w:color w:val="1F3763"/>
          <w:kern w:val="2"/>
          <w:sz w:val="20"/>
          <w:szCs w:val="20"/>
          <w:lang w:val="es-MX"/>
          <w14:ligatures w14:val="standardContextual"/>
        </w:rPr>
        <w:t>Con</w:t>
      </w:r>
      <w:r w:rsidRPr="00692E62">
        <w:rPr>
          <w:rFonts w:ascii="ITC Avant Garde" w:eastAsia="Times New Roman" w:hAnsi="ITC Avant Garde" w:cs="Times New Roman"/>
          <w:color w:val="auto"/>
          <w:kern w:val="2"/>
          <w:sz w:val="20"/>
          <w:szCs w:val="20"/>
          <w:lang w:val="es-MX"/>
          <w14:ligatures w14:val="standardContextual"/>
        </w:rPr>
        <w:t>sulta Pública de Evaluación:</w:t>
      </w:r>
      <w:r w:rsidRPr="00692E62">
        <w:rPr>
          <w:rFonts w:ascii="ITC Avant Garde" w:eastAsia="Times New Roman" w:hAnsi="ITC Avant Garde" w:cs="Times New Roman"/>
          <w:b w:val="0"/>
          <w:color w:val="auto"/>
          <w:kern w:val="2"/>
          <w:sz w:val="20"/>
          <w:szCs w:val="20"/>
          <w:lang w:val="es-MX"/>
          <w14:ligatures w14:val="standardContextual"/>
        </w:rPr>
        <w:t xml:space="preserve"> La Consulta Pública de Evaluación sobre la Estrategia de Gobierno Electrónico, mediante el “Cuestionario sobre la percepción ciudadana de la estrategia de Gobierno Electrónico del Instituto Federal de Telecomunicaciones”</w:t>
      </w:r>
      <w:r w:rsidRPr="00692E62">
        <w:rPr>
          <w:rStyle w:val="Refdenotaalpie"/>
          <w:rFonts w:ascii="ITC Avant Garde" w:eastAsia="Times New Roman" w:hAnsi="ITC Avant Garde" w:cs="Times New Roman"/>
          <w:b w:val="0"/>
          <w:color w:val="auto"/>
          <w:kern w:val="2"/>
          <w:sz w:val="20"/>
          <w:szCs w:val="20"/>
          <w:lang w:val="es-MX"/>
          <w14:ligatures w14:val="standardContextual"/>
        </w:rPr>
        <w:footnoteReference w:id="8"/>
      </w:r>
      <w:r w:rsidRPr="00692E62">
        <w:rPr>
          <w:rFonts w:ascii="ITC Avant Garde" w:eastAsia="Calibri" w:hAnsi="ITC Avant Garde" w:cs="Times New Roman"/>
          <w:b w:val="0"/>
          <w:color w:val="auto"/>
          <w:kern w:val="2"/>
          <w:sz w:val="20"/>
          <w:szCs w:val="20"/>
          <w:lang w:val="es-MX"/>
          <w14:ligatures w14:val="standardContextual"/>
        </w:rPr>
        <w:t xml:space="preserve"> fue un proceso consultivo de evaluación, aprobado por unanimidad por el Pleno del IFT, mediante </w:t>
      </w:r>
      <w:r w:rsidRPr="00945AB6">
        <w:rPr>
          <w:rFonts w:ascii="ITC Avant Garde" w:eastAsia="Calibri" w:hAnsi="ITC Avant Garde" w:cs="Times New Roman"/>
          <w:b w:val="0"/>
          <w:color w:val="auto"/>
          <w:kern w:val="2"/>
          <w:sz w:val="20"/>
          <w:szCs w:val="20"/>
          <w:lang w:val="es-MX"/>
          <w14:ligatures w14:val="standardContextual"/>
        </w:rPr>
        <w:t>Acuerdo P/IFT/040924/312</w:t>
      </w:r>
      <w:r>
        <w:rPr>
          <w:rStyle w:val="Refdenotaalpie"/>
          <w:rFonts w:ascii="ITC Avant Garde" w:eastAsia="Calibri" w:hAnsi="ITC Avant Garde" w:cs="Times New Roman"/>
          <w:b w:val="0"/>
          <w:color w:val="auto"/>
          <w:kern w:val="2"/>
          <w:sz w:val="20"/>
          <w:szCs w:val="20"/>
          <w:lang w:val="es-MX"/>
          <w14:ligatures w14:val="standardContextual"/>
        </w:rPr>
        <w:footnoteReference w:id="9"/>
      </w:r>
      <w:r w:rsidRPr="00945AB6">
        <w:rPr>
          <w:rFonts w:ascii="ITC Avant Garde" w:eastAsia="Calibri" w:hAnsi="ITC Avant Garde" w:cs="Times New Roman"/>
          <w:b w:val="0"/>
          <w:color w:val="auto"/>
          <w:kern w:val="2"/>
          <w:sz w:val="20"/>
          <w:szCs w:val="20"/>
          <w:lang w:val="es-MX"/>
          <w14:ligatures w14:val="standardContextual"/>
        </w:rPr>
        <w:t>,</w:t>
      </w:r>
      <w:r>
        <w:rPr>
          <w:rFonts w:ascii="ITC Avant Garde" w:eastAsia="Calibri" w:hAnsi="ITC Avant Garde" w:cs="Times New Roman"/>
          <w:b w:val="0"/>
          <w:color w:val="auto"/>
          <w:kern w:val="2"/>
          <w:sz w:val="20"/>
          <w:szCs w:val="20"/>
          <w:lang w:val="es-MX"/>
          <w14:ligatures w14:val="standardContextual"/>
        </w:rPr>
        <w:t xml:space="preserve"> en su </w:t>
      </w:r>
      <w:r w:rsidRPr="00945AB6">
        <w:rPr>
          <w:rFonts w:ascii="ITC Avant Garde" w:eastAsia="Calibri" w:hAnsi="ITC Avant Garde" w:cs="Times New Roman"/>
          <w:b w:val="0"/>
          <w:color w:val="auto"/>
          <w:kern w:val="2"/>
          <w:sz w:val="20"/>
          <w:szCs w:val="20"/>
          <w:lang w:val="es-MX"/>
          <w14:ligatures w14:val="standardContextual"/>
        </w:rPr>
        <w:t>XXII Sesión Ordinaria</w:t>
      </w:r>
      <w:r>
        <w:rPr>
          <w:rFonts w:ascii="ITC Avant Garde" w:eastAsia="Calibri" w:hAnsi="ITC Avant Garde" w:cs="Times New Roman"/>
          <w:b w:val="0"/>
          <w:color w:val="auto"/>
          <w:kern w:val="2"/>
          <w:sz w:val="20"/>
          <w:szCs w:val="20"/>
          <w:lang w:val="es-MX"/>
          <w14:ligatures w14:val="standardContextual"/>
        </w:rPr>
        <w:t xml:space="preserve">, celebrada el </w:t>
      </w:r>
      <w:r w:rsidRPr="006259FC">
        <w:rPr>
          <w:rFonts w:ascii="ITC Avant Garde" w:eastAsia="Calibri" w:hAnsi="ITC Avant Garde" w:cs="Times New Roman"/>
          <w:b w:val="0"/>
          <w:color w:val="auto"/>
          <w:kern w:val="2"/>
          <w:sz w:val="20"/>
          <w:szCs w:val="20"/>
          <w:lang w:val="es-MX"/>
          <w14:ligatures w14:val="standardContextual"/>
        </w:rPr>
        <w:t>04 de septiembre de 2024</w:t>
      </w:r>
      <w:r>
        <w:rPr>
          <w:rFonts w:ascii="ITC Avant Garde" w:eastAsia="Calibri" w:hAnsi="ITC Avant Garde" w:cs="Times New Roman"/>
          <w:b w:val="0"/>
          <w:color w:val="auto"/>
          <w:kern w:val="2"/>
          <w:sz w:val="20"/>
          <w:szCs w:val="20"/>
          <w:lang w:val="es-MX"/>
          <w14:ligatures w14:val="standardContextual"/>
        </w:rPr>
        <w:t>, mismo que se realizó d</w:t>
      </w:r>
      <w:r w:rsidRPr="00406744">
        <w:rPr>
          <w:rFonts w:ascii="ITC Avant Garde" w:eastAsia="Calibri" w:hAnsi="ITC Avant Garde" w:cs="Times New Roman"/>
          <w:b w:val="0"/>
          <w:color w:val="auto"/>
          <w:kern w:val="2"/>
          <w:sz w:val="20"/>
          <w:szCs w:val="20"/>
          <w:lang w:val="es-MX"/>
          <w14:ligatures w14:val="standardContextual"/>
        </w:rPr>
        <w:t>el 09 de Septiembre de 2024 al 08 de Octubre de 2024</w:t>
      </w:r>
      <w:r>
        <w:rPr>
          <w:rFonts w:ascii="ITC Avant Garde" w:eastAsia="Calibri" w:hAnsi="ITC Avant Garde" w:cs="Times New Roman"/>
          <w:b w:val="0"/>
          <w:color w:val="auto"/>
          <w:kern w:val="2"/>
          <w:sz w:val="20"/>
          <w:szCs w:val="20"/>
          <w:lang w:val="es-MX"/>
          <w14:ligatures w14:val="standardContextual"/>
        </w:rPr>
        <w:t xml:space="preserve"> </w:t>
      </w:r>
      <w:r w:rsidRPr="00406744">
        <w:rPr>
          <w:rFonts w:ascii="ITC Avant Garde" w:eastAsia="Calibri" w:hAnsi="ITC Avant Garde" w:cs="Times New Roman"/>
          <w:b w:val="0"/>
          <w:color w:val="auto"/>
          <w:kern w:val="2"/>
          <w:sz w:val="20"/>
          <w:szCs w:val="20"/>
          <w:lang w:val="es-MX"/>
          <w14:ligatures w14:val="standardContextual"/>
        </w:rPr>
        <w:t>(20 días hábiles)</w:t>
      </w:r>
      <w:r>
        <w:rPr>
          <w:rFonts w:ascii="ITC Avant Garde" w:eastAsia="Calibri" w:hAnsi="ITC Avant Garde" w:cs="Times New Roman"/>
          <w:b w:val="0"/>
          <w:color w:val="auto"/>
          <w:kern w:val="2"/>
          <w:sz w:val="20"/>
          <w:szCs w:val="20"/>
          <w:lang w:val="es-MX"/>
          <w14:ligatures w14:val="standardContextual"/>
        </w:rPr>
        <w:t>.</w:t>
      </w:r>
    </w:p>
    <w:p w14:paraId="6127D25A" w14:textId="77777777" w:rsidR="0066403F" w:rsidRPr="0085704C" w:rsidRDefault="0066403F" w:rsidP="0066403F">
      <w:pPr>
        <w:spacing w:after="160" w:line="278" w:lineRule="auto"/>
        <w:ind w:left="720"/>
        <w:jc w:val="both"/>
        <w:rPr>
          <w:rFonts w:ascii="ITC Avant Garde" w:eastAsia="Calibri" w:hAnsi="ITC Avant Garde" w:cs="Times New Roman"/>
          <w:b w:val="0"/>
          <w:color w:val="auto"/>
          <w:kern w:val="2"/>
          <w:sz w:val="20"/>
          <w:szCs w:val="20"/>
          <w:lang w:val="es-MX"/>
          <w14:ligatures w14:val="standardContextual"/>
        </w:rPr>
      </w:pPr>
      <w:r>
        <w:rPr>
          <w:rFonts w:ascii="ITC Avant Garde" w:eastAsia="Calibri" w:hAnsi="ITC Avant Garde" w:cs="Times New Roman"/>
          <w:b w:val="0"/>
          <w:color w:val="auto"/>
          <w:kern w:val="2"/>
          <w:sz w:val="20"/>
          <w:szCs w:val="20"/>
          <w:lang w:val="es-MX"/>
          <w14:ligatures w14:val="standardContextual"/>
        </w:rPr>
        <w:t>E</w:t>
      </w:r>
      <w:r w:rsidRPr="006259FC">
        <w:rPr>
          <w:rFonts w:ascii="ITC Avant Garde" w:eastAsia="Calibri" w:hAnsi="ITC Avant Garde" w:cs="Times New Roman"/>
          <w:b w:val="0"/>
          <w:color w:val="auto"/>
          <w:kern w:val="2"/>
          <w:sz w:val="20"/>
          <w:szCs w:val="20"/>
          <w:lang w:val="es-MX"/>
          <w14:ligatures w14:val="standardContextual"/>
        </w:rPr>
        <w:t xml:space="preserve">l </w:t>
      </w:r>
      <w:r>
        <w:rPr>
          <w:rFonts w:ascii="ITC Avant Garde" w:eastAsia="Calibri" w:hAnsi="ITC Avant Garde" w:cs="Times New Roman"/>
          <w:b w:val="0"/>
          <w:color w:val="auto"/>
          <w:kern w:val="2"/>
          <w:sz w:val="20"/>
          <w:szCs w:val="20"/>
          <w:lang w:val="es-MX"/>
          <w14:ligatures w14:val="standardContextual"/>
        </w:rPr>
        <w:t>C</w:t>
      </w:r>
      <w:r w:rsidRPr="006259FC">
        <w:rPr>
          <w:rFonts w:ascii="ITC Avant Garde" w:eastAsia="Calibri" w:hAnsi="ITC Avant Garde" w:cs="Times New Roman"/>
          <w:b w:val="0"/>
          <w:color w:val="auto"/>
          <w:kern w:val="2"/>
          <w:sz w:val="20"/>
          <w:szCs w:val="20"/>
          <w:lang w:val="es-MX"/>
          <w14:ligatures w14:val="standardContextual"/>
        </w:rPr>
        <w:t>uestionario</w:t>
      </w:r>
      <w:r>
        <w:rPr>
          <w:rFonts w:ascii="ITC Avant Garde" w:eastAsia="Calibri" w:hAnsi="ITC Avant Garde" w:cs="Times New Roman"/>
          <w:b w:val="0"/>
          <w:color w:val="auto"/>
          <w:kern w:val="2"/>
          <w:sz w:val="20"/>
          <w:szCs w:val="20"/>
          <w:lang w:val="es-MX"/>
          <w14:ligatures w14:val="standardContextual"/>
        </w:rPr>
        <w:t xml:space="preserve"> cubrió</w:t>
      </w:r>
      <w:r w:rsidRPr="006259FC">
        <w:rPr>
          <w:rFonts w:ascii="ITC Avant Garde" w:eastAsia="Calibri" w:hAnsi="ITC Avant Garde" w:cs="Times New Roman"/>
          <w:b w:val="0"/>
          <w:color w:val="auto"/>
          <w:kern w:val="2"/>
          <w:sz w:val="20"/>
          <w:szCs w:val="20"/>
          <w:lang w:val="es-MX"/>
          <w14:ligatures w14:val="standardContextual"/>
        </w:rPr>
        <w:t xml:space="preserve"> varios aspectos relacionados con l</w:t>
      </w:r>
      <w:r>
        <w:rPr>
          <w:rFonts w:ascii="ITC Avant Garde" w:eastAsia="Calibri" w:hAnsi="ITC Avant Garde" w:cs="Times New Roman"/>
          <w:b w:val="0"/>
          <w:color w:val="auto"/>
          <w:kern w:val="2"/>
          <w:sz w:val="20"/>
          <w:szCs w:val="20"/>
          <w:lang w:val="es-MX"/>
          <w14:ligatures w14:val="standardContextual"/>
        </w:rPr>
        <w:t xml:space="preserve">os beneficios ofrecidos a las personas usuarias de la Ventanilla Electrónica respecto a la eficiencia y productividad de los servicios ofrecidos, respecto a su mejoramiento de la calidad, transparencia y rendiciones de cuentas, participación ciudadana y el marco normativa que se ha establecido para su funcionamiento, ello conforme </w:t>
      </w:r>
      <w:r w:rsidRPr="0085704C">
        <w:rPr>
          <w:rFonts w:ascii="ITC Avant Garde" w:eastAsia="Calibri" w:hAnsi="ITC Avant Garde" w:cs="Times New Roman"/>
          <w:b w:val="0"/>
          <w:color w:val="auto"/>
          <w:kern w:val="2"/>
          <w:sz w:val="20"/>
          <w:szCs w:val="20"/>
          <w:lang w:val="es-MX"/>
          <w14:ligatures w14:val="standardContextual"/>
        </w:rPr>
        <w:t xml:space="preserve">los estándares y </w:t>
      </w:r>
      <w:r>
        <w:rPr>
          <w:rFonts w:ascii="ITC Avant Garde" w:eastAsia="Calibri" w:hAnsi="ITC Avant Garde" w:cs="Times New Roman"/>
          <w:b w:val="0"/>
          <w:color w:val="auto"/>
          <w:kern w:val="2"/>
          <w:sz w:val="20"/>
          <w:szCs w:val="20"/>
          <w:lang w:val="es-MX"/>
          <w14:ligatures w14:val="standardContextual"/>
        </w:rPr>
        <w:t xml:space="preserve">referidas en el documento de la Comisión Económica para la América Latina y el Caribe (CEPAL), titulado </w:t>
      </w:r>
      <w:r w:rsidRPr="00942AE3">
        <w:rPr>
          <w:rFonts w:ascii="ITC Avant Garde" w:eastAsia="Calibri" w:hAnsi="ITC Avant Garde" w:cs="Times New Roman"/>
          <w:b w:val="0"/>
          <w:i/>
          <w:iCs/>
          <w:color w:val="auto"/>
          <w:kern w:val="2"/>
          <w:sz w:val="20"/>
          <w:szCs w:val="20"/>
          <w:lang w:val="es-MX"/>
          <w14:ligatures w14:val="standardContextual"/>
        </w:rPr>
        <w:t>El gobierno electrónico en la gestión pública</w:t>
      </w:r>
      <w:r>
        <w:rPr>
          <w:rStyle w:val="Refdenotaalpie"/>
          <w:rFonts w:ascii="ITC Avant Garde" w:eastAsia="Calibri" w:hAnsi="ITC Avant Garde" w:cs="Times New Roman"/>
          <w:b w:val="0"/>
          <w:i/>
          <w:iCs/>
          <w:color w:val="auto"/>
          <w:kern w:val="2"/>
          <w:sz w:val="20"/>
          <w:szCs w:val="20"/>
          <w:lang w:val="es-MX"/>
          <w14:ligatures w14:val="standardContextual"/>
        </w:rPr>
        <w:footnoteReference w:id="10"/>
      </w:r>
      <w:r w:rsidRPr="0085704C">
        <w:rPr>
          <w:rFonts w:ascii="ITC Avant Garde" w:eastAsia="Calibri" w:hAnsi="ITC Avant Garde" w:cs="Times New Roman"/>
          <w:b w:val="0"/>
          <w:color w:val="auto"/>
          <w:kern w:val="2"/>
          <w:sz w:val="20"/>
          <w:szCs w:val="20"/>
          <w:lang w:val="es-MX"/>
          <w14:ligatures w14:val="standardContextual"/>
        </w:rPr>
        <w:t>.</w:t>
      </w:r>
    </w:p>
    <w:p w14:paraId="3DD4DF1E" w14:textId="77777777" w:rsidR="0066403F" w:rsidRDefault="0066403F" w:rsidP="0066403F">
      <w:pPr>
        <w:spacing w:after="160" w:line="278" w:lineRule="auto"/>
        <w:ind w:left="720"/>
        <w:jc w:val="both"/>
        <w:rPr>
          <w:rFonts w:ascii="ITC Avant Garde" w:eastAsia="Calibri" w:hAnsi="ITC Avant Garde"/>
          <w:b w:val="0"/>
          <w:color w:val="auto"/>
          <w:kern w:val="2"/>
          <w:sz w:val="20"/>
          <w:szCs w:val="20"/>
          <w:lang w:val="es-MX"/>
          <w14:ligatures w14:val="standardContextual"/>
        </w:rPr>
      </w:pPr>
      <w:r>
        <w:rPr>
          <w:rFonts w:ascii="ITC Avant Garde" w:eastAsia="Calibri" w:hAnsi="ITC Avant Garde" w:cs="Times New Roman"/>
          <w:b w:val="0"/>
          <w:color w:val="auto"/>
          <w:kern w:val="2"/>
          <w:sz w:val="20"/>
          <w:szCs w:val="20"/>
          <w:lang w:val="es-MX"/>
          <w14:ligatures w14:val="standardContextual"/>
        </w:rPr>
        <w:t xml:space="preserve">El objetivo principal del proceso consultivo de evaluación consistió en: </w:t>
      </w:r>
      <w:r w:rsidRPr="00AC37AC">
        <w:rPr>
          <w:rFonts w:ascii="ITC Avant Garde" w:eastAsia="Calibri" w:hAnsi="ITC Avant Garde" w:cs="Times New Roman"/>
          <w:bCs/>
          <w:color w:val="auto"/>
          <w:kern w:val="2"/>
          <w:sz w:val="20"/>
          <w:szCs w:val="20"/>
          <w:lang w:val="es-MX"/>
          <w14:ligatures w14:val="standardContextual"/>
        </w:rPr>
        <w:t>i)</w:t>
      </w:r>
      <w:r w:rsidRPr="0085704C">
        <w:rPr>
          <w:rFonts w:ascii="ITC Avant Garde" w:eastAsia="Calibri" w:hAnsi="ITC Avant Garde"/>
          <w:bCs/>
          <w:color w:val="auto"/>
          <w:kern w:val="2"/>
          <w:sz w:val="20"/>
          <w:szCs w:val="20"/>
          <w:lang w:val="es-MX"/>
          <w14:ligatures w14:val="standardContextual"/>
        </w:rPr>
        <w:t> </w:t>
      </w:r>
      <w:r w:rsidRPr="0085704C">
        <w:rPr>
          <w:rFonts w:ascii="ITC Avant Garde" w:eastAsia="Calibri" w:hAnsi="ITC Avant Garde"/>
          <w:b w:val="0"/>
          <w:color w:val="auto"/>
          <w:kern w:val="2"/>
          <w:sz w:val="20"/>
          <w:szCs w:val="20"/>
          <w:lang w:val="es-MX"/>
          <w14:ligatures w14:val="standardContextual"/>
        </w:rPr>
        <w:t>recabar la opinión y retroalimentación de cualquier persona interesada en la Estrategia de Gobierno Electrónico a través de la Ventanilla Electrónica del Instituto, con el propósito de evaluar su implementación y funcionamiento, y </w:t>
      </w:r>
      <w:proofErr w:type="spellStart"/>
      <w:r w:rsidRPr="0085704C">
        <w:rPr>
          <w:rFonts w:ascii="ITC Avant Garde" w:eastAsia="Calibri" w:hAnsi="ITC Avant Garde"/>
          <w:bCs/>
          <w:color w:val="auto"/>
          <w:kern w:val="2"/>
          <w:sz w:val="20"/>
          <w:szCs w:val="20"/>
          <w:lang w:val="es-MX"/>
          <w14:ligatures w14:val="standardContextual"/>
        </w:rPr>
        <w:t>ii</w:t>
      </w:r>
      <w:proofErr w:type="spellEnd"/>
      <w:r w:rsidRPr="0085704C">
        <w:rPr>
          <w:rFonts w:ascii="ITC Avant Garde" w:eastAsia="Calibri" w:hAnsi="ITC Avant Garde"/>
          <w:bCs/>
          <w:color w:val="auto"/>
          <w:kern w:val="2"/>
          <w:sz w:val="20"/>
          <w:szCs w:val="20"/>
          <w:lang w:val="es-MX"/>
          <w14:ligatures w14:val="standardContextual"/>
        </w:rPr>
        <w:t>)</w:t>
      </w:r>
      <w:r w:rsidRPr="0085704C">
        <w:rPr>
          <w:rFonts w:ascii="ITC Avant Garde" w:eastAsia="Calibri" w:hAnsi="ITC Avant Garde"/>
          <w:b w:val="0"/>
          <w:color w:val="auto"/>
          <w:kern w:val="2"/>
          <w:sz w:val="20"/>
          <w:szCs w:val="20"/>
          <w:lang w:val="es-MX"/>
          <w14:ligatures w14:val="standardContextual"/>
        </w:rPr>
        <w:t> detectar posibles obstáculos, desafíos y oportunidades de mejora tanto en la Ventanilla Electrónica, como en la Estrategia de Gobierno Electrónico del Instituto.</w:t>
      </w:r>
    </w:p>
    <w:p w14:paraId="2A804A22" w14:textId="77777777" w:rsidR="0066403F" w:rsidRPr="00F029D2" w:rsidRDefault="0066403F" w:rsidP="0066403F">
      <w:pPr>
        <w:spacing w:after="160" w:line="278" w:lineRule="auto"/>
        <w:ind w:left="720"/>
        <w:jc w:val="both"/>
        <w:rPr>
          <w:rFonts w:ascii="ITC Avant Garde" w:eastAsia="Calibri" w:hAnsi="ITC Avant Garde"/>
          <w:b w:val="0"/>
          <w:color w:val="auto"/>
          <w:kern w:val="2"/>
          <w:sz w:val="20"/>
          <w:szCs w:val="20"/>
          <w:lang w:val="es-MX"/>
          <w14:ligatures w14:val="standardContextual"/>
        </w:rPr>
      </w:pPr>
      <w:r>
        <w:rPr>
          <w:rFonts w:ascii="ITC Avant Garde" w:eastAsia="Calibri" w:hAnsi="ITC Avant Garde"/>
          <w:b w:val="0"/>
          <w:color w:val="auto"/>
          <w:kern w:val="2"/>
          <w:sz w:val="20"/>
          <w:szCs w:val="20"/>
          <w:lang w:val="es-MX"/>
          <w14:ligatures w14:val="standardContextual"/>
        </w:rPr>
        <w:t xml:space="preserve">Al respecto, de conformidad con el numeral Segundo del </w:t>
      </w:r>
      <w:r w:rsidRPr="00F57521">
        <w:rPr>
          <w:rFonts w:ascii="ITC Avant Garde" w:eastAsia="Calibri" w:hAnsi="ITC Avant Garde"/>
          <w:b w:val="0"/>
          <w:i/>
          <w:iCs/>
          <w:color w:val="auto"/>
          <w:kern w:val="2"/>
          <w:sz w:val="20"/>
          <w:szCs w:val="20"/>
          <w:lang w:val="es-MX"/>
          <w14:ligatures w14:val="standardContextual"/>
        </w:rPr>
        <w:t xml:space="preserve">Acuerdo mediante el cual el Pleno del Instituto Federal de Telecomunicaciones determina someter a Consulta Pública de Evaluación la Estrategia de Gobierno Electrónico, mediante el “Cuestionario </w:t>
      </w:r>
      <w:r w:rsidRPr="00F57521">
        <w:rPr>
          <w:rFonts w:ascii="ITC Avant Garde" w:eastAsia="Calibri" w:hAnsi="ITC Avant Garde"/>
          <w:b w:val="0"/>
          <w:i/>
          <w:iCs/>
          <w:color w:val="auto"/>
          <w:kern w:val="2"/>
          <w:sz w:val="20"/>
          <w:szCs w:val="20"/>
          <w:lang w:val="es-MX"/>
          <w14:ligatures w14:val="standardContextual"/>
        </w:rPr>
        <w:lastRenderedPageBreak/>
        <w:t>sobre la percepción ciudadana de la estrategia de Gobierno Electrónico del Instituto Federal de Telecomunicaciones”</w:t>
      </w:r>
      <w:r>
        <w:rPr>
          <w:rFonts w:ascii="ITC Avant Garde" w:eastAsia="Calibri" w:hAnsi="ITC Avant Garde"/>
          <w:b w:val="0"/>
          <w:i/>
          <w:iCs/>
          <w:color w:val="auto"/>
          <w:kern w:val="2"/>
          <w:sz w:val="20"/>
          <w:szCs w:val="20"/>
          <w:lang w:val="es-MX"/>
          <w14:ligatures w14:val="standardContextual"/>
        </w:rPr>
        <w:t xml:space="preserve">, </w:t>
      </w:r>
      <w:r w:rsidRPr="00A64F71">
        <w:rPr>
          <w:rFonts w:ascii="ITC Avant Garde" w:eastAsia="Calibri" w:hAnsi="ITC Avant Garde"/>
          <w:b w:val="0"/>
          <w:color w:val="auto"/>
          <w:kern w:val="2"/>
          <w:sz w:val="20"/>
          <w:szCs w:val="20"/>
          <w:lang w:val="es-MX"/>
          <w14:ligatures w14:val="standardContextual"/>
        </w:rPr>
        <w:t>el Pleno del IFT</w:t>
      </w:r>
      <w:r>
        <w:rPr>
          <w:rFonts w:ascii="ITC Avant Garde" w:eastAsia="Calibri" w:hAnsi="ITC Avant Garde"/>
          <w:b w:val="0"/>
          <w:color w:val="auto"/>
          <w:kern w:val="2"/>
          <w:sz w:val="20"/>
          <w:szCs w:val="20"/>
          <w:lang w:val="es-MX"/>
          <w14:ligatures w14:val="standardContextual"/>
        </w:rPr>
        <w:t xml:space="preserve"> instruyó a la CGMR a </w:t>
      </w:r>
      <w:r w:rsidRPr="00F029D2">
        <w:rPr>
          <w:rFonts w:ascii="ITC Avant Garde" w:eastAsia="Calibri" w:hAnsi="ITC Avant Garde"/>
          <w:b w:val="0"/>
          <w:color w:val="auto"/>
          <w:kern w:val="2"/>
          <w:sz w:val="20"/>
          <w:szCs w:val="20"/>
          <w:lang w:val="es-MX"/>
          <w14:ligatures w14:val="standardContextual"/>
        </w:rPr>
        <w:t xml:space="preserve">atender el presente proceso consultivo, incluyendo la recepción y la atención que corresponda en el ámbito de sus </w:t>
      </w:r>
    </w:p>
    <w:p w14:paraId="16A8B1BA" w14:textId="77777777" w:rsidR="0066403F" w:rsidRPr="001517BF" w:rsidRDefault="0066403F" w:rsidP="0066403F">
      <w:pPr>
        <w:spacing w:after="160" w:line="278" w:lineRule="auto"/>
        <w:ind w:left="720"/>
        <w:jc w:val="both"/>
        <w:rPr>
          <w:rFonts w:ascii="ITC Avant Garde" w:eastAsia="Calibri" w:hAnsi="ITC Avant Garde"/>
          <w:b w:val="0"/>
          <w:color w:val="auto"/>
          <w:kern w:val="2"/>
          <w:sz w:val="20"/>
          <w:szCs w:val="20"/>
          <w:lang w:val="es-MX"/>
          <w14:ligatures w14:val="standardContextual"/>
        </w:rPr>
      </w:pPr>
      <w:r w:rsidRPr="00F029D2">
        <w:rPr>
          <w:rFonts w:ascii="ITC Avant Garde" w:eastAsia="Calibri" w:hAnsi="ITC Avant Garde"/>
          <w:b w:val="0"/>
          <w:color w:val="auto"/>
          <w:kern w:val="2"/>
          <w:sz w:val="20"/>
          <w:szCs w:val="20"/>
          <w:lang w:val="es-MX"/>
          <w14:ligatures w14:val="standardContextual"/>
        </w:rPr>
        <w:t>atribuciones, a los comentarios o aportaciones que sean vertidos a propósito del presente proceso consultivo</w:t>
      </w:r>
      <w:r>
        <w:rPr>
          <w:rFonts w:ascii="ITC Avant Garde" w:eastAsia="Calibri" w:hAnsi="ITC Avant Garde"/>
          <w:b w:val="0"/>
          <w:color w:val="auto"/>
          <w:kern w:val="2"/>
          <w:sz w:val="20"/>
          <w:szCs w:val="20"/>
          <w:lang w:val="es-MX"/>
          <w14:ligatures w14:val="standardContextual"/>
        </w:rPr>
        <w:t>.</w:t>
      </w:r>
    </w:p>
    <w:p w14:paraId="60B6E8F6" w14:textId="5FABD17F" w:rsidR="0066403F" w:rsidRPr="00E016A0" w:rsidRDefault="00055E97" w:rsidP="0066403F">
      <w:pPr>
        <w:spacing w:after="160" w:line="278" w:lineRule="auto"/>
        <w:ind w:left="720"/>
        <w:jc w:val="both"/>
        <w:rPr>
          <w:rFonts w:ascii="ITC Avant Garde" w:eastAsia="Calibri" w:hAnsi="ITC Avant Garde"/>
          <w:b w:val="0"/>
          <w:bCs/>
          <w:color w:val="auto"/>
          <w:kern w:val="2"/>
          <w:sz w:val="20"/>
          <w:szCs w:val="20"/>
          <w:lang w:val="es-MX"/>
          <w14:ligatures w14:val="standardContextual"/>
        </w:rPr>
      </w:pPr>
      <w:r w:rsidRPr="00055E97">
        <w:rPr>
          <w:rFonts w:ascii="ITC Avant Garde" w:eastAsia="Calibri" w:hAnsi="ITC Avant Garde"/>
          <w:b w:val="0"/>
          <w:bCs/>
          <w:color w:val="auto"/>
          <w:kern w:val="2"/>
          <w:sz w:val="20"/>
          <w:szCs w:val="20"/>
          <w14:ligatures w14:val="standardContextual"/>
        </w:rPr>
        <w:t>Durante el periodo del proceso consultivo</w:t>
      </w:r>
      <w:r w:rsidR="0066403F" w:rsidRPr="00055E97">
        <w:rPr>
          <w:rFonts w:ascii="ITC Avant Garde" w:eastAsia="Calibri" w:hAnsi="ITC Avant Garde"/>
          <w:b w:val="0"/>
          <w:bCs/>
          <w:color w:val="auto"/>
          <w:kern w:val="2"/>
          <w:sz w:val="20"/>
          <w:szCs w:val="20"/>
          <w:lang w:val="es-MX"/>
          <w14:ligatures w14:val="standardContextual"/>
        </w:rPr>
        <w:t>, se recibieron 7 escritos de participación, por lo que en el siguiente cuadro se esquematizan</w:t>
      </w:r>
      <w:r w:rsidR="0066403F" w:rsidRPr="00E016A0">
        <w:rPr>
          <w:rFonts w:ascii="ITC Avant Garde" w:eastAsia="Calibri" w:hAnsi="ITC Avant Garde"/>
          <w:b w:val="0"/>
          <w:bCs/>
          <w:color w:val="auto"/>
          <w:kern w:val="2"/>
          <w:sz w:val="20"/>
          <w:szCs w:val="20"/>
          <w:lang w:val="es-MX"/>
          <w14:ligatures w14:val="standardContextual"/>
        </w:rPr>
        <w:t xml:space="preserve"> los escritos recibidos durante la consulta pública:</w:t>
      </w:r>
    </w:p>
    <w:tbl>
      <w:tblPr>
        <w:tblStyle w:val="Tabladelista4-nfasis5"/>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4A0" w:firstRow="1" w:lastRow="0" w:firstColumn="1" w:lastColumn="0" w:noHBand="0" w:noVBand="1"/>
      </w:tblPr>
      <w:tblGrid>
        <w:gridCol w:w="3967"/>
        <w:gridCol w:w="1701"/>
        <w:gridCol w:w="2124"/>
      </w:tblGrid>
      <w:tr w:rsidR="0066403F" w:rsidRPr="00E016A0" w14:paraId="660A297A" w14:textId="77777777" w:rsidTr="00C87878">
        <w:trPr>
          <w:cnfStyle w:val="100000000000" w:firstRow="1" w:lastRow="0" w:firstColumn="0" w:lastColumn="0" w:oddVBand="0" w:evenVBand="0" w:oddHBand="0" w:evenHBand="0" w:firstRowFirstColumn="0" w:firstRowLastColumn="0" w:lastRowFirstColumn="0" w:lastRowLastColumn="0"/>
          <w:trHeight w:val="81"/>
          <w:jc w:val="center"/>
        </w:trPr>
        <w:tc>
          <w:tcPr>
            <w:cnfStyle w:val="001000000000" w:firstRow="0" w:lastRow="0" w:firstColumn="1" w:lastColumn="0" w:oddVBand="0" w:evenVBand="0" w:oddHBand="0" w:evenHBand="0" w:firstRowFirstColumn="0" w:firstRowLastColumn="0" w:lastRowFirstColumn="0" w:lastRowLastColumn="0"/>
            <w:tcW w:w="3967" w:type="dxa"/>
            <w:shd w:val="clear" w:color="auto" w:fill="92D050"/>
            <w:vAlign w:val="center"/>
            <w:hideMark/>
          </w:tcPr>
          <w:p w14:paraId="64140EA4" w14:textId="77777777" w:rsidR="0066403F" w:rsidRPr="00E016A0" w:rsidRDefault="0066403F" w:rsidP="00C87878">
            <w:pPr>
              <w:spacing w:after="160" w:line="278" w:lineRule="auto"/>
              <w:ind w:left="720"/>
              <w:jc w:val="both"/>
              <w:rPr>
                <w:rFonts w:ascii="ITC Avant Garde" w:eastAsia="Calibri" w:hAnsi="ITC Avant Garde"/>
                <w:b/>
                <w:color w:val="auto"/>
                <w:kern w:val="2"/>
                <w:sz w:val="18"/>
                <w:szCs w:val="18"/>
                <w:lang w:val="es-MX"/>
                <w14:ligatures w14:val="standardContextual"/>
              </w:rPr>
            </w:pPr>
            <w:r w:rsidRPr="00E016A0">
              <w:rPr>
                <w:rFonts w:ascii="ITC Avant Garde" w:eastAsia="Calibri" w:hAnsi="ITC Avant Garde"/>
                <w:b/>
                <w:color w:val="auto"/>
                <w:kern w:val="2"/>
                <w:sz w:val="18"/>
                <w:szCs w:val="18"/>
                <w:lang w:val="es-MX"/>
                <w14:ligatures w14:val="standardContextual"/>
              </w:rPr>
              <w:t>Personas que presentan comentarios</w:t>
            </w:r>
          </w:p>
        </w:tc>
        <w:tc>
          <w:tcPr>
            <w:tcW w:w="1701" w:type="dxa"/>
            <w:shd w:val="clear" w:color="auto" w:fill="92D050"/>
            <w:vAlign w:val="center"/>
            <w:hideMark/>
          </w:tcPr>
          <w:p w14:paraId="70828B48" w14:textId="77777777" w:rsidR="0066403F" w:rsidRPr="00E016A0" w:rsidRDefault="0066403F" w:rsidP="00C87878">
            <w:pPr>
              <w:spacing w:after="160" w:line="278" w:lineRule="auto"/>
              <w:ind w:left="173"/>
              <w:jc w:val="both"/>
              <w:cnfStyle w:val="100000000000" w:firstRow="1" w:lastRow="0" w:firstColumn="0" w:lastColumn="0" w:oddVBand="0" w:evenVBand="0" w:oddHBand="0" w:evenHBand="0" w:firstRowFirstColumn="0" w:firstRowLastColumn="0" w:lastRowFirstColumn="0" w:lastRowLastColumn="0"/>
              <w:rPr>
                <w:rFonts w:ascii="ITC Avant Garde" w:eastAsia="Calibri" w:hAnsi="ITC Avant Garde"/>
                <w:b/>
                <w:color w:val="auto"/>
                <w:kern w:val="2"/>
                <w:sz w:val="18"/>
                <w:szCs w:val="18"/>
                <w:lang w:val="es-MX"/>
                <w14:ligatures w14:val="standardContextual"/>
              </w:rPr>
            </w:pPr>
            <w:r w:rsidRPr="00E016A0">
              <w:rPr>
                <w:rFonts w:ascii="ITC Avant Garde" w:eastAsia="Calibri" w:hAnsi="ITC Avant Garde"/>
                <w:b/>
                <w:color w:val="auto"/>
                <w:kern w:val="2"/>
                <w:sz w:val="18"/>
                <w:szCs w:val="18"/>
                <w:lang w:val="es-MX"/>
                <w14:ligatures w14:val="standardContextual"/>
              </w:rPr>
              <w:t>Tipo de escrito</w:t>
            </w:r>
          </w:p>
        </w:tc>
        <w:tc>
          <w:tcPr>
            <w:tcW w:w="2124" w:type="dxa"/>
            <w:shd w:val="clear" w:color="auto" w:fill="92D050"/>
            <w:vAlign w:val="center"/>
            <w:hideMark/>
          </w:tcPr>
          <w:p w14:paraId="5B2643F6" w14:textId="77777777" w:rsidR="0066403F" w:rsidRPr="00E016A0" w:rsidRDefault="0066403F" w:rsidP="00C87878">
            <w:pPr>
              <w:spacing w:after="160" w:line="278" w:lineRule="auto"/>
              <w:ind w:left="457"/>
              <w:jc w:val="both"/>
              <w:cnfStyle w:val="100000000000" w:firstRow="1" w:lastRow="0" w:firstColumn="0" w:lastColumn="0" w:oddVBand="0" w:evenVBand="0" w:oddHBand="0" w:evenHBand="0" w:firstRowFirstColumn="0" w:firstRowLastColumn="0" w:lastRowFirstColumn="0" w:lastRowLastColumn="0"/>
              <w:rPr>
                <w:rFonts w:ascii="ITC Avant Garde" w:eastAsia="Calibri" w:hAnsi="ITC Avant Garde"/>
                <w:b/>
                <w:color w:val="auto"/>
                <w:kern w:val="2"/>
                <w:sz w:val="18"/>
                <w:szCs w:val="18"/>
                <w:lang w:val="es-MX"/>
                <w14:ligatures w14:val="standardContextual"/>
              </w:rPr>
            </w:pPr>
            <w:r w:rsidRPr="00E016A0">
              <w:rPr>
                <w:rFonts w:ascii="ITC Avant Garde" w:eastAsia="Calibri" w:hAnsi="ITC Avant Garde"/>
                <w:b/>
                <w:color w:val="auto"/>
                <w:kern w:val="2"/>
                <w:sz w:val="18"/>
                <w:szCs w:val="18"/>
                <w:lang w:val="es-MX"/>
                <w14:ligatures w14:val="standardContextual"/>
              </w:rPr>
              <w:t>Fecha de presentación</w:t>
            </w:r>
          </w:p>
        </w:tc>
      </w:tr>
      <w:tr w:rsidR="0066403F" w:rsidRPr="00E016A0" w14:paraId="40137548" w14:textId="77777777" w:rsidTr="00C8787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967" w:type="dxa"/>
            <w:shd w:val="clear" w:color="auto" w:fill="auto"/>
            <w:vAlign w:val="center"/>
            <w:hideMark/>
          </w:tcPr>
          <w:p w14:paraId="2EE629DA" w14:textId="77777777" w:rsidR="0066403F" w:rsidRPr="00457BB3" w:rsidRDefault="0066403F" w:rsidP="00C87878">
            <w:pPr>
              <w:spacing w:after="160" w:line="278" w:lineRule="auto"/>
              <w:ind w:left="720"/>
              <w:jc w:val="both"/>
              <w:rPr>
                <w:rFonts w:ascii="ITC Avant Garde" w:eastAsia="Calibri" w:hAnsi="ITC Avant Garde"/>
                <w:b/>
                <w:color w:val="auto"/>
                <w:kern w:val="2"/>
                <w:sz w:val="18"/>
                <w:szCs w:val="18"/>
                <w:lang w:val="es-MX"/>
                <w14:ligatures w14:val="standardContextual"/>
              </w:rPr>
            </w:pPr>
            <w:r w:rsidRPr="00457BB3">
              <w:rPr>
                <w:rFonts w:ascii="ITC Avant Garde" w:eastAsia="Calibri" w:hAnsi="ITC Avant Garde"/>
                <w:b/>
                <w:color w:val="auto"/>
                <w:kern w:val="2"/>
                <w:sz w:val="18"/>
                <w:szCs w:val="18"/>
                <w:lang w:val="es-MX"/>
                <w14:ligatures w14:val="standardContextual"/>
              </w:rPr>
              <w:t xml:space="preserve">1. Mega Cable, S.A. de </w:t>
            </w:r>
            <w:proofErr w:type="gramStart"/>
            <w:r w:rsidRPr="00457BB3">
              <w:rPr>
                <w:rFonts w:ascii="ITC Avant Garde" w:eastAsia="Calibri" w:hAnsi="ITC Avant Garde"/>
                <w:b/>
                <w:color w:val="auto"/>
                <w:kern w:val="2"/>
                <w:sz w:val="18"/>
                <w:szCs w:val="18"/>
                <w:lang w:val="es-MX"/>
                <w14:ligatures w14:val="standardContextual"/>
              </w:rPr>
              <w:t>C.V</w:t>
            </w:r>
            <w:proofErr w:type="gramEnd"/>
          </w:p>
        </w:tc>
        <w:tc>
          <w:tcPr>
            <w:tcW w:w="1701" w:type="dxa"/>
            <w:shd w:val="clear" w:color="auto" w:fill="auto"/>
            <w:vAlign w:val="center"/>
            <w:hideMark/>
          </w:tcPr>
          <w:p w14:paraId="4EE065B0" w14:textId="77777777" w:rsidR="0066403F" w:rsidRPr="00E016A0" w:rsidRDefault="0066403F" w:rsidP="00C87878">
            <w:pPr>
              <w:spacing w:after="160" w:line="278" w:lineRule="auto"/>
              <w:ind w:left="173"/>
              <w:jc w:val="both"/>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bCs/>
                <w:color w:val="auto"/>
                <w:kern w:val="2"/>
                <w:sz w:val="18"/>
                <w:szCs w:val="18"/>
                <w:lang w:val="es-MX"/>
                <w14:ligatures w14:val="standardContextual"/>
              </w:rPr>
            </w:pPr>
            <w:r w:rsidRPr="00E016A0">
              <w:rPr>
                <w:rFonts w:ascii="ITC Avant Garde" w:eastAsia="Calibri" w:hAnsi="ITC Avant Garde"/>
                <w:bCs/>
                <w:color w:val="auto"/>
                <w:kern w:val="2"/>
                <w:sz w:val="18"/>
                <w:szCs w:val="18"/>
                <w:lang w:val="es-MX"/>
                <w14:ligatures w14:val="standardContextual"/>
              </w:rPr>
              <w:t>Formato de participación</w:t>
            </w:r>
          </w:p>
        </w:tc>
        <w:tc>
          <w:tcPr>
            <w:tcW w:w="2124" w:type="dxa"/>
            <w:shd w:val="clear" w:color="auto" w:fill="auto"/>
            <w:vAlign w:val="center"/>
            <w:hideMark/>
          </w:tcPr>
          <w:p w14:paraId="11A9F472" w14:textId="77777777" w:rsidR="0066403F" w:rsidRPr="00E016A0" w:rsidRDefault="0066403F" w:rsidP="00C87878">
            <w:pPr>
              <w:spacing w:after="160" w:line="278" w:lineRule="auto"/>
              <w:ind w:left="457"/>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bCs/>
                <w:color w:val="auto"/>
                <w:kern w:val="2"/>
                <w:sz w:val="18"/>
                <w:szCs w:val="18"/>
                <w:lang w:val="es-MX"/>
                <w14:ligatures w14:val="standardContextual"/>
              </w:rPr>
            </w:pPr>
            <w:r w:rsidRPr="00EE5E1D">
              <w:rPr>
                <w:rFonts w:ascii="ITC Avant Garde" w:eastAsia="Calibri" w:hAnsi="ITC Avant Garde"/>
                <w:bCs/>
                <w:color w:val="auto"/>
                <w:kern w:val="2"/>
                <w:sz w:val="18"/>
                <w:szCs w:val="18"/>
                <w14:ligatures w14:val="standardContextual"/>
              </w:rPr>
              <w:t>09/10/202</w:t>
            </w:r>
            <w:r>
              <w:rPr>
                <w:rFonts w:ascii="ITC Avant Garde" w:eastAsia="Calibri" w:hAnsi="ITC Avant Garde"/>
                <w:bCs/>
                <w:color w:val="auto"/>
                <w:kern w:val="2"/>
                <w:sz w:val="18"/>
                <w:szCs w:val="18"/>
                <w14:ligatures w14:val="standardContextual"/>
              </w:rPr>
              <w:t>4</w:t>
            </w:r>
          </w:p>
        </w:tc>
      </w:tr>
      <w:tr w:rsidR="0066403F" w:rsidRPr="00E016A0" w14:paraId="0704799C" w14:textId="77777777" w:rsidTr="00C87878">
        <w:trPr>
          <w:trHeight w:val="81"/>
          <w:jc w:val="center"/>
        </w:trPr>
        <w:tc>
          <w:tcPr>
            <w:cnfStyle w:val="001000000000" w:firstRow="0" w:lastRow="0" w:firstColumn="1" w:lastColumn="0" w:oddVBand="0" w:evenVBand="0" w:oddHBand="0" w:evenHBand="0" w:firstRowFirstColumn="0" w:firstRowLastColumn="0" w:lastRowFirstColumn="0" w:lastRowLastColumn="0"/>
            <w:tcW w:w="3967" w:type="dxa"/>
            <w:shd w:val="clear" w:color="auto" w:fill="auto"/>
            <w:vAlign w:val="center"/>
          </w:tcPr>
          <w:p w14:paraId="45872A04" w14:textId="77777777" w:rsidR="0066403F" w:rsidRPr="00E016A0" w:rsidRDefault="0066403F" w:rsidP="00C87878">
            <w:pPr>
              <w:spacing w:after="160" w:line="278" w:lineRule="auto"/>
              <w:ind w:left="720"/>
              <w:jc w:val="both"/>
              <w:rPr>
                <w:rFonts w:ascii="ITC Avant Garde" w:eastAsia="Calibri" w:hAnsi="ITC Avant Garde"/>
                <w:b/>
                <w:color w:val="auto"/>
                <w:kern w:val="2"/>
                <w:sz w:val="18"/>
                <w:szCs w:val="18"/>
                <w:lang w:val="es-MX"/>
                <w14:ligatures w14:val="standardContextual"/>
              </w:rPr>
            </w:pPr>
            <w:r w:rsidRPr="00E016A0">
              <w:rPr>
                <w:rFonts w:ascii="ITC Avant Garde" w:eastAsia="Calibri" w:hAnsi="ITC Avant Garde"/>
                <w:b/>
                <w:color w:val="auto"/>
                <w:kern w:val="2"/>
                <w:sz w:val="18"/>
                <w:szCs w:val="18"/>
                <w:lang w:val="es-MX"/>
                <w14:ligatures w14:val="standardContextual"/>
              </w:rPr>
              <w:t xml:space="preserve">2. </w:t>
            </w:r>
            <w:r w:rsidRPr="00E95E50">
              <w:rPr>
                <w:rFonts w:ascii="ITC Avant Garde" w:eastAsia="Calibri" w:hAnsi="ITC Avant Garde"/>
                <w:b/>
                <w:color w:val="auto"/>
                <w:kern w:val="2"/>
                <w:sz w:val="18"/>
                <w:szCs w:val="18"/>
                <w:lang w:val="es-MX"/>
                <w14:ligatures w14:val="standardContextual"/>
              </w:rPr>
              <w:t xml:space="preserve">Cablevisión, S.A. de C.V., </w:t>
            </w:r>
            <w:proofErr w:type="spellStart"/>
            <w:r w:rsidRPr="00E95E50">
              <w:rPr>
                <w:rFonts w:ascii="ITC Avant Garde" w:eastAsia="Calibri" w:hAnsi="ITC Avant Garde"/>
                <w:b/>
                <w:color w:val="auto"/>
                <w:kern w:val="2"/>
                <w:sz w:val="18"/>
                <w:szCs w:val="18"/>
                <w:lang w:val="es-MX"/>
                <w14:ligatures w14:val="standardContextual"/>
              </w:rPr>
              <w:t>Operbes</w:t>
            </w:r>
            <w:proofErr w:type="spellEnd"/>
            <w:r w:rsidRPr="00E95E50">
              <w:rPr>
                <w:rFonts w:ascii="ITC Avant Garde" w:eastAsia="Calibri" w:hAnsi="ITC Avant Garde"/>
                <w:b/>
                <w:color w:val="auto"/>
                <w:kern w:val="2"/>
                <w:sz w:val="18"/>
                <w:szCs w:val="18"/>
                <w:lang w:val="es-MX"/>
                <w14:ligatures w14:val="standardContextual"/>
              </w:rPr>
              <w:t>, S.A. de C.V., Cablemás Telecomunicaciones, S.A. de C.V., México Red de Telecomunicaciones, S. de R.L. de C.V., y Televisión Internacional, S.A. de C.V.</w:t>
            </w:r>
          </w:p>
          <w:p w14:paraId="6D63B3A4" w14:textId="77777777" w:rsidR="0066403F" w:rsidRPr="00E016A0" w:rsidRDefault="0066403F" w:rsidP="00C87878">
            <w:pPr>
              <w:spacing w:after="160" w:line="278" w:lineRule="auto"/>
              <w:ind w:left="720"/>
              <w:jc w:val="both"/>
              <w:rPr>
                <w:rFonts w:ascii="ITC Avant Garde" w:eastAsia="Calibri" w:hAnsi="ITC Avant Garde"/>
                <w:b/>
                <w:color w:val="auto"/>
                <w:kern w:val="2"/>
                <w:sz w:val="18"/>
                <w:szCs w:val="18"/>
                <w:lang w:val="es-MX"/>
                <w14:ligatures w14:val="standardContextual"/>
              </w:rPr>
            </w:pPr>
          </w:p>
        </w:tc>
        <w:tc>
          <w:tcPr>
            <w:tcW w:w="1701" w:type="dxa"/>
            <w:shd w:val="clear" w:color="auto" w:fill="auto"/>
            <w:vAlign w:val="center"/>
            <w:hideMark/>
          </w:tcPr>
          <w:p w14:paraId="24EF92C4" w14:textId="77777777" w:rsidR="0066403F" w:rsidRPr="00E016A0" w:rsidRDefault="0066403F" w:rsidP="00C87878">
            <w:pPr>
              <w:spacing w:after="160" w:line="278" w:lineRule="auto"/>
              <w:ind w:left="173"/>
              <w:jc w:val="both"/>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bCs/>
                <w:color w:val="auto"/>
                <w:kern w:val="2"/>
                <w:sz w:val="18"/>
                <w:szCs w:val="18"/>
                <w:lang w:val="es-MX"/>
                <w14:ligatures w14:val="standardContextual"/>
              </w:rPr>
            </w:pPr>
            <w:r w:rsidRPr="00E016A0">
              <w:rPr>
                <w:rFonts w:ascii="ITC Avant Garde" w:eastAsia="Calibri" w:hAnsi="ITC Avant Garde"/>
                <w:bCs/>
                <w:color w:val="auto"/>
                <w:kern w:val="2"/>
                <w:sz w:val="18"/>
                <w:szCs w:val="18"/>
                <w:lang w:val="es-MX"/>
                <w14:ligatures w14:val="standardContextual"/>
              </w:rPr>
              <w:t>Formato de participación</w:t>
            </w:r>
          </w:p>
        </w:tc>
        <w:tc>
          <w:tcPr>
            <w:tcW w:w="2124" w:type="dxa"/>
            <w:shd w:val="clear" w:color="auto" w:fill="auto"/>
            <w:vAlign w:val="center"/>
            <w:hideMark/>
          </w:tcPr>
          <w:p w14:paraId="15DE2A2B" w14:textId="77777777" w:rsidR="0066403F" w:rsidRPr="00E016A0" w:rsidRDefault="0066403F" w:rsidP="00C87878">
            <w:pPr>
              <w:spacing w:after="160" w:line="278" w:lineRule="auto"/>
              <w:ind w:left="457"/>
              <w:jc w:val="both"/>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bCs/>
                <w:color w:val="auto"/>
                <w:kern w:val="2"/>
                <w:sz w:val="18"/>
                <w:szCs w:val="18"/>
                <w:lang w:val="es-MX"/>
                <w14:ligatures w14:val="standardContextual"/>
              </w:rPr>
            </w:pPr>
            <w:r w:rsidRPr="00EE5E1D">
              <w:rPr>
                <w:rFonts w:ascii="ITC Avant Garde" w:eastAsia="Calibri" w:hAnsi="ITC Avant Garde"/>
                <w:bCs/>
                <w:color w:val="auto"/>
                <w:kern w:val="2"/>
                <w:sz w:val="18"/>
                <w:szCs w:val="18"/>
                <w14:ligatures w14:val="standardContextual"/>
              </w:rPr>
              <w:t>0</w:t>
            </w:r>
            <w:r>
              <w:rPr>
                <w:rFonts w:ascii="ITC Avant Garde" w:eastAsia="Calibri" w:hAnsi="ITC Avant Garde"/>
                <w:bCs/>
                <w:color w:val="auto"/>
                <w:kern w:val="2"/>
                <w:sz w:val="18"/>
                <w:szCs w:val="18"/>
                <w14:ligatures w14:val="standardContextual"/>
              </w:rPr>
              <w:t>8</w:t>
            </w:r>
            <w:r w:rsidRPr="00EE5E1D">
              <w:rPr>
                <w:rFonts w:ascii="ITC Avant Garde" w:eastAsia="Calibri" w:hAnsi="ITC Avant Garde"/>
                <w:bCs/>
                <w:color w:val="auto"/>
                <w:kern w:val="2"/>
                <w:sz w:val="18"/>
                <w:szCs w:val="18"/>
                <w14:ligatures w14:val="standardContextual"/>
              </w:rPr>
              <w:t>/10/202</w:t>
            </w:r>
            <w:r>
              <w:rPr>
                <w:rFonts w:ascii="ITC Avant Garde" w:eastAsia="Calibri" w:hAnsi="ITC Avant Garde"/>
                <w:bCs/>
                <w:color w:val="auto"/>
                <w:kern w:val="2"/>
                <w:sz w:val="18"/>
                <w:szCs w:val="18"/>
                <w14:ligatures w14:val="standardContextual"/>
              </w:rPr>
              <w:t>4</w:t>
            </w:r>
          </w:p>
        </w:tc>
      </w:tr>
      <w:tr w:rsidR="0066403F" w:rsidRPr="00E016A0" w14:paraId="4D375540" w14:textId="77777777" w:rsidTr="00C87878">
        <w:trPr>
          <w:cnfStyle w:val="000000100000" w:firstRow="0" w:lastRow="0" w:firstColumn="0" w:lastColumn="0" w:oddVBand="0" w:evenVBand="0" w:oddHBand="1" w:evenHBand="0" w:firstRowFirstColumn="0" w:firstRowLastColumn="0" w:lastRowFirstColumn="0" w:lastRowLastColumn="0"/>
          <w:trHeight w:val="81"/>
          <w:jc w:val="center"/>
        </w:trPr>
        <w:tc>
          <w:tcPr>
            <w:cnfStyle w:val="001000000000" w:firstRow="0" w:lastRow="0" w:firstColumn="1" w:lastColumn="0" w:oddVBand="0" w:evenVBand="0" w:oddHBand="0" w:evenHBand="0" w:firstRowFirstColumn="0" w:firstRowLastColumn="0" w:lastRowFirstColumn="0" w:lastRowLastColumn="0"/>
            <w:tcW w:w="3967" w:type="dxa"/>
            <w:shd w:val="clear" w:color="auto" w:fill="auto"/>
            <w:vAlign w:val="center"/>
            <w:hideMark/>
          </w:tcPr>
          <w:p w14:paraId="51B9FBCF" w14:textId="77777777" w:rsidR="0066403F" w:rsidRPr="00E016A0" w:rsidRDefault="0066403F" w:rsidP="00C87878">
            <w:pPr>
              <w:spacing w:after="160" w:line="278" w:lineRule="auto"/>
              <w:ind w:left="720"/>
              <w:jc w:val="both"/>
              <w:rPr>
                <w:rFonts w:ascii="ITC Avant Garde" w:eastAsia="Calibri" w:hAnsi="ITC Avant Garde"/>
                <w:b/>
                <w:color w:val="auto"/>
                <w:kern w:val="2"/>
                <w:sz w:val="18"/>
                <w:szCs w:val="18"/>
                <w:lang w:val="es-MX"/>
                <w14:ligatures w14:val="standardContextual"/>
              </w:rPr>
            </w:pPr>
            <w:r w:rsidRPr="00E016A0">
              <w:rPr>
                <w:rFonts w:ascii="ITC Avant Garde" w:eastAsia="Calibri" w:hAnsi="ITC Avant Garde"/>
                <w:b/>
                <w:color w:val="auto"/>
                <w:kern w:val="2"/>
                <w:sz w:val="18"/>
                <w:szCs w:val="18"/>
                <w:lang w:val="es-MX"/>
                <w14:ligatures w14:val="standardContextual"/>
              </w:rPr>
              <w:t xml:space="preserve">3. </w:t>
            </w:r>
            <w:r w:rsidRPr="003B5A85">
              <w:rPr>
                <w:rFonts w:ascii="ITC Avant Garde" w:eastAsia="Calibri" w:hAnsi="ITC Avant Garde"/>
                <w:b/>
                <w:color w:val="auto"/>
                <w:kern w:val="2"/>
                <w:sz w:val="18"/>
                <w:szCs w:val="18"/>
                <w:lang w:val="es-MX"/>
                <w14:ligatures w14:val="standardContextual"/>
              </w:rPr>
              <w:t>Grupo de Ejecutivos en Radiodifusión, Abogados y Editores, S.C.</w:t>
            </w:r>
          </w:p>
        </w:tc>
        <w:tc>
          <w:tcPr>
            <w:tcW w:w="1701" w:type="dxa"/>
            <w:shd w:val="clear" w:color="auto" w:fill="auto"/>
            <w:vAlign w:val="center"/>
            <w:hideMark/>
          </w:tcPr>
          <w:p w14:paraId="66FE1F7F" w14:textId="77777777" w:rsidR="0066403F" w:rsidRPr="00E016A0" w:rsidRDefault="0066403F" w:rsidP="00C87878">
            <w:pPr>
              <w:spacing w:after="160" w:line="278" w:lineRule="auto"/>
              <w:ind w:left="173"/>
              <w:jc w:val="both"/>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bCs/>
                <w:color w:val="auto"/>
                <w:kern w:val="2"/>
                <w:sz w:val="18"/>
                <w:szCs w:val="18"/>
                <w:lang w:val="es-MX"/>
                <w14:ligatures w14:val="standardContextual"/>
              </w:rPr>
            </w:pPr>
            <w:r w:rsidRPr="00E016A0">
              <w:rPr>
                <w:rFonts w:ascii="ITC Avant Garde" w:eastAsia="Calibri" w:hAnsi="ITC Avant Garde"/>
                <w:bCs/>
                <w:color w:val="auto"/>
                <w:kern w:val="2"/>
                <w:sz w:val="18"/>
                <w:szCs w:val="18"/>
                <w:lang w:val="es-MX"/>
                <w14:ligatures w14:val="standardContextual"/>
              </w:rPr>
              <w:t>Formato de participación</w:t>
            </w:r>
          </w:p>
        </w:tc>
        <w:tc>
          <w:tcPr>
            <w:tcW w:w="2124" w:type="dxa"/>
            <w:shd w:val="clear" w:color="auto" w:fill="auto"/>
            <w:vAlign w:val="center"/>
            <w:hideMark/>
          </w:tcPr>
          <w:p w14:paraId="3E0B292C" w14:textId="77777777" w:rsidR="0066403F" w:rsidRPr="00E016A0" w:rsidRDefault="0066403F" w:rsidP="00C87878">
            <w:pPr>
              <w:spacing w:after="160" w:line="278" w:lineRule="auto"/>
              <w:ind w:left="457"/>
              <w:jc w:val="both"/>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bCs/>
                <w:color w:val="auto"/>
                <w:kern w:val="2"/>
                <w:sz w:val="18"/>
                <w:szCs w:val="18"/>
                <w:lang w:val="es-MX"/>
                <w14:ligatures w14:val="standardContextual"/>
              </w:rPr>
            </w:pPr>
            <w:r w:rsidRPr="00291AA6">
              <w:rPr>
                <w:rFonts w:ascii="ITC Avant Garde" w:eastAsia="Calibri" w:hAnsi="ITC Avant Garde"/>
                <w:bCs/>
                <w:color w:val="auto"/>
                <w:kern w:val="2"/>
                <w:sz w:val="18"/>
                <w:szCs w:val="18"/>
                <w14:ligatures w14:val="standardContextual"/>
              </w:rPr>
              <w:t>08/10/2024</w:t>
            </w:r>
          </w:p>
        </w:tc>
      </w:tr>
      <w:tr w:rsidR="0066403F" w:rsidRPr="00E016A0" w14:paraId="6F1F6B35" w14:textId="77777777" w:rsidTr="00C87878">
        <w:trPr>
          <w:trHeight w:val="81"/>
          <w:jc w:val="center"/>
        </w:trPr>
        <w:tc>
          <w:tcPr>
            <w:cnfStyle w:val="001000000000" w:firstRow="0" w:lastRow="0" w:firstColumn="1" w:lastColumn="0" w:oddVBand="0" w:evenVBand="0" w:oddHBand="0" w:evenHBand="0" w:firstRowFirstColumn="0" w:firstRowLastColumn="0" w:lastRowFirstColumn="0" w:lastRowLastColumn="0"/>
            <w:tcW w:w="3967" w:type="dxa"/>
            <w:shd w:val="clear" w:color="auto" w:fill="auto"/>
            <w:vAlign w:val="center"/>
            <w:hideMark/>
          </w:tcPr>
          <w:p w14:paraId="5ECE510A" w14:textId="77777777" w:rsidR="0066403F" w:rsidRPr="00E016A0" w:rsidRDefault="0066403F" w:rsidP="00C87878">
            <w:pPr>
              <w:spacing w:after="160" w:line="278" w:lineRule="auto"/>
              <w:ind w:left="720"/>
              <w:jc w:val="both"/>
              <w:rPr>
                <w:rFonts w:ascii="ITC Avant Garde" w:eastAsia="Calibri" w:hAnsi="ITC Avant Garde"/>
                <w:b/>
                <w:color w:val="auto"/>
                <w:kern w:val="2"/>
                <w:sz w:val="18"/>
                <w:szCs w:val="18"/>
                <w:lang w:val="es-MX"/>
                <w14:ligatures w14:val="standardContextual"/>
              </w:rPr>
            </w:pPr>
            <w:r w:rsidRPr="00E016A0">
              <w:rPr>
                <w:rFonts w:ascii="ITC Avant Garde" w:eastAsia="Calibri" w:hAnsi="ITC Avant Garde"/>
                <w:b/>
                <w:color w:val="auto"/>
                <w:kern w:val="2"/>
                <w:sz w:val="18"/>
                <w:szCs w:val="18"/>
                <w:lang w:val="es-MX"/>
                <w14:ligatures w14:val="standardContextual"/>
              </w:rPr>
              <w:t xml:space="preserve">4. </w:t>
            </w:r>
            <w:r w:rsidRPr="00CD5466">
              <w:rPr>
                <w:rFonts w:ascii="ITC Avant Garde" w:eastAsia="Calibri" w:hAnsi="ITC Avant Garde"/>
                <w:b/>
                <w:color w:val="auto"/>
                <w:kern w:val="2"/>
                <w:sz w:val="18"/>
                <w:szCs w:val="18"/>
                <w:lang w:val="es-MX"/>
                <w14:ligatures w14:val="standardContextual"/>
              </w:rPr>
              <w:t>Televisora de Navojoa, S.A.</w:t>
            </w:r>
          </w:p>
        </w:tc>
        <w:tc>
          <w:tcPr>
            <w:tcW w:w="1701" w:type="dxa"/>
            <w:shd w:val="clear" w:color="auto" w:fill="auto"/>
            <w:vAlign w:val="center"/>
            <w:hideMark/>
          </w:tcPr>
          <w:p w14:paraId="2C07CFD7" w14:textId="77777777" w:rsidR="0066403F" w:rsidRPr="00E016A0" w:rsidRDefault="0066403F" w:rsidP="00C87878">
            <w:pPr>
              <w:spacing w:after="160" w:line="278" w:lineRule="auto"/>
              <w:ind w:left="173"/>
              <w:jc w:val="both"/>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bCs/>
                <w:color w:val="auto"/>
                <w:kern w:val="2"/>
                <w:sz w:val="18"/>
                <w:szCs w:val="18"/>
                <w:lang w:val="es-MX"/>
                <w14:ligatures w14:val="standardContextual"/>
              </w:rPr>
            </w:pPr>
            <w:r w:rsidRPr="00E016A0">
              <w:rPr>
                <w:rFonts w:ascii="ITC Avant Garde" w:eastAsia="Calibri" w:hAnsi="ITC Avant Garde"/>
                <w:bCs/>
                <w:color w:val="auto"/>
                <w:kern w:val="2"/>
                <w:sz w:val="18"/>
                <w:szCs w:val="18"/>
                <w:lang w:val="es-MX"/>
                <w14:ligatures w14:val="standardContextual"/>
              </w:rPr>
              <w:t>Formato de participación</w:t>
            </w:r>
          </w:p>
        </w:tc>
        <w:tc>
          <w:tcPr>
            <w:tcW w:w="2124" w:type="dxa"/>
            <w:shd w:val="clear" w:color="auto" w:fill="auto"/>
            <w:vAlign w:val="center"/>
            <w:hideMark/>
          </w:tcPr>
          <w:p w14:paraId="42BD3177" w14:textId="77777777" w:rsidR="0066403F" w:rsidRPr="00E016A0" w:rsidRDefault="0066403F" w:rsidP="00C87878">
            <w:pPr>
              <w:spacing w:after="160" w:line="278" w:lineRule="auto"/>
              <w:ind w:left="457"/>
              <w:jc w:val="both"/>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bCs/>
                <w:color w:val="auto"/>
                <w:kern w:val="2"/>
                <w:sz w:val="18"/>
                <w:szCs w:val="18"/>
                <w:lang w:val="es-MX"/>
                <w14:ligatures w14:val="standardContextual"/>
              </w:rPr>
            </w:pPr>
            <w:r w:rsidRPr="00291AA6">
              <w:rPr>
                <w:rFonts w:ascii="ITC Avant Garde" w:eastAsia="Calibri" w:hAnsi="ITC Avant Garde"/>
                <w:bCs/>
                <w:color w:val="auto"/>
                <w:kern w:val="2"/>
                <w:sz w:val="18"/>
                <w:szCs w:val="18"/>
                <w14:ligatures w14:val="standardContextual"/>
              </w:rPr>
              <w:t>08/10/2024</w:t>
            </w:r>
          </w:p>
        </w:tc>
      </w:tr>
      <w:tr w:rsidR="0066403F" w:rsidRPr="00E016A0" w14:paraId="5A1CF742" w14:textId="77777777" w:rsidTr="00C87878">
        <w:trPr>
          <w:cnfStyle w:val="000000100000" w:firstRow="0" w:lastRow="0" w:firstColumn="0" w:lastColumn="0" w:oddVBand="0" w:evenVBand="0" w:oddHBand="1" w:evenHBand="0" w:firstRowFirstColumn="0" w:firstRowLastColumn="0" w:lastRowFirstColumn="0" w:lastRowLastColumn="0"/>
          <w:trHeight w:val="61"/>
          <w:jc w:val="center"/>
        </w:trPr>
        <w:tc>
          <w:tcPr>
            <w:cnfStyle w:val="001000000000" w:firstRow="0" w:lastRow="0" w:firstColumn="1" w:lastColumn="0" w:oddVBand="0" w:evenVBand="0" w:oddHBand="0" w:evenHBand="0" w:firstRowFirstColumn="0" w:firstRowLastColumn="0" w:lastRowFirstColumn="0" w:lastRowLastColumn="0"/>
            <w:tcW w:w="3967" w:type="dxa"/>
            <w:shd w:val="clear" w:color="auto" w:fill="auto"/>
            <w:vAlign w:val="center"/>
            <w:hideMark/>
          </w:tcPr>
          <w:p w14:paraId="2360CD50" w14:textId="77777777" w:rsidR="0066403F" w:rsidRPr="00E016A0" w:rsidRDefault="0066403F" w:rsidP="00C87878">
            <w:pPr>
              <w:spacing w:after="160" w:line="278" w:lineRule="auto"/>
              <w:ind w:left="720"/>
              <w:jc w:val="both"/>
              <w:rPr>
                <w:rFonts w:ascii="ITC Avant Garde" w:eastAsia="Calibri" w:hAnsi="ITC Avant Garde"/>
                <w:b/>
                <w:color w:val="auto"/>
                <w:kern w:val="2"/>
                <w:sz w:val="18"/>
                <w:szCs w:val="18"/>
                <w:lang w:val="es-MX"/>
                <w14:ligatures w14:val="standardContextual"/>
              </w:rPr>
            </w:pPr>
            <w:r w:rsidRPr="00E016A0">
              <w:rPr>
                <w:rFonts w:ascii="ITC Avant Garde" w:eastAsia="Calibri" w:hAnsi="ITC Avant Garde"/>
                <w:b/>
                <w:color w:val="auto"/>
                <w:kern w:val="2"/>
                <w:sz w:val="18"/>
                <w:szCs w:val="18"/>
                <w:lang w:val="es-MX"/>
                <w14:ligatures w14:val="standardContextual"/>
              </w:rPr>
              <w:t xml:space="preserve">5. </w:t>
            </w:r>
            <w:r w:rsidRPr="00381B9B">
              <w:rPr>
                <w:rFonts w:ascii="ITC Avant Garde" w:eastAsia="Calibri" w:hAnsi="ITC Avant Garde"/>
                <w:b/>
                <w:color w:val="auto"/>
                <w:kern w:val="2"/>
                <w:sz w:val="18"/>
                <w:szCs w:val="18"/>
                <w:lang w:val="es-MX"/>
                <w14:ligatures w14:val="standardContextual"/>
              </w:rPr>
              <w:t>Cámara Nacional de la Industria Electrónica, de Telecomunicaciones y Tecnologías de la Información</w:t>
            </w:r>
          </w:p>
        </w:tc>
        <w:tc>
          <w:tcPr>
            <w:tcW w:w="1701" w:type="dxa"/>
            <w:shd w:val="clear" w:color="auto" w:fill="auto"/>
            <w:vAlign w:val="center"/>
            <w:hideMark/>
          </w:tcPr>
          <w:p w14:paraId="53B12FAE" w14:textId="77777777" w:rsidR="0066403F" w:rsidRPr="00E016A0" w:rsidRDefault="0066403F" w:rsidP="00C87878">
            <w:pPr>
              <w:spacing w:after="160" w:line="278" w:lineRule="auto"/>
              <w:ind w:left="173"/>
              <w:jc w:val="both"/>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bCs/>
                <w:color w:val="auto"/>
                <w:kern w:val="2"/>
                <w:sz w:val="18"/>
                <w:szCs w:val="18"/>
                <w:lang w:val="es-MX"/>
                <w14:ligatures w14:val="standardContextual"/>
              </w:rPr>
            </w:pPr>
            <w:r w:rsidRPr="00E016A0">
              <w:rPr>
                <w:rFonts w:ascii="ITC Avant Garde" w:eastAsia="Calibri" w:hAnsi="ITC Avant Garde"/>
                <w:bCs/>
                <w:color w:val="auto"/>
                <w:kern w:val="2"/>
                <w:sz w:val="18"/>
                <w:szCs w:val="18"/>
                <w:lang w:val="es-MX"/>
                <w14:ligatures w14:val="standardContextual"/>
              </w:rPr>
              <w:t>Formato de participación</w:t>
            </w:r>
          </w:p>
        </w:tc>
        <w:tc>
          <w:tcPr>
            <w:tcW w:w="2124" w:type="dxa"/>
            <w:shd w:val="clear" w:color="auto" w:fill="auto"/>
            <w:vAlign w:val="center"/>
            <w:hideMark/>
          </w:tcPr>
          <w:p w14:paraId="4F7F1A33" w14:textId="77777777" w:rsidR="0066403F" w:rsidRPr="00E016A0" w:rsidRDefault="0066403F" w:rsidP="00C87878">
            <w:pPr>
              <w:spacing w:after="160" w:line="278" w:lineRule="auto"/>
              <w:ind w:left="457"/>
              <w:jc w:val="both"/>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bCs/>
                <w:color w:val="auto"/>
                <w:kern w:val="2"/>
                <w:sz w:val="18"/>
                <w:szCs w:val="18"/>
                <w:lang w:val="es-MX"/>
                <w14:ligatures w14:val="standardContextual"/>
              </w:rPr>
            </w:pPr>
            <w:r w:rsidRPr="00291AA6">
              <w:rPr>
                <w:rFonts w:ascii="ITC Avant Garde" w:eastAsia="Calibri" w:hAnsi="ITC Avant Garde"/>
                <w:bCs/>
                <w:color w:val="auto"/>
                <w:kern w:val="2"/>
                <w:sz w:val="18"/>
                <w:szCs w:val="18"/>
                <w14:ligatures w14:val="standardContextual"/>
              </w:rPr>
              <w:t>08/10/2024</w:t>
            </w:r>
          </w:p>
        </w:tc>
      </w:tr>
      <w:tr w:rsidR="0066403F" w:rsidRPr="00E016A0" w14:paraId="4337C363" w14:textId="77777777" w:rsidTr="00C87878">
        <w:trPr>
          <w:trHeight w:val="81"/>
          <w:jc w:val="center"/>
        </w:trPr>
        <w:tc>
          <w:tcPr>
            <w:cnfStyle w:val="001000000000" w:firstRow="0" w:lastRow="0" w:firstColumn="1" w:lastColumn="0" w:oddVBand="0" w:evenVBand="0" w:oddHBand="0" w:evenHBand="0" w:firstRowFirstColumn="0" w:firstRowLastColumn="0" w:lastRowFirstColumn="0" w:lastRowLastColumn="0"/>
            <w:tcW w:w="3967" w:type="dxa"/>
            <w:shd w:val="clear" w:color="auto" w:fill="auto"/>
            <w:vAlign w:val="center"/>
            <w:hideMark/>
          </w:tcPr>
          <w:p w14:paraId="24468BED" w14:textId="77777777" w:rsidR="0066403F" w:rsidRPr="00E016A0" w:rsidRDefault="0066403F" w:rsidP="00C87878">
            <w:pPr>
              <w:spacing w:after="160" w:line="278" w:lineRule="auto"/>
              <w:ind w:left="720"/>
              <w:jc w:val="both"/>
              <w:rPr>
                <w:rFonts w:ascii="ITC Avant Garde" w:eastAsia="Calibri" w:hAnsi="ITC Avant Garde"/>
                <w:b/>
                <w:color w:val="auto"/>
                <w:kern w:val="2"/>
                <w:sz w:val="18"/>
                <w:szCs w:val="18"/>
                <w:lang w:val="es-MX"/>
                <w14:ligatures w14:val="standardContextual"/>
              </w:rPr>
            </w:pPr>
            <w:r w:rsidRPr="00E016A0">
              <w:rPr>
                <w:rFonts w:ascii="ITC Avant Garde" w:eastAsia="Calibri" w:hAnsi="ITC Avant Garde"/>
                <w:b/>
                <w:color w:val="auto"/>
                <w:kern w:val="2"/>
                <w:sz w:val="18"/>
                <w:szCs w:val="18"/>
                <w:lang w:val="es-MX"/>
                <w14:ligatures w14:val="standardContextual"/>
              </w:rPr>
              <w:t xml:space="preserve">6. </w:t>
            </w:r>
            <w:r w:rsidRPr="00D02977">
              <w:rPr>
                <w:rFonts w:ascii="ITC Avant Garde" w:eastAsia="Calibri" w:hAnsi="ITC Avant Garde"/>
                <w:b/>
                <w:color w:val="auto"/>
                <w:kern w:val="2"/>
                <w:sz w:val="18"/>
                <w:szCs w:val="18"/>
                <w:lang w:val="es-MX"/>
                <w14:ligatures w14:val="standardContextual"/>
              </w:rPr>
              <w:t>León Radio XV, S.A. de C.V.</w:t>
            </w:r>
          </w:p>
        </w:tc>
        <w:tc>
          <w:tcPr>
            <w:tcW w:w="1701" w:type="dxa"/>
            <w:shd w:val="clear" w:color="auto" w:fill="auto"/>
            <w:vAlign w:val="center"/>
            <w:hideMark/>
          </w:tcPr>
          <w:p w14:paraId="4172BA9F" w14:textId="77777777" w:rsidR="0066403F" w:rsidRPr="00E016A0" w:rsidRDefault="0066403F" w:rsidP="00C87878">
            <w:pPr>
              <w:spacing w:after="160" w:line="278" w:lineRule="auto"/>
              <w:ind w:left="173"/>
              <w:jc w:val="both"/>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bCs/>
                <w:color w:val="auto"/>
                <w:kern w:val="2"/>
                <w:sz w:val="18"/>
                <w:szCs w:val="18"/>
                <w:lang w:val="es-MX"/>
                <w14:ligatures w14:val="standardContextual"/>
              </w:rPr>
            </w:pPr>
            <w:r w:rsidRPr="00E016A0">
              <w:rPr>
                <w:rFonts w:ascii="ITC Avant Garde" w:eastAsia="Calibri" w:hAnsi="ITC Avant Garde"/>
                <w:bCs/>
                <w:color w:val="auto"/>
                <w:kern w:val="2"/>
                <w:sz w:val="18"/>
                <w:szCs w:val="18"/>
                <w:lang w:val="es-MX"/>
                <w14:ligatures w14:val="standardContextual"/>
              </w:rPr>
              <w:t>Formato de participación</w:t>
            </w:r>
          </w:p>
        </w:tc>
        <w:tc>
          <w:tcPr>
            <w:tcW w:w="2124" w:type="dxa"/>
            <w:shd w:val="clear" w:color="auto" w:fill="auto"/>
            <w:vAlign w:val="center"/>
            <w:hideMark/>
          </w:tcPr>
          <w:p w14:paraId="696E3017" w14:textId="77777777" w:rsidR="0066403F" w:rsidRPr="00E016A0" w:rsidRDefault="0066403F" w:rsidP="00C87878">
            <w:pPr>
              <w:spacing w:after="160" w:line="278" w:lineRule="auto"/>
              <w:ind w:left="457"/>
              <w:jc w:val="both"/>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bCs/>
                <w:color w:val="auto"/>
                <w:kern w:val="2"/>
                <w:sz w:val="18"/>
                <w:szCs w:val="18"/>
                <w:lang w:val="es-MX"/>
                <w14:ligatures w14:val="standardContextual"/>
              </w:rPr>
            </w:pPr>
            <w:r>
              <w:rPr>
                <w:rFonts w:ascii="ITC Avant Garde" w:eastAsia="Calibri" w:hAnsi="ITC Avant Garde"/>
                <w:bCs/>
                <w:color w:val="auto"/>
                <w:kern w:val="2"/>
                <w:sz w:val="18"/>
                <w:szCs w:val="18"/>
                <w:lang w:val="es-MX"/>
                <w14:ligatures w14:val="standardContextual"/>
              </w:rPr>
              <w:t>11</w:t>
            </w:r>
            <w:r w:rsidRPr="00E016A0">
              <w:rPr>
                <w:rFonts w:ascii="ITC Avant Garde" w:eastAsia="Calibri" w:hAnsi="ITC Avant Garde"/>
                <w:bCs/>
                <w:color w:val="auto"/>
                <w:kern w:val="2"/>
                <w:sz w:val="18"/>
                <w:szCs w:val="18"/>
                <w:lang w:val="es-MX"/>
                <w14:ligatures w14:val="standardContextual"/>
              </w:rPr>
              <w:t>/0</w:t>
            </w:r>
            <w:r>
              <w:rPr>
                <w:rFonts w:ascii="ITC Avant Garde" w:eastAsia="Calibri" w:hAnsi="ITC Avant Garde"/>
                <w:bCs/>
                <w:color w:val="auto"/>
                <w:kern w:val="2"/>
                <w:sz w:val="18"/>
                <w:szCs w:val="18"/>
                <w:lang w:val="es-MX"/>
                <w14:ligatures w14:val="standardContextual"/>
              </w:rPr>
              <w:t>9</w:t>
            </w:r>
            <w:r w:rsidRPr="00E016A0">
              <w:rPr>
                <w:rFonts w:ascii="ITC Avant Garde" w:eastAsia="Calibri" w:hAnsi="ITC Avant Garde"/>
                <w:bCs/>
                <w:color w:val="auto"/>
                <w:kern w:val="2"/>
                <w:sz w:val="18"/>
                <w:szCs w:val="18"/>
                <w:lang w:val="es-MX"/>
                <w14:ligatures w14:val="standardContextual"/>
              </w:rPr>
              <w:t>/2018</w:t>
            </w:r>
          </w:p>
        </w:tc>
      </w:tr>
      <w:tr w:rsidR="0066403F" w:rsidRPr="00E016A0" w14:paraId="391DD4F2" w14:textId="77777777" w:rsidTr="00C87878">
        <w:trPr>
          <w:cnfStyle w:val="000000100000" w:firstRow="0" w:lastRow="0" w:firstColumn="0" w:lastColumn="0" w:oddVBand="0" w:evenVBand="0" w:oddHBand="1" w:evenHBand="0" w:firstRowFirstColumn="0" w:firstRowLastColumn="0" w:lastRowFirstColumn="0" w:lastRowLastColumn="0"/>
          <w:trHeight w:val="81"/>
          <w:jc w:val="center"/>
        </w:trPr>
        <w:tc>
          <w:tcPr>
            <w:cnfStyle w:val="001000000000" w:firstRow="0" w:lastRow="0" w:firstColumn="1" w:lastColumn="0" w:oddVBand="0" w:evenVBand="0" w:oddHBand="0" w:evenHBand="0" w:firstRowFirstColumn="0" w:firstRowLastColumn="0" w:lastRowFirstColumn="0" w:lastRowLastColumn="0"/>
            <w:tcW w:w="3967" w:type="dxa"/>
            <w:shd w:val="clear" w:color="auto" w:fill="auto"/>
            <w:vAlign w:val="center"/>
            <w:hideMark/>
          </w:tcPr>
          <w:p w14:paraId="4D4F8F6C" w14:textId="77777777" w:rsidR="0066403F" w:rsidRPr="00E016A0" w:rsidRDefault="0066403F" w:rsidP="00C87878">
            <w:pPr>
              <w:spacing w:after="160" w:line="278" w:lineRule="auto"/>
              <w:ind w:left="720"/>
              <w:jc w:val="both"/>
              <w:rPr>
                <w:rFonts w:ascii="ITC Avant Garde" w:eastAsia="Calibri" w:hAnsi="ITC Avant Garde"/>
                <w:b/>
                <w:color w:val="auto"/>
                <w:kern w:val="2"/>
                <w:sz w:val="18"/>
                <w:szCs w:val="18"/>
                <w:lang w:val="es-MX"/>
                <w14:ligatures w14:val="standardContextual"/>
              </w:rPr>
            </w:pPr>
            <w:r w:rsidRPr="00E016A0">
              <w:rPr>
                <w:rFonts w:ascii="ITC Avant Garde" w:eastAsia="Calibri" w:hAnsi="ITC Avant Garde"/>
                <w:b/>
                <w:color w:val="auto"/>
                <w:kern w:val="2"/>
                <w:sz w:val="18"/>
                <w:szCs w:val="18"/>
                <w:lang w:val="es-MX"/>
                <w14:ligatures w14:val="standardContextual"/>
              </w:rPr>
              <w:t xml:space="preserve">7. </w:t>
            </w:r>
            <w:r w:rsidRPr="00A41BEF">
              <w:rPr>
                <w:rFonts w:ascii="ITC Avant Garde" w:eastAsia="Calibri" w:hAnsi="ITC Avant Garde"/>
                <w:b/>
                <w:color w:val="auto"/>
                <w:kern w:val="2"/>
                <w:sz w:val="18"/>
                <w:szCs w:val="18"/>
                <w:lang w:val="es-MX"/>
                <w14:ligatures w14:val="standardContextual"/>
              </w:rPr>
              <w:t>Alejandro Morán</w:t>
            </w:r>
          </w:p>
        </w:tc>
        <w:tc>
          <w:tcPr>
            <w:tcW w:w="1701" w:type="dxa"/>
            <w:shd w:val="clear" w:color="auto" w:fill="auto"/>
            <w:vAlign w:val="center"/>
            <w:hideMark/>
          </w:tcPr>
          <w:p w14:paraId="003DEFA4" w14:textId="77777777" w:rsidR="0066403F" w:rsidRPr="00E016A0" w:rsidRDefault="0066403F" w:rsidP="00C87878">
            <w:pPr>
              <w:spacing w:after="160" w:line="278" w:lineRule="auto"/>
              <w:ind w:left="173"/>
              <w:jc w:val="both"/>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bCs/>
                <w:color w:val="auto"/>
                <w:kern w:val="2"/>
                <w:sz w:val="18"/>
                <w:szCs w:val="18"/>
                <w:lang w:val="es-MX"/>
                <w14:ligatures w14:val="standardContextual"/>
              </w:rPr>
            </w:pPr>
            <w:r w:rsidRPr="00E016A0">
              <w:rPr>
                <w:rFonts w:ascii="ITC Avant Garde" w:eastAsia="Calibri" w:hAnsi="ITC Avant Garde"/>
                <w:bCs/>
                <w:color w:val="auto"/>
                <w:kern w:val="2"/>
                <w:sz w:val="18"/>
                <w:szCs w:val="18"/>
                <w:lang w:val="es-MX"/>
                <w14:ligatures w14:val="standardContextual"/>
              </w:rPr>
              <w:t>Formato de participación</w:t>
            </w:r>
          </w:p>
        </w:tc>
        <w:tc>
          <w:tcPr>
            <w:tcW w:w="2124" w:type="dxa"/>
            <w:shd w:val="clear" w:color="auto" w:fill="auto"/>
            <w:vAlign w:val="center"/>
            <w:hideMark/>
          </w:tcPr>
          <w:p w14:paraId="631F0C0A" w14:textId="77777777" w:rsidR="0066403F" w:rsidRPr="00E016A0" w:rsidRDefault="0066403F" w:rsidP="00C87878">
            <w:pPr>
              <w:spacing w:after="160" w:line="278" w:lineRule="auto"/>
              <w:ind w:left="457"/>
              <w:jc w:val="both"/>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bCs/>
                <w:color w:val="auto"/>
                <w:kern w:val="2"/>
                <w:sz w:val="18"/>
                <w:szCs w:val="18"/>
                <w:lang w:val="es-MX"/>
                <w14:ligatures w14:val="standardContextual"/>
              </w:rPr>
            </w:pPr>
            <w:r>
              <w:rPr>
                <w:rFonts w:ascii="ITC Avant Garde" w:eastAsia="Calibri" w:hAnsi="ITC Avant Garde"/>
                <w:bCs/>
                <w:color w:val="auto"/>
                <w:kern w:val="2"/>
                <w:sz w:val="18"/>
                <w:szCs w:val="18"/>
                <w:lang w:val="es-MX"/>
                <w14:ligatures w14:val="standardContextual"/>
              </w:rPr>
              <w:t>09</w:t>
            </w:r>
            <w:r w:rsidRPr="00E016A0">
              <w:rPr>
                <w:rFonts w:ascii="ITC Avant Garde" w:eastAsia="Calibri" w:hAnsi="ITC Avant Garde"/>
                <w:bCs/>
                <w:color w:val="auto"/>
                <w:kern w:val="2"/>
                <w:sz w:val="18"/>
                <w:szCs w:val="18"/>
                <w:lang w:val="es-MX"/>
                <w14:ligatures w14:val="standardContextual"/>
              </w:rPr>
              <w:t>/0</w:t>
            </w:r>
            <w:r>
              <w:rPr>
                <w:rFonts w:ascii="ITC Avant Garde" w:eastAsia="Calibri" w:hAnsi="ITC Avant Garde"/>
                <w:bCs/>
                <w:color w:val="auto"/>
                <w:kern w:val="2"/>
                <w:sz w:val="18"/>
                <w:szCs w:val="18"/>
                <w:lang w:val="es-MX"/>
                <w14:ligatures w14:val="standardContextual"/>
              </w:rPr>
              <w:t>9</w:t>
            </w:r>
            <w:r w:rsidRPr="00E016A0">
              <w:rPr>
                <w:rFonts w:ascii="ITC Avant Garde" w:eastAsia="Calibri" w:hAnsi="ITC Avant Garde"/>
                <w:bCs/>
                <w:color w:val="auto"/>
                <w:kern w:val="2"/>
                <w:sz w:val="18"/>
                <w:szCs w:val="18"/>
                <w:lang w:val="es-MX"/>
                <w14:ligatures w14:val="standardContextual"/>
              </w:rPr>
              <w:t>/2018</w:t>
            </w:r>
          </w:p>
        </w:tc>
      </w:tr>
    </w:tbl>
    <w:p w14:paraId="487F0CB3" w14:textId="77777777" w:rsidR="0066403F" w:rsidRDefault="0066403F" w:rsidP="0066403F">
      <w:pPr>
        <w:spacing w:after="160" w:line="278" w:lineRule="auto"/>
        <w:ind w:left="720"/>
        <w:jc w:val="both"/>
        <w:rPr>
          <w:rFonts w:ascii="ITC Avant Garde" w:eastAsia="Calibri" w:hAnsi="ITC Avant Garde"/>
          <w:b w:val="0"/>
          <w:bCs/>
          <w:color w:val="auto"/>
          <w:kern w:val="2"/>
          <w:sz w:val="20"/>
          <w:szCs w:val="20"/>
          <w:lang w:val="es-MX"/>
          <w14:ligatures w14:val="standardContextual"/>
        </w:rPr>
      </w:pPr>
    </w:p>
    <w:p w14:paraId="4D16FF20" w14:textId="77777777" w:rsidR="0066403F" w:rsidRPr="00E016A0" w:rsidRDefault="0066403F" w:rsidP="0066403F">
      <w:pPr>
        <w:spacing w:after="160" w:line="278" w:lineRule="auto"/>
        <w:ind w:left="720"/>
        <w:jc w:val="both"/>
        <w:rPr>
          <w:rFonts w:ascii="ITC Avant Garde" w:eastAsia="Calibri" w:hAnsi="ITC Avant Garde"/>
          <w:b w:val="0"/>
          <w:bCs/>
          <w:color w:val="auto"/>
          <w:kern w:val="2"/>
          <w:sz w:val="20"/>
          <w:szCs w:val="20"/>
          <w:lang w:val="es-MX"/>
          <w14:ligatures w14:val="standardContextual"/>
        </w:rPr>
      </w:pPr>
      <w:r>
        <w:rPr>
          <w:rFonts w:ascii="ITC Avant Garde" w:eastAsia="Calibri" w:hAnsi="ITC Avant Garde"/>
          <w:b w:val="0"/>
          <w:bCs/>
          <w:color w:val="auto"/>
          <w:kern w:val="2"/>
          <w:sz w:val="20"/>
          <w:szCs w:val="20"/>
          <w:lang w:val="es-MX"/>
          <w14:ligatures w14:val="standardContextual"/>
        </w:rPr>
        <w:t xml:space="preserve">La mayoría de los </w:t>
      </w:r>
      <w:r w:rsidRPr="00E016A0">
        <w:rPr>
          <w:rFonts w:ascii="ITC Avant Garde" w:eastAsia="Calibri" w:hAnsi="ITC Avant Garde"/>
          <w:b w:val="0"/>
          <w:bCs/>
          <w:color w:val="auto"/>
          <w:kern w:val="2"/>
          <w:sz w:val="20"/>
          <w:szCs w:val="20"/>
          <w:lang w:val="es-MX"/>
          <w14:ligatures w14:val="standardContextual"/>
        </w:rPr>
        <w:t xml:space="preserve">escritos fueron presentados dentro del periodo habilitado para la consulta pública correspondiente y su contenido </w:t>
      </w:r>
      <w:r>
        <w:rPr>
          <w:rFonts w:ascii="ITC Avant Garde" w:eastAsia="Calibri" w:hAnsi="ITC Avant Garde" w:cs="Times New Roman"/>
          <w:b w:val="0"/>
          <w:color w:val="auto"/>
          <w:kern w:val="2"/>
          <w:sz w:val="20"/>
          <w:szCs w:val="20"/>
          <w:lang w:val="es-MX"/>
          <w14:ligatures w14:val="standardContextual"/>
        </w:rPr>
        <w:t>permitió obtener datos específicos que documentan la percepción actual sobre la estrategia de Gobierno Electrónico, respecto a la implementación de la Ventanilla Electrónica para su f</w:t>
      </w:r>
      <w:r w:rsidRPr="0085704C">
        <w:rPr>
          <w:rFonts w:ascii="ITC Avant Garde" w:eastAsia="Calibri" w:hAnsi="ITC Avant Garde" w:cs="Times New Roman"/>
          <w:b w:val="0"/>
          <w:color w:val="auto"/>
          <w:kern w:val="2"/>
          <w:sz w:val="20"/>
          <w:szCs w:val="20"/>
          <w:lang w:val="es-MX"/>
          <w14:ligatures w14:val="standardContextual"/>
        </w:rPr>
        <w:t>ortalecimiento</w:t>
      </w:r>
      <w:r>
        <w:rPr>
          <w:rFonts w:ascii="ITC Avant Garde" w:eastAsia="Calibri" w:hAnsi="ITC Avant Garde" w:cs="Times New Roman"/>
          <w:b w:val="0"/>
          <w:color w:val="auto"/>
          <w:kern w:val="2"/>
          <w:sz w:val="20"/>
          <w:szCs w:val="20"/>
          <w:lang w:val="es-MX"/>
          <w14:ligatures w14:val="standardContextual"/>
        </w:rPr>
        <w:t xml:space="preserve"> y lograr</w:t>
      </w:r>
      <w:r w:rsidRPr="0085704C">
        <w:rPr>
          <w:rFonts w:ascii="ITC Avant Garde" w:eastAsia="Calibri" w:hAnsi="ITC Avant Garde" w:cs="Times New Roman"/>
          <w:b w:val="0"/>
          <w:color w:val="auto"/>
          <w:kern w:val="2"/>
          <w:sz w:val="20"/>
          <w:szCs w:val="20"/>
          <w:lang w:val="es-MX"/>
          <w14:ligatures w14:val="standardContextual"/>
        </w:rPr>
        <w:t xml:space="preserve"> el cumplimiento de los estándares y recomendaciones de organizaciones internacionales</w:t>
      </w:r>
      <w:r w:rsidRPr="00E016A0">
        <w:rPr>
          <w:rFonts w:ascii="ITC Avant Garde" w:eastAsia="Calibri" w:hAnsi="ITC Avant Garde"/>
          <w:b w:val="0"/>
          <w:bCs/>
          <w:color w:val="auto"/>
          <w:kern w:val="2"/>
          <w:sz w:val="20"/>
          <w:szCs w:val="20"/>
          <w:lang w:val="es-MX"/>
          <w14:ligatures w14:val="standardContextual"/>
        </w:rPr>
        <w:t>, por lo que es procedente considerarlos en el presente análisis.</w:t>
      </w:r>
    </w:p>
    <w:p w14:paraId="06464F23" w14:textId="77777777" w:rsidR="0066403F" w:rsidRDefault="0066403F" w:rsidP="0066403F">
      <w:pPr>
        <w:numPr>
          <w:ilvl w:val="0"/>
          <w:numId w:val="6"/>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bookmarkStart w:id="24" w:name="_Toc183000918"/>
      <w:r w:rsidRPr="00F3764C">
        <w:rPr>
          <w:rFonts w:ascii="ITC Avant Garde" w:eastAsia="Calibri" w:hAnsi="ITC Avant Garde" w:cs="Times New Roman"/>
          <w:color w:val="auto"/>
          <w:kern w:val="2"/>
          <w:sz w:val="20"/>
          <w:szCs w:val="20"/>
          <w:lang w:val="es-MX"/>
          <w14:ligatures w14:val="standardContextual"/>
        </w:rPr>
        <w:lastRenderedPageBreak/>
        <w:t>Encuestas de Satisfacción de la Ventanilla Electrónica</w:t>
      </w:r>
      <w:bookmarkEnd w:id="24"/>
      <w:r w:rsidRPr="00F3764C">
        <w:rPr>
          <w:rFonts w:ascii="ITC Avant Garde" w:eastAsia="Calibri" w:hAnsi="ITC Avant Garde" w:cs="Times New Roman"/>
          <w:color w:val="auto"/>
          <w:kern w:val="2"/>
          <w:sz w:val="20"/>
          <w:szCs w:val="20"/>
          <w:lang w:val="es-MX"/>
          <w14:ligatures w14:val="standardContextual"/>
        </w:rPr>
        <w:t>:</w:t>
      </w:r>
      <w:r w:rsidRPr="00F3764C">
        <w:rPr>
          <w:rFonts w:ascii="ITC Avant Garde" w:eastAsia="Calibri" w:hAnsi="ITC Avant Garde" w:cs="Times New Roman"/>
          <w:b w:val="0"/>
          <w:color w:val="auto"/>
          <w:kern w:val="2"/>
          <w:sz w:val="20"/>
          <w:szCs w:val="20"/>
          <w:lang w:val="es-MX"/>
          <w14:ligatures w14:val="standardContextual"/>
        </w:rPr>
        <w:t xml:space="preserve"> </w:t>
      </w:r>
      <w:r w:rsidRPr="003E46BD">
        <w:rPr>
          <w:rFonts w:ascii="ITC Avant Garde" w:eastAsia="Calibri" w:hAnsi="ITC Avant Garde" w:cs="Times New Roman"/>
          <w:b w:val="0"/>
          <w:color w:val="auto"/>
          <w:kern w:val="2"/>
          <w:sz w:val="20"/>
          <w:szCs w:val="20"/>
          <w:lang w:val="es-MX"/>
          <w14:ligatures w14:val="standardContextual"/>
        </w:rPr>
        <w:t>La Ventanilla Electrónica incorpora un espacio de interacción diseñado para recopilar la percepción y experiencia de las personas usuarias. Para este propósito, se habilitaron dos tipos de encuestas, las cuales se enfocan en aspectos clave de la operación y el uso de la plataforma</w:t>
      </w:r>
      <w:r w:rsidRPr="00F3764C">
        <w:rPr>
          <w:rFonts w:ascii="ITC Avant Garde" w:eastAsia="Calibri" w:hAnsi="ITC Avant Garde" w:cs="Times New Roman"/>
          <w:b w:val="0"/>
          <w:color w:val="auto"/>
          <w:kern w:val="2"/>
          <w:sz w:val="20"/>
          <w:szCs w:val="20"/>
          <w:lang w:val="es-MX"/>
          <w14:ligatures w14:val="standardContextual"/>
        </w:rPr>
        <w:t>,</w:t>
      </w:r>
      <w:r>
        <w:rPr>
          <w:rFonts w:ascii="ITC Avant Garde" w:eastAsia="Calibri" w:hAnsi="ITC Avant Garde" w:cs="Times New Roman"/>
          <w:b w:val="0"/>
          <w:color w:val="auto"/>
          <w:kern w:val="2"/>
          <w:sz w:val="20"/>
          <w:szCs w:val="20"/>
          <w:lang w:val="es-MX"/>
          <w14:ligatures w14:val="standardContextual"/>
        </w:rPr>
        <w:t xml:space="preserve"> a saber:</w:t>
      </w:r>
    </w:p>
    <w:p w14:paraId="5256A364" w14:textId="77777777" w:rsidR="0066403F" w:rsidRDefault="0066403F" w:rsidP="0066403F">
      <w:pPr>
        <w:pStyle w:val="Prrafodelista"/>
        <w:numPr>
          <w:ilvl w:val="1"/>
          <w:numId w:val="6"/>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3E46BD">
        <w:rPr>
          <w:rFonts w:ascii="ITC Avant Garde" w:eastAsia="Calibri" w:hAnsi="ITC Avant Garde" w:cs="Times New Roman"/>
          <w:b w:val="0"/>
          <w:color w:val="auto"/>
          <w:kern w:val="2"/>
          <w:sz w:val="20"/>
          <w:szCs w:val="20"/>
          <w:lang w:val="es-MX"/>
          <w14:ligatures w14:val="standardContextual"/>
        </w:rPr>
        <w:t xml:space="preserve">Encuesta sobre la presentación de trámites y servicios: Orientada a conocer la opinión de </w:t>
      </w:r>
      <w:r>
        <w:rPr>
          <w:rFonts w:ascii="ITC Avant Garde" w:eastAsia="Calibri" w:hAnsi="ITC Avant Garde" w:cs="Times New Roman"/>
          <w:b w:val="0"/>
          <w:color w:val="auto"/>
          <w:kern w:val="2"/>
          <w:sz w:val="20"/>
          <w:szCs w:val="20"/>
          <w:lang w:val="es-MX"/>
          <w14:ligatures w14:val="standardContextual"/>
        </w:rPr>
        <w:t xml:space="preserve">las personas usuarias </w:t>
      </w:r>
      <w:r w:rsidRPr="003E46BD">
        <w:rPr>
          <w:rFonts w:ascii="ITC Avant Garde" w:eastAsia="Calibri" w:hAnsi="ITC Avant Garde" w:cs="Times New Roman"/>
          <w:b w:val="0"/>
          <w:color w:val="auto"/>
          <w:kern w:val="2"/>
          <w:sz w:val="20"/>
          <w:szCs w:val="20"/>
          <w:lang w:val="es-MX"/>
          <w14:ligatures w14:val="standardContextual"/>
        </w:rPr>
        <w:t>respecto al proceso de ingreso de trámites o servicios a través de la Ventanilla Electrónica a cargo del IFT.</w:t>
      </w:r>
    </w:p>
    <w:p w14:paraId="60C71D93" w14:textId="77777777" w:rsidR="0066403F" w:rsidRDefault="0066403F" w:rsidP="0066403F">
      <w:pPr>
        <w:pStyle w:val="Prrafodelista"/>
        <w:spacing w:after="160" w:line="278" w:lineRule="auto"/>
        <w:ind w:left="1440"/>
        <w:jc w:val="both"/>
        <w:rPr>
          <w:rFonts w:ascii="ITC Avant Garde" w:eastAsia="Calibri" w:hAnsi="ITC Avant Garde" w:cs="Times New Roman"/>
          <w:b w:val="0"/>
          <w:color w:val="auto"/>
          <w:kern w:val="2"/>
          <w:sz w:val="20"/>
          <w:szCs w:val="20"/>
          <w:lang w:val="es-MX"/>
          <w14:ligatures w14:val="standardContextual"/>
        </w:rPr>
      </w:pPr>
    </w:p>
    <w:p w14:paraId="51C67FF8" w14:textId="77777777" w:rsidR="0066403F" w:rsidRDefault="0066403F" w:rsidP="0066403F">
      <w:pPr>
        <w:pStyle w:val="Prrafodelista"/>
        <w:numPr>
          <w:ilvl w:val="1"/>
          <w:numId w:val="6"/>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3E46BD">
        <w:rPr>
          <w:rFonts w:ascii="ITC Avant Garde" w:eastAsia="Calibri" w:hAnsi="ITC Avant Garde" w:cs="Times New Roman"/>
          <w:b w:val="0"/>
          <w:color w:val="auto"/>
          <w:kern w:val="2"/>
          <w:sz w:val="20"/>
          <w:szCs w:val="20"/>
          <w:lang w:val="es-MX"/>
          <w14:ligatures w14:val="standardContextual"/>
        </w:rPr>
        <w:t xml:space="preserve">Encuesta sobre la sustanciación de trámites y servicios: Dirigida a evaluar la experiencia de </w:t>
      </w:r>
      <w:r>
        <w:rPr>
          <w:rFonts w:ascii="ITC Avant Garde" w:eastAsia="Calibri" w:hAnsi="ITC Avant Garde" w:cs="Times New Roman"/>
          <w:b w:val="0"/>
          <w:color w:val="auto"/>
          <w:kern w:val="2"/>
          <w:sz w:val="20"/>
          <w:szCs w:val="20"/>
          <w:lang w:val="es-MX"/>
          <w14:ligatures w14:val="standardContextual"/>
        </w:rPr>
        <w:t xml:space="preserve">las personas usuarias </w:t>
      </w:r>
      <w:r w:rsidRPr="003E46BD">
        <w:rPr>
          <w:rFonts w:ascii="ITC Avant Garde" w:eastAsia="Calibri" w:hAnsi="ITC Avant Garde" w:cs="Times New Roman"/>
          <w:b w:val="0"/>
          <w:color w:val="auto"/>
          <w:kern w:val="2"/>
          <w:sz w:val="20"/>
          <w:szCs w:val="20"/>
          <w:lang w:val="es-MX"/>
          <w14:ligatures w14:val="standardContextual"/>
        </w:rPr>
        <w:t>durante el seguimiento y resolución de los trámites gestionados por este medio electrónico.</w:t>
      </w:r>
    </w:p>
    <w:p w14:paraId="472838B1" w14:textId="77777777" w:rsidR="0066403F" w:rsidRDefault="0066403F" w:rsidP="0066403F">
      <w:pPr>
        <w:pStyle w:val="Prrafodelista"/>
        <w:spacing w:after="160" w:line="278" w:lineRule="auto"/>
        <w:jc w:val="both"/>
        <w:rPr>
          <w:rFonts w:ascii="ITC Avant Garde" w:eastAsia="Calibri" w:hAnsi="ITC Avant Garde" w:cs="Times New Roman"/>
          <w:b w:val="0"/>
          <w:color w:val="auto"/>
          <w:kern w:val="2"/>
          <w:sz w:val="20"/>
          <w:szCs w:val="20"/>
          <w:lang w:val="es-MX"/>
          <w14:ligatures w14:val="standardContextual"/>
        </w:rPr>
      </w:pPr>
    </w:p>
    <w:p w14:paraId="6D13B1D8" w14:textId="77777777" w:rsidR="0066403F" w:rsidRPr="003E46BD" w:rsidRDefault="0066403F" w:rsidP="0066403F">
      <w:pPr>
        <w:pStyle w:val="Prrafodelista"/>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3E46BD">
        <w:rPr>
          <w:rFonts w:ascii="ITC Avant Garde" w:eastAsia="Calibri" w:hAnsi="ITC Avant Garde" w:cs="Times New Roman"/>
          <w:b w:val="0"/>
          <w:color w:val="auto"/>
          <w:kern w:val="2"/>
          <w:sz w:val="20"/>
          <w:szCs w:val="20"/>
          <w:lang w:val="es-MX"/>
          <w14:ligatures w14:val="standardContextual"/>
        </w:rPr>
        <w:t xml:space="preserve">Al respecto, es importante comentar que las encuestas de la Ventanilla Electrónica se implementaron </w:t>
      </w:r>
      <w:r>
        <w:rPr>
          <w:rFonts w:ascii="ITC Avant Garde" w:eastAsia="Calibri" w:hAnsi="ITC Avant Garde" w:cs="Times New Roman"/>
          <w:b w:val="0"/>
          <w:color w:val="auto"/>
          <w:kern w:val="2"/>
          <w:sz w:val="20"/>
          <w:szCs w:val="20"/>
          <w:lang w:val="es-MX"/>
          <w14:ligatures w14:val="standardContextual"/>
        </w:rPr>
        <w:t xml:space="preserve">durante el año </w:t>
      </w:r>
      <w:r w:rsidRPr="003E46BD">
        <w:rPr>
          <w:rFonts w:ascii="ITC Avant Garde" w:eastAsia="Calibri" w:hAnsi="ITC Avant Garde" w:cs="Times New Roman"/>
          <w:b w:val="0"/>
          <w:color w:val="auto"/>
          <w:kern w:val="2"/>
          <w:sz w:val="20"/>
          <w:szCs w:val="20"/>
          <w:lang w:val="es-MX"/>
          <w14:ligatures w14:val="standardContextual"/>
        </w:rPr>
        <w:t>2023, por lo que, con corte al tercer trimestre de 202</w:t>
      </w:r>
      <w:r>
        <w:rPr>
          <w:rFonts w:ascii="ITC Avant Garde" w:eastAsia="Calibri" w:hAnsi="ITC Avant Garde" w:cs="Times New Roman"/>
          <w:b w:val="0"/>
          <w:color w:val="auto"/>
          <w:kern w:val="2"/>
          <w:sz w:val="20"/>
          <w:szCs w:val="20"/>
          <w:lang w:val="es-MX"/>
          <w14:ligatures w14:val="standardContextual"/>
        </w:rPr>
        <w:t>4</w:t>
      </w:r>
      <w:r w:rsidRPr="003E46BD">
        <w:rPr>
          <w:rFonts w:ascii="ITC Avant Garde" w:eastAsia="Calibri" w:hAnsi="ITC Avant Garde" w:cs="Times New Roman"/>
          <w:b w:val="0"/>
          <w:color w:val="auto"/>
          <w:kern w:val="2"/>
          <w:sz w:val="20"/>
          <w:szCs w:val="20"/>
          <w:lang w:val="es-MX"/>
          <w14:ligatures w14:val="standardContextual"/>
        </w:rPr>
        <w:t>, se recibieron un total de 1017 respuestas, de las cuales, 803 corresponden a las respuestas relacionadas con la encuesta sobre el proceso de presentación de un trámite o servicio ante la Ventanilla Electrónica y 214 corresponden a respuestas sobre la encuesta del proceso de sustanciación de dicho medio electrónico.</w:t>
      </w:r>
    </w:p>
    <w:p w14:paraId="279A999D"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Ambas fuentes de datos son fundamentales para entender la percepción de los ciudadanos y la experiencia de </w:t>
      </w:r>
      <w:r>
        <w:rPr>
          <w:rFonts w:ascii="ITC Avant Garde" w:eastAsia="Calibri" w:hAnsi="ITC Avant Garde" w:cs="Times New Roman"/>
          <w:b w:val="0"/>
          <w:color w:val="auto"/>
          <w:kern w:val="2"/>
          <w:sz w:val="20"/>
          <w:szCs w:val="20"/>
          <w:lang w:val="es-MX"/>
          <w14:ligatures w14:val="standardContextual"/>
        </w:rPr>
        <w:t xml:space="preserve">las personas usuarias </w:t>
      </w:r>
      <w:r w:rsidRPr="001C22B9">
        <w:rPr>
          <w:rFonts w:ascii="ITC Avant Garde" w:eastAsia="Calibri" w:hAnsi="ITC Avant Garde" w:cs="Times New Roman"/>
          <w:b w:val="0"/>
          <w:color w:val="auto"/>
          <w:kern w:val="2"/>
          <w:sz w:val="20"/>
          <w:szCs w:val="20"/>
          <w:lang w:val="es-MX"/>
          <w14:ligatures w14:val="standardContextual"/>
        </w:rPr>
        <w:t>en la interacción digital con el IFT. La combinación de datos permite identificar patrones de comportamiento y evaluar si las expectativas y necesidades de</w:t>
      </w:r>
      <w:r>
        <w:rPr>
          <w:rFonts w:ascii="ITC Avant Garde" w:eastAsia="Calibri" w:hAnsi="ITC Avant Garde" w:cs="Times New Roman"/>
          <w:b w:val="0"/>
          <w:color w:val="auto"/>
          <w:kern w:val="2"/>
          <w:sz w:val="20"/>
          <w:szCs w:val="20"/>
          <w:lang w:val="es-MX"/>
          <w14:ligatures w14:val="standardContextual"/>
        </w:rPr>
        <w:t xml:space="preserve"> las personas usuarias de la Ventanilla Electrónica</w:t>
      </w:r>
      <w:r w:rsidRPr="001C22B9">
        <w:rPr>
          <w:rFonts w:ascii="ITC Avant Garde" w:eastAsia="Calibri" w:hAnsi="ITC Avant Garde" w:cs="Times New Roman"/>
          <w:b w:val="0"/>
          <w:color w:val="auto"/>
          <w:kern w:val="2"/>
          <w:sz w:val="20"/>
          <w:szCs w:val="20"/>
          <w:lang w:val="es-MX"/>
          <w14:ligatures w14:val="standardContextual"/>
        </w:rPr>
        <w:t xml:space="preserve"> están siendo atendidas eficazmente por la Estrategia de Gobierno Electrónico del Instituto.</w:t>
      </w:r>
    </w:p>
    <w:p w14:paraId="7103F679" w14:textId="77777777" w:rsidR="0066403F" w:rsidRPr="00634241"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bookmarkStart w:id="25" w:name="_Toc183000919"/>
      <w:r w:rsidRPr="00EE1BE3">
        <w:rPr>
          <w:rFonts w:ascii="ITC Avant Garde" w:eastAsia="Calibri" w:hAnsi="ITC Avant Garde" w:cs="Times New Roman"/>
          <w:color w:val="auto"/>
          <w:kern w:val="2"/>
          <w:sz w:val="22"/>
          <w:lang w:val="es-MX"/>
          <w14:ligatures w14:val="standardContextual"/>
        </w:rPr>
        <w:t>Procesamiento y Análisis de Datos</w:t>
      </w:r>
      <w:bookmarkEnd w:id="25"/>
    </w:p>
    <w:p w14:paraId="40136303"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Los datos obtenidos de la consulta pública y </w:t>
      </w:r>
      <w:r>
        <w:rPr>
          <w:rFonts w:ascii="ITC Avant Garde" w:eastAsia="Calibri" w:hAnsi="ITC Avant Garde" w:cs="Times New Roman"/>
          <w:b w:val="0"/>
          <w:color w:val="auto"/>
          <w:kern w:val="2"/>
          <w:sz w:val="20"/>
          <w:szCs w:val="20"/>
          <w:lang w:val="es-MX"/>
          <w14:ligatures w14:val="standardContextual"/>
        </w:rPr>
        <w:t xml:space="preserve">en las </w:t>
      </w:r>
      <w:r w:rsidRPr="001C22B9">
        <w:rPr>
          <w:rFonts w:ascii="ITC Avant Garde" w:eastAsia="Calibri" w:hAnsi="ITC Avant Garde" w:cs="Times New Roman"/>
          <w:b w:val="0"/>
          <w:color w:val="auto"/>
          <w:kern w:val="2"/>
          <w:sz w:val="20"/>
          <w:szCs w:val="20"/>
          <w:lang w:val="es-MX"/>
          <w14:ligatures w14:val="standardContextual"/>
        </w:rPr>
        <w:t>encuesta</w:t>
      </w:r>
      <w:r>
        <w:rPr>
          <w:rFonts w:ascii="ITC Avant Garde" w:eastAsia="Calibri" w:hAnsi="ITC Avant Garde" w:cs="Times New Roman"/>
          <w:b w:val="0"/>
          <w:color w:val="auto"/>
          <w:kern w:val="2"/>
          <w:sz w:val="20"/>
          <w:szCs w:val="20"/>
          <w:lang w:val="es-MX"/>
          <w14:ligatures w14:val="standardContextual"/>
        </w:rPr>
        <w:t>s</w:t>
      </w:r>
      <w:r w:rsidRPr="001C22B9">
        <w:rPr>
          <w:rFonts w:ascii="ITC Avant Garde" w:eastAsia="Calibri" w:hAnsi="ITC Avant Garde" w:cs="Times New Roman"/>
          <w:b w:val="0"/>
          <w:color w:val="auto"/>
          <w:kern w:val="2"/>
          <w:sz w:val="20"/>
          <w:szCs w:val="20"/>
          <w:lang w:val="es-MX"/>
          <w14:ligatures w14:val="standardContextual"/>
        </w:rPr>
        <w:t xml:space="preserve"> de satisfacción fueron procesados en tres etapas:</w:t>
      </w:r>
    </w:p>
    <w:p w14:paraId="42CA4906" w14:textId="77777777" w:rsidR="0066403F" w:rsidRPr="001C22B9" w:rsidRDefault="0066403F" w:rsidP="0066403F">
      <w:pPr>
        <w:numPr>
          <w:ilvl w:val="0"/>
          <w:numId w:val="7"/>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Limpieza y Preparación de los Datos</w:t>
      </w:r>
      <w:r w:rsidRPr="001C22B9">
        <w:rPr>
          <w:rFonts w:ascii="ITC Avant Garde" w:eastAsia="Calibri" w:hAnsi="ITC Avant Garde" w:cs="Times New Roman"/>
          <w:b w:val="0"/>
          <w:color w:val="auto"/>
          <w:kern w:val="2"/>
          <w:sz w:val="20"/>
          <w:szCs w:val="20"/>
          <w:lang w:val="es-MX"/>
          <w14:ligatures w14:val="standardContextual"/>
        </w:rPr>
        <w:t>: Los datos recopilados se depuraron para eliminar respuestas incompletas y duplicados. Esta fase asegura que las respuestas analizadas sean representativas y válidas, permitiendo obtener una visión clara y precisa de la percepción del usuario.</w:t>
      </w:r>
    </w:p>
    <w:p w14:paraId="65604A56" w14:textId="77777777" w:rsidR="0066403F" w:rsidRPr="001C22B9" w:rsidRDefault="0066403F" w:rsidP="0066403F">
      <w:pPr>
        <w:numPr>
          <w:ilvl w:val="0"/>
          <w:numId w:val="7"/>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Agrupación Temática de las Respuestas</w:t>
      </w:r>
      <w:r w:rsidRPr="001C22B9">
        <w:rPr>
          <w:rFonts w:ascii="ITC Avant Garde" w:eastAsia="Calibri" w:hAnsi="ITC Avant Garde" w:cs="Times New Roman"/>
          <w:b w:val="0"/>
          <w:color w:val="auto"/>
          <w:kern w:val="2"/>
          <w:sz w:val="20"/>
          <w:szCs w:val="20"/>
          <w:lang w:val="es-MX"/>
          <w14:ligatures w14:val="standardContextual"/>
        </w:rPr>
        <w:t>: Con el fin de realizar un análisis más profundo, las preguntas de ambas encuestas se agruparon en temas clave, tales como:</w:t>
      </w:r>
    </w:p>
    <w:p w14:paraId="3A10B94F" w14:textId="77777777" w:rsidR="0066403F" w:rsidRPr="001C22B9" w:rsidRDefault="0066403F" w:rsidP="0066403F">
      <w:pPr>
        <w:numPr>
          <w:ilvl w:val="1"/>
          <w:numId w:val="7"/>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Satisfacción </w:t>
      </w:r>
      <w:r>
        <w:rPr>
          <w:rFonts w:ascii="ITC Avant Garde" w:eastAsia="Calibri" w:hAnsi="ITC Avant Garde" w:cs="Times New Roman"/>
          <w:b w:val="0"/>
          <w:color w:val="auto"/>
          <w:kern w:val="2"/>
          <w:sz w:val="20"/>
          <w:szCs w:val="20"/>
          <w:lang w:val="es-MX"/>
          <w14:ligatures w14:val="standardContextual"/>
        </w:rPr>
        <w:t>con la calidad de los servicios electrónicos</w:t>
      </w:r>
    </w:p>
    <w:p w14:paraId="2EA1CD0A" w14:textId="77777777" w:rsidR="0066403F" w:rsidRPr="001C22B9" w:rsidRDefault="0066403F" w:rsidP="0066403F">
      <w:pPr>
        <w:numPr>
          <w:ilvl w:val="1"/>
          <w:numId w:val="7"/>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Usabilidad y accesibilidad</w:t>
      </w:r>
    </w:p>
    <w:p w14:paraId="1043BB19" w14:textId="77777777" w:rsidR="0066403F" w:rsidRPr="001C22B9" w:rsidRDefault="0066403F" w:rsidP="0066403F">
      <w:pPr>
        <w:numPr>
          <w:ilvl w:val="1"/>
          <w:numId w:val="7"/>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Eficiencia operativa y tiempos de respuesta</w:t>
      </w:r>
    </w:p>
    <w:p w14:paraId="116D65FB" w14:textId="77777777" w:rsidR="0066403F" w:rsidRPr="001C22B9" w:rsidRDefault="0066403F" w:rsidP="0066403F">
      <w:pPr>
        <w:numPr>
          <w:ilvl w:val="1"/>
          <w:numId w:val="7"/>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Seguridad y confianza</w:t>
      </w:r>
    </w:p>
    <w:p w14:paraId="2CEE14FE" w14:textId="77777777" w:rsidR="0066403F" w:rsidRPr="001C22B9" w:rsidRDefault="0066403F" w:rsidP="0066403F">
      <w:pPr>
        <w:numPr>
          <w:ilvl w:val="1"/>
          <w:numId w:val="7"/>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Retroalimentación y sugerencias de l</w:t>
      </w:r>
      <w:r>
        <w:rPr>
          <w:rFonts w:ascii="ITC Avant Garde" w:eastAsia="Calibri" w:hAnsi="ITC Avant Garde" w:cs="Times New Roman"/>
          <w:b w:val="0"/>
          <w:color w:val="auto"/>
          <w:kern w:val="2"/>
          <w:sz w:val="20"/>
          <w:szCs w:val="20"/>
          <w:lang w:val="es-MX"/>
          <w14:ligatures w14:val="standardContextual"/>
        </w:rPr>
        <w:t>a</w:t>
      </w:r>
      <w:r w:rsidRPr="001C22B9">
        <w:rPr>
          <w:rFonts w:ascii="ITC Avant Garde" w:eastAsia="Calibri" w:hAnsi="ITC Avant Garde" w:cs="Times New Roman"/>
          <w:b w:val="0"/>
          <w:color w:val="auto"/>
          <w:kern w:val="2"/>
          <w:sz w:val="20"/>
          <w:szCs w:val="20"/>
          <w:lang w:val="es-MX"/>
          <w14:ligatures w14:val="standardContextual"/>
        </w:rPr>
        <w:t xml:space="preserve">s </w:t>
      </w:r>
      <w:r>
        <w:rPr>
          <w:rFonts w:ascii="ITC Avant Garde" w:eastAsia="Calibri" w:hAnsi="ITC Avant Garde" w:cs="Times New Roman"/>
          <w:b w:val="0"/>
          <w:color w:val="auto"/>
          <w:kern w:val="2"/>
          <w:sz w:val="20"/>
          <w:szCs w:val="20"/>
          <w:lang w:val="es-MX"/>
          <w14:ligatures w14:val="standardContextual"/>
        </w:rPr>
        <w:t>personas usuarias</w:t>
      </w:r>
    </w:p>
    <w:p w14:paraId="44A820B3"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lastRenderedPageBreak/>
        <w:t>Esta agrupación permite una evaluación sistemática de cada aspecto y facilita la comparación entre la percepción general de la Estrategia de Gobierno Electrónico y la satisfacción específica con la Ventanilla Electrónica.</w:t>
      </w:r>
    </w:p>
    <w:p w14:paraId="00FB575C" w14:textId="77777777" w:rsidR="0066403F" w:rsidRPr="001C22B9" w:rsidRDefault="0066403F" w:rsidP="0066403F">
      <w:pPr>
        <w:numPr>
          <w:ilvl w:val="0"/>
          <w:numId w:val="7"/>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bookmarkStart w:id="26" w:name="_Toc183000920"/>
      <w:r w:rsidRPr="001D7622">
        <w:rPr>
          <w:rFonts w:ascii="ITC Avant Garde" w:eastAsia="Times New Roman" w:hAnsi="ITC Avant Garde" w:cs="Times New Roman"/>
          <w:color w:val="auto"/>
          <w:kern w:val="2"/>
          <w:sz w:val="20"/>
          <w:szCs w:val="20"/>
          <w:lang w:val="es-MX"/>
          <w14:ligatures w14:val="standardContextual"/>
        </w:rPr>
        <w:t>Análisis Estadístico y Comparativo</w:t>
      </w:r>
      <w:bookmarkEnd w:id="26"/>
      <w:r w:rsidRPr="001D7622">
        <w:rPr>
          <w:rFonts w:ascii="ITC Avant Garde" w:eastAsia="Calibri" w:hAnsi="ITC Avant Garde" w:cs="Times New Roman"/>
          <w:b w:val="0"/>
          <w:color w:val="auto"/>
          <w:kern w:val="2"/>
          <w:sz w:val="20"/>
          <w:szCs w:val="20"/>
          <w:lang w:val="es-MX"/>
          <w14:ligatures w14:val="standardContextual"/>
        </w:rPr>
        <w:t>:</w:t>
      </w:r>
      <w:r w:rsidRPr="001C22B9">
        <w:rPr>
          <w:rFonts w:ascii="ITC Avant Garde" w:eastAsia="Calibri" w:hAnsi="ITC Avant Garde" w:cs="Times New Roman"/>
          <w:b w:val="0"/>
          <w:color w:val="auto"/>
          <w:kern w:val="2"/>
          <w:sz w:val="20"/>
          <w:szCs w:val="20"/>
          <w:lang w:val="es-MX"/>
          <w14:ligatures w14:val="standardContextual"/>
        </w:rPr>
        <w:t xml:space="preserve"> Se aplicaron análisis estadísticos descriptivos, tales como frecuencias y promedios, para identificar patrones y tendencias en las respuestas de l</w:t>
      </w:r>
      <w:r>
        <w:rPr>
          <w:rFonts w:ascii="ITC Avant Garde" w:eastAsia="Calibri" w:hAnsi="ITC Avant Garde" w:cs="Times New Roman"/>
          <w:b w:val="0"/>
          <w:color w:val="auto"/>
          <w:kern w:val="2"/>
          <w:sz w:val="20"/>
          <w:szCs w:val="20"/>
          <w:lang w:val="es-MX"/>
          <w14:ligatures w14:val="standardContextual"/>
        </w:rPr>
        <w:t>a</w:t>
      </w:r>
      <w:r w:rsidRPr="001C22B9">
        <w:rPr>
          <w:rFonts w:ascii="ITC Avant Garde" w:eastAsia="Calibri" w:hAnsi="ITC Avant Garde" w:cs="Times New Roman"/>
          <w:b w:val="0"/>
          <w:color w:val="auto"/>
          <w:kern w:val="2"/>
          <w:sz w:val="20"/>
          <w:szCs w:val="20"/>
          <w:lang w:val="es-MX"/>
          <w14:ligatures w14:val="standardContextual"/>
        </w:rPr>
        <w:t xml:space="preserve">s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Posteriormente, se llevaron a cabo análisis comparativos entre las respuestas obtenidas en la consulta pública y en la</w:t>
      </w:r>
      <w:r>
        <w:rPr>
          <w:rFonts w:ascii="ITC Avant Garde" w:eastAsia="Calibri" w:hAnsi="ITC Avant Garde" w:cs="Times New Roman"/>
          <w:b w:val="0"/>
          <w:color w:val="auto"/>
          <w:kern w:val="2"/>
          <w:sz w:val="20"/>
          <w:szCs w:val="20"/>
          <w:lang w:val="es-MX"/>
          <w14:ligatures w14:val="standardContextual"/>
        </w:rPr>
        <w:t>s</w:t>
      </w:r>
      <w:r w:rsidRPr="001C22B9">
        <w:rPr>
          <w:rFonts w:ascii="ITC Avant Garde" w:eastAsia="Calibri" w:hAnsi="ITC Avant Garde" w:cs="Times New Roman"/>
          <w:b w:val="0"/>
          <w:color w:val="auto"/>
          <w:kern w:val="2"/>
          <w:sz w:val="20"/>
          <w:szCs w:val="20"/>
          <w:lang w:val="es-MX"/>
          <w14:ligatures w14:val="standardContextual"/>
        </w:rPr>
        <w:t xml:space="preserve"> encuesta</w:t>
      </w:r>
      <w:r>
        <w:rPr>
          <w:rFonts w:ascii="ITC Avant Garde" w:eastAsia="Calibri" w:hAnsi="ITC Avant Garde" w:cs="Times New Roman"/>
          <w:b w:val="0"/>
          <w:color w:val="auto"/>
          <w:kern w:val="2"/>
          <w:sz w:val="20"/>
          <w:szCs w:val="20"/>
          <w:lang w:val="es-MX"/>
          <w14:ligatures w14:val="standardContextual"/>
        </w:rPr>
        <w:t>s</w:t>
      </w:r>
      <w:r w:rsidRPr="001C22B9">
        <w:rPr>
          <w:rFonts w:ascii="ITC Avant Garde" w:eastAsia="Calibri" w:hAnsi="ITC Avant Garde" w:cs="Times New Roman"/>
          <w:b w:val="0"/>
          <w:color w:val="auto"/>
          <w:kern w:val="2"/>
          <w:sz w:val="20"/>
          <w:szCs w:val="20"/>
          <w:lang w:val="es-MX"/>
          <w14:ligatures w14:val="standardContextual"/>
        </w:rPr>
        <w:t xml:space="preserve"> de la Ventanilla Electrónica, con el objetivo de detectar diferencias en la percepción de los ciudadanos sobre la estrategia general y la satisfacción específica con la plataforma digital.</w:t>
      </w:r>
    </w:p>
    <w:p w14:paraId="45532037" w14:textId="77777777" w:rsidR="0066403F" w:rsidRPr="00EE1BE3" w:rsidRDefault="0066403F" w:rsidP="0066403F">
      <w:pPr>
        <w:rPr>
          <w:rFonts w:ascii="ITC Avant Garde" w:eastAsia="Calibri" w:hAnsi="ITC Avant Garde" w:cs="Times New Roman"/>
          <w:color w:val="auto"/>
          <w:kern w:val="2"/>
          <w:sz w:val="22"/>
          <w:lang w:val="es-MX"/>
          <w14:ligatures w14:val="standardContextual"/>
        </w:rPr>
      </w:pPr>
      <w:bookmarkStart w:id="27" w:name="_Toc183000921"/>
      <w:r w:rsidRPr="00EE1BE3">
        <w:rPr>
          <w:rFonts w:ascii="ITC Avant Garde" w:eastAsia="Calibri" w:hAnsi="ITC Avant Garde" w:cs="Times New Roman"/>
          <w:color w:val="auto"/>
          <w:kern w:val="2"/>
          <w:sz w:val="22"/>
          <w:lang w:val="es-MX"/>
          <w14:ligatures w14:val="standardContextual"/>
        </w:rPr>
        <w:t>Clasificación de las Respuestas y Criterios de Agrupación</w:t>
      </w:r>
      <w:bookmarkEnd w:id="27"/>
    </w:p>
    <w:p w14:paraId="2107B5E0" w14:textId="77777777" w:rsidR="0066403F" w:rsidRPr="00795936" w:rsidRDefault="0066403F" w:rsidP="0066403F">
      <w:pPr>
        <w:rPr>
          <w:rFonts w:ascii="ITC Avant Garde" w:eastAsia="Calibri" w:hAnsi="ITC Avant Garde" w:cs="Times New Roman"/>
          <w:color w:val="auto"/>
          <w:kern w:val="2"/>
          <w:sz w:val="20"/>
          <w:szCs w:val="20"/>
          <w:lang w:val="es-MX"/>
          <w14:ligatures w14:val="standardContextual"/>
        </w:rPr>
      </w:pPr>
    </w:p>
    <w:p w14:paraId="3FD913CA"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Para el análisis, las respuestas se clasificaron en categorías que facilitan la interpretación de la satisfacción y percepción del usuario. La clasificación adoptada para el análisis fue la siguiente:</w:t>
      </w:r>
    </w:p>
    <w:p w14:paraId="05D8F5D1" w14:textId="77777777" w:rsidR="0066403F" w:rsidRPr="001C22B9" w:rsidRDefault="0066403F" w:rsidP="0066403F">
      <w:pPr>
        <w:numPr>
          <w:ilvl w:val="0"/>
          <w:numId w:val="8"/>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Nivel de Satisfacción</w:t>
      </w:r>
      <w:r w:rsidRPr="001C22B9">
        <w:rPr>
          <w:rFonts w:ascii="ITC Avant Garde" w:eastAsia="Calibri" w:hAnsi="ITC Avant Garde" w:cs="Times New Roman"/>
          <w:b w:val="0"/>
          <w:color w:val="auto"/>
          <w:kern w:val="2"/>
          <w:sz w:val="20"/>
          <w:szCs w:val="20"/>
          <w:lang w:val="es-MX"/>
          <w14:ligatures w14:val="standardContextual"/>
        </w:rPr>
        <w:t xml:space="preserve">: Se clasificaron las respuestas en niveles de satisfacción (excelente, bueno, regular, malo, pésimo) para visualizar las preferencias de </w:t>
      </w:r>
      <w:r>
        <w:rPr>
          <w:rFonts w:ascii="ITC Avant Garde" w:eastAsia="Calibri" w:hAnsi="ITC Avant Garde" w:cs="Times New Roman"/>
          <w:b w:val="0"/>
          <w:color w:val="auto"/>
          <w:kern w:val="2"/>
          <w:sz w:val="20"/>
          <w:szCs w:val="20"/>
          <w:lang w:val="es-MX"/>
          <w14:ligatures w14:val="standardContextual"/>
        </w:rPr>
        <w:t xml:space="preserve">las personas usuarias </w:t>
      </w:r>
      <w:r w:rsidRPr="001C22B9">
        <w:rPr>
          <w:rFonts w:ascii="ITC Avant Garde" w:eastAsia="Calibri" w:hAnsi="ITC Avant Garde" w:cs="Times New Roman"/>
          <w:b w:val="0"/>
          <w:color w:val="auto"/>
          <w:kern w:val="2"/>
          <w:sz w:val="20"/>
          <w:szCs w:val="20"/>
          <w:lang w:val="es-MX"/>
          <w14:ligatures w14:val="standardContextual"/>
        </w:rPr>
        <w:t>y sus experiencias generales con la plataforma y la estrategia.</w:t>
      </w:r>
    </w:p>
    <w:p w14:paraId="6F5B06B3" w14:textId="77777777" w:rsidR="0066403F" w:rsidRPr="001C22B9" w:rsidRDefault="0066403F" w:rsidP="0066403F">
      <w:pPr>
        <w:numPr>
          <w:ilvl w:val="0"/>
          <w:numId w:val="8"/>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Facilidad de Uso</w:t>
      </w:r>
      <w:r w:rsidRPr="001C22B9">
        <w:rPr>
          <w:rFonts w:ascii="ITC Avant Garde" w:eastAsia="Calibri" w:hAnsi="ITC Avant Garde" w:cs="Times New Roman"/>
          <w:b w:val="0"/>
          <w:color w:val="auto"/>
          <w:kern w:val="2"/>
          <w:sz w:val="20"/>
          <w:szCs w:val="20"/>
          <w:lang w:val="es-MX"/>
          <w14:ligatures w14:val="standardContextual"/>
        </w:rPr>
        <w:t>: Esta categoría se basa en respuestas relacionadas con la facilidad o dificultad de interactuar con la Ventanilla Electrónica. Las respuestas fueron agrupadas en “muy fácil”, “fácil”, “neutro”, “difícil” y “muy difícil”, lo que permite identificar áreas donde la plataforma podría mejorar su interfaz o procesos.</w:t>
      </w:r>
    </w:p>
    <w:p w14:paraId="121CEE93" w14:textId="77777777" w:rsidR="0066403F" w:rsidRPr="001C22B9" w:rsidRDefault="0066403F" w:rsidP="0066403F">
      <w:pPr>
        <w:numPr>
          <w:ilvl w:val="0"/>
          <w:numId w:val="8"/>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Tiempos de Respuesta</w:t>
      </w:r>
      <w:r w:rsidRPr="001C22B9">
        <w:rPr>
          <w:rFonts w:ascii="ITC Avant Garde" w:eastAsia="Calibri" w:hAnsi="ITC Avant Garde" w:cs="Times New Roman"/>
          <w:b w:val="0"/>
          <w:color w:val="auto"/>
          <w:kern w:val="2"/>
          <w:sz w:val="20"/>
          <w:szCs w:val="20"/>
          <w:lang w:val="es-MX"/>
          <w14:ligatures w14:val="standardContextual"/>
        </w:rPr>
        <w:t xml:space="preserve">: Se analizaron las respuestas que indican el tiempo que tardaron </w:t>
      </w:r>
      <w:r>
        <w:rPr>
          <w:rFonts w:ascii="ITC Avant Garde" w:eastAsia="Calibri" w:hAnsi="ITC Avant Garde" w:cs="Times New Roman"/>
          <w:b w:val="0"/>
          <w:color w:val="auto"/>
          <w:kern w:val="2"/>
          <w:sz w:val="20"/>
          <w:szCs w:val="20"/>
          <w:lang w:val="es-MX"/>
          <w14:ligatures w14:val="standardContextual"/>
        </w:rPr>
        <w:t xml:space="preserve">las personas usuarias </w:t>
      </w:r>
      <w:r w:rsidRPr="001C22B9">
        <w:rPr>
          <w:rFonts w:ascii="ITC Avant Garde" w:eastAsia="Calibri" w:hAnsi="ITC Avant Garde" w:cs="Times New Roman"/>
          <w:b w:val="0"/>
          <w:color w:val="auto"/>
          <w:kern w:val="2"/>
          <w:sz w:val="20"/>
          <w:szCs w:val="20"/>
          <w:lang w:val="es-MX"/>
          <w14:ligatures w14:val="standardContextual"/>
        </w:rPr>
        <w:t>en realizar trámites. Esta categoría incluye opciones como “menos de 5 minutos”, “5 a 10 minutos”, “10 a 20 minutos” y “más de 20 minutos”. Esta clasificación permite evaluar la eficiencia operativa del sistema y su capacidad para resolver trámites en tiempo y forma.</w:t>
      </w:r>
    </w:p>
    <w:p w14:paraId="7AF94674" w14:textId="77777777" w:rsidR="0066403F" w:rsidRPr="001C22B9" w:rsidRDefault="0066403F" w:rsidP="0066403F">
      <w:pPr>
        <w:numPr>
          <w:ilvl w:val="0"/>
          <w:numId w:val="8"/>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Percepción de Seguridad y Privacidad</w:t>
      </w:r>
      <w:r w:rsidRPr="001C22B9">
        <w:rPr>
          <w:rFonts w:ascii="ITC Avant Garde" w:eastAsia="Calibri" w:hAnsi="ITC Avant Garde" w:cs="Times New Roman"/>
          <w:b w:val="0"/>
          <w:color w:val="auto"/>
          <w:kern w:val="2"/>
          <w:sz w:val="20"/>
          <w:szCs w:val="20"/>
          <w:lang w:val="es-MX"/>
          <w14:ligatures w14:val="standardContextual"/>
        </w:rPr>
        <w:t xml:space="preserve">: Esta categoría agrupa las respuestas que reflejan la confianza de </w:t>
      </w:r>
      <w:r>
        <w:rPr>
          <w:rFonts w:ascii="ITC Avant Garde" w:eastAsia="Calibri" w:hAnsi="ITC Avant Garde" w:cs="Times New Roman"/>
          <w:b w:val="0"/>
          <w:color w:val="auto"/>
          <w:kern w:val="2"/>
          <w:sz w:val="20"/>
          <w:szCs w:val="20"/>
          <w:lang w:val="es-MX"/>
          <w14:ligatures w14:val="standardContextual"/>
        </w:rPr>
        <w:t xml:space="preserve">las personas usuarias </w:t>
      </w:r>
      <w:r w:rsidRPr="001C22B9">
        <w:rPr>
          <w:rFonts w:ascii="ITC Avant Garde" w:eastAsia="Calibri" w:hAnsi="ITC Avant Garde" w:cs="Times New Roman"/>
          <w:b w:val="0"/>
          <w:color w:val="auto"/>
          <w:kern w:val="2"/>
          <w:sz w:val="20"/>
          <w:szCs w:val="20"/>
          <w:lang w:val="es-MX"/>
          <w14:ligatures w14:val="standardContextual"/>
        </w:rPr>
        <w:t>en la seguridad de sus datos personales en la Ventanilla Electrónica. Las respuestas se clasificaron en niveles de seguridad percibida (muy seguro, seguro, neutral, inseguro, muy inseguro) y se analizaron para detectar áreas de mejora</w:t>
      </w:r>
      <w:r>
        <w:rPr>
          <w:rFonts w:ascii="ITC Avant Garde" w:eastAsia="Calibri" w:hAnsi="ITC Avant Garde" w:cs="Times New Roman"/>
          <w:b w:val="0"/>
          <w:color w:val="auto"/>
          <w:kern w:val="2"/>
          <w:sz w:val="20"/>
          <w:szCs w:val="20"/>
          <w:lang w:val="es-MX"/>
          <w14:ligatures w14:val="standardContextual"/>
        </w:rPr>
        <w:t>.</w:t>
      </w:r>
    </w:p>
    <w:p w14:paraId="4810D42A" w14:textId="77777777" w:rsidR="0066403F" w:rsidRPr="001C22B9" w:rsidRDefault="0066403F" w:rsidP="0066403F">
      <w:pPr>
        <w:numPr>
          <w:ilvl w:val="0"/>
          <w:numId w:val="8"/>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Sugerencias y Comentarios Adicionales</w:t>
      </w:r>
      <w:r w:rsidRPr="001C22B9">
        <w:rPr>
          <w:rFonts w:ascii="ITC Avant Garde" w:eastAsia="Calibri" w:hAnsi="ITC Avant Garde" w:cs="Times New Roman"/>
          <w:b w:val="0"/>
          <w:color w:val="auto"/>
          <w:kern w:val="2"/>
          <w:sz w:val="20"/>
          <w:szCs w:val="20"/>
          <w:lang w:val="es-MX"/>
          <w14:ligatures w14:val="standardContextual"/>
        </w:rPr>
        <w:t xml:space="preserve">: Las respuestas abiertas de </w:t>
      </w:r>
      <w:r>
        <w:rPr>
          <w:rFonts w:ascii="ITC Avant Garde" w:eastAsia="Calibri" w:hAnsi="ITC Avant Garde" w:cs="Times New Roman"/>
          <w:b w:val="0"/>
          <w:color w:val="auto"/>
          <w:kern w:val="2"/>
          <w:sz w:val="20"/>
          <w:szCs w:val="20"/>
          <w:lang w:val="es-MX"/>
          <w14:ligatures w14:val="standardContextual"/>
        </w:rPr>
        <w:t xml:space="preserve">las personas usuarias </w:t>
      </w:r>
      <w:r w:rsidRPr="001C22B9">
        <w:rPr>
          <w:rFonts w:ascii="ITC Avant Garde" w:eastAsia="Calibri" w:hAnsi="ITC Avant Garde" w:cs="Times New Roman"/>
          <w:b w:val="0"/>
          <w:color w:val="auto"/>
          <w:kern w:val="2"/>
          <w:sz w:val="20"/>
          <w:szCs w:val="20"/>
          <w:lang w:val="es-MX"/>
          <w14:ligatures w14:val="standardContextual"/>
        </w:rPr>
        <w:t>se categorizaron en temas relevantes, tales como mejoras sugerida</w:t>
      </w:r>
      <w:r w:rsidRPr="00AF5A60">
        <w:rPr>
          <w:rFonts w:ascii="ITC Avant Garde" w:eastAsia="Calibri" w:hAnsi="ITC Avant Garde" w:cs="Times New Roman"/>
          <w:b w:val="0"/>
          <w:color w:val="auto"/>
          <w:kern w:val="2"/>
          <w:sz w:val="20"/>
          <w:szCs w:val="20"/>
          <w:lang w:val="es-MX"/>
          <w14:ligatures w14:val="standardContextual"/>
        </w:rPr>
        <w:t>s en tiempos de respuesta, funcionalidad y accesibilidad de la plataforma</w:t>
      </w:r>
      <w:r w:rsidRPr="001C22B9">
        <w:rPr>
          <w:rFonts w:ascii="ITC Avant Garde" w:eastAsia="Calibri" w:hAnsi="ITC Avant Garde" w:cs="Times New Roman"/>
          <w:b w:val="0"/>
          <w:color w:val="auto"/>
          <w:kern w:val="2"/>
          <w:sz w:val="20"/>
          <w:szCs w:val="20"/>
          <w:lang w:val="es-MX"/>
          <w14:ligatures w14:val="standardContextual"/>
        </w:rPr>
        <w:t xml:space="preserve">. Este análisis cualitativo brinda información valiosa sobre las expectativas de </w:t>
      </w:r>
      <w:r>
        <w:rPr>
          <w:rFonts w:ascii="ITC Avant Garde" w:eastAsia="Calibri" w:hAnsi="ITC Avant Garde" w:cs="Times New Roman"/>
          <w:b w:val="0"/>
          <w:color w:val="auto"/>
          <w:kern w:val="2"/>
          <w:sz w:val="20"/>
          <w:szCs w:val="20"/>
          <w:lang w:val="es-MX"/>
          <w14:ligatures w14:val="standardContextual"/>
        </w:rPr>
        <w:t xml:space="preserve">las personas usuarias </w:t>
      </w:r>
      <w:r w:rsidRPr="001C22B9">
        <w:rPr>
          <w:rFonts w:ascii="ITC Avant Garde" w:eastAsia="Calibri" w:hAnsi="ITC Avant Garde" w:cs="Times New Roman"/>
          <w:b w:val="0"/>
          <w:color w:val="auto"/>
          <w:kern w:val="2"/>
          <w:sz w:val="20"/>
          <w:szCs w:val="20"/>
          <w:lang w:val="es-MX"/>
          <w14:ligatures w14:val="standardContextual"/>
        </w:rPr>
        <w:t>y permite identificar áreas específicas para futuras mejoras.</w:t>
      </w:r>
    </w:p>
    <w:p w14:paraId="48A82B32" w14:textId="77777777" w:rsidR="0066403F" w:rsidRPr="00EE1BE3" w:rsidRDefault="0066403F" w:rsidP="0066403F">
      <w:pPr>
        <w:rPr>
          <w:rFonts w:ascii="ITC Avant Garde" w:eastAsia="Calibri" w:hAnsi="ITC Avant Garde" w:cs="Times New Roman"/>
          <w:color w:val="auto"/>
          <w:kern w:val="2"/>
          <w:sz w:val="22"/>
          <w:lang w:val="es-MX"/>
          <w14:ligatures w14:val="standardContextual"/>
        </w:rPr>
      </w:pPr>
      <w:bookmarkStart w:id="28" w:name="_Toc183000922"/>
      <w:r w:rsidRPr="00EE1BE3">
        <w:rPr>
          <w:rFonts w:ascii="ITC Avant Garde" w:eastAsia="Calibri" w:hAnsi="ITC Avant Garde" w:cs="Times New Roman"/>
          <w:color w:val="auto"/>
          <w:kern w:val="2"/>
          <w:sz w:val="22"/>
          <w:lang w:val="es-MX"/>
          <w14:ligatures w14:val="standardContextual"/>
        </w:rPr>
        <w:t>Herramientas de Análisis y Visualización</w:t>
      </w:r>
      <w:bookmarkEnd w:id="28"/>
    </w:p>
    <w:p w14:paraId="768DF221" w14:textId="77777777" w:rsidR="0066403F" w:rsidRPr="00795936" w:rsidRDefault="0066403F" w:rsidP="0066403F">
      <w:pPr>
        <w:rPr>
          <w:rFonts w:ascii="ITC Avant Garde" w:eastAsia="Calibri" w:hAnsi="ITC Avant Garde" w:cs="Times New Roman"/>
          <w:color w:val="auto"/>
          <w:kern w:val="2"/>
          <w:sz w:val="20"/>
          <w:szCs w:val="20"/>
          <w:lang w:val="es-MX"/>
          <w14:ligatures w14:val="standardContextual"/>
        </w:rPr>
      </w:pPr>
    </w:p>
    <w:p w14:paraId="3E8EDB71"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Para el procesamiento y análisis de los datos se emplearon diversas herramientas estadísticas y de visualización:</w:t>
      </w:r>
    </w:p>
    <w:p w14:paraId="098556D8" w14:textId="77777777" w:rsidR="0066403F" w:rsidRPr="001C22B9" w:rsidRDefault="0066403F" w:rsidP="0066403F">
      <w:pPr>
        <w:numPr>
          <w:ilvl w:val="0"/>
          <w:numId w:val="9"/>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Análisis Estadístico</w:t>
      </w:r>
      <w:r w:rsidRPr="001C22B9">
        <w:rPr>
          <w:rFonts w:ascii="ITC Avant Garde" w:eastAsia="Calibri" w:hAnsi="ITC Avant Garde" w:cs="Times New Roman"/>
          <w:b w:val="0"/>
          <w:color w:val="auto"/>
          <w:kern w:val="2"/>
          <w:sz w:val="20"/>
          <w:szCs w:val="20"/>
          <w:lang w:val="es-MX"/>
          <w14:ligatures w14:val="standardContextual"/>
        </w:rPr>
        <w:t xml:space="preserve">: Se </w:t>
      </w:r>
      <w:r>
        <w:rPr>
          <w:rFonts w:ascii="ITC Avant Garde" w:eastAsia="Calibri" w:hAnsi="ITC Avant Garde" w:cs="Times New Roman"/>
          <w:b w:val="0"/>
          <w:color w:val="auto"/>
          <w:kern w:val="2"/>
          <w:sz w:val="20"/>
          <w:szCs w:val="20"/>
          <w:lang w:val="es-MX"/>
          <w14:ligatures w14:val="standardContextual"/>
        </w:rPr>
        <w:t xml:space="preserve">utilizaron diversas bases de datos en Excel para el cálculo y elaboración de estadísticas, que </w:t>
      </w:r>
      <w:r w:rsidRPr="001C22B9">
        <w:rPr>
          <w:rFonts w:ascii="ITC Avant Garde" w:eastAsia="Calibri" w:hAnsi="ITC Avant Garde" w:cs="Times New Roman"/>
          <w:b w:val="0"/>
          <w:color w:val="auto"/>
          <w:kern w:val="2"/>
          <w:sz w:val="20"/>
          <w:szCs w:val="20"/>
          <w:lang w:val="es-MX"/>
          <w14:ligatures w14:val="standardContextual"/>
        </w:rPr>
        <w:t>proporciona</w:t>
      </w:r>
      <w:r>
        <w:rPr>
          <w:rFonts w:ascii="ITC Avant Garde" w:eastAsia="Calibri" w:hAnsi="ITC Avant Garde" w:cs="Times New Roman"/>
          <w:b w:val="0"/>
          <w:color w:val="auto"/>
          <w:kern w:val="2"/>
          <w:sz w:val="20"/>
          <w:szCs w:val="20"/>
          <w:lang w:val="es-MX"/>
          <w14:ligatures w14:val="standardContextual"/>
        </w:rPr>
        <w:t>n</w:t>
      </w:r>
      <w:r w:rsidRPr="001C22B9">
        <w:rPr>
          <w:rFonts w:ascii="ITC Avant Garde" w:eastAsia="Calibri" w:hAnsi="ITC Avant Garde" w:cs="Times New Roman"/>
          <w:b w:val="0"/>
          <w:color w:val="auto"/>
          <w:kern w:val="2"/>
          <w:sz w:val="20"/>
          <w:szCs w:val="20"/>
          <w:lang w:val="es-MX"/>
          <w14:ligatures w14:val="standardContextual"/>
        </w:rPr>
        <w:t xml:space="preserve"> una visión general de los niveles de </w:t>
      </w:r>
      <w:r w:rsidRPr="001C22B9">
        <w:rPr>
          <w:rFonts w:ascii="ITC Avant Garde" w:eastAsia="Calibri" w:hAnsi="ITC Avant Garde" w:cs="Times New Roman"/>
          <w:b w:val="0"/>
          <w:color w:val="auto"/>
          <w:kern w:val="2"/>
          <w:sz w:val="20"/>
          <w:szCs w:val="20"/>
          <w:lang w:val="es-MX"/>
          <w14:ligatures w14:val="standardContextual"/>
        </w:rPr>
        <w:lastRenderedPageBreak/>
        <w:t xml:space="preserve">satisfacción y la percepción de seguridad y eficiencia </w:t>
      </w:r>
      <w:r>
        <w:rPr>
          <w:rFonts w:ascii="ITC Avant Garde" w:eastAsia="Calibri" w:hAnsi="ITC Avant Garde" w:cs="Times New Roman"/>
          <w:b w:val="0"/>
          <w:color w:val="auto"/>
          <w:kern w:val="2"/>
          <w:sz w:val="20"/>
          <w:szCs w:val="20"/>
          <w:lang w:val="es-MX"/>
          <w14:ligatures w14:val="standardContextual"/>
        </w:rPr>
        <w:t xml:space="preserve">de la Ventanilla Electrónica en </w:t>
      </w:r>
      <w:r w:rsidRPr="001C22B9">
        <w:rPr>
          <w:rFonts w:ascii="ITC Avant Garde" w:eastAsia="Calibri" w:hAnsi="ITC Avant Garde" w:cs="Times New Roman"/>
          <w:b w:val="0"/>
          <w:color w:val="auto"/>
          <w:kern w:val="2"/>
          <w:sz w:val="20"/>
          <w:szCs w:val="20"/>
          <w:lang w:val="es-MX"/>
          <w14:ligatures w14:val="standardContextual"/>
        </w:rPr>
        <w:t>el IFT.</w:t>
      </w:r>
    </w:p>
    <w:p w14:paraId="5B61594F" w14:textId="77777777" w:rsidR="0066403F" w:rsidRPr="001C22B9" w:rsidRDefault="0066403F" w:rsidP="0066403F">
      <w:pPr>
        <w:numPr>
          <w:ilvl w:val="0"/>
          <w:numId w:val="9"/>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Visualización de Datos</w:t>
      </w:r>
      <w:r w:rsidRPr="001C22B9">
        <w:rPr>
          <w:rFonts w:ascii="ITC Avant Garde" w:eastAsia="Calibri" w:hAnsi="ITC Avant Garde" w:cs="Times New Roman"/>
          <w:b w:val="0"/>
          <w:color w:val="auto"/>
          <w:kern w:val="2"/>
          <w:sz w:val="20"/>
          <w:szCs w:val="20"/>
          <w:lang w:val="es-MX"/>
          <w14:ligatures w14:val="standardContextual"/>
        </w:rPr>
        <w:t xml:space="preserve">: Las gráficas de barras, líneas y columnas fueron las principales herramientas visuales empleadas. Estas representaciones permiten observar la evolución en el tiempo de la percepción de </w:t>
      </w:r>
      <w:r>
        <w:rPr>
          <w:rFonts w:ascii="ITC Avant Garde" w:eastAsia="Calibri" w:hAnsi="ITC Avant Garde" w:cs="Times New Roman"/>
          <w:b w:val="0"/>
          <w:color w:val="auto"/>
          <w:kern w:val="2"/>
          <w:sz w:val="20"/>
          <w:szCs w:val="20"/>
          <w:lang w:val="es-MX"/>
          <w14:ligatures w14:val="standardContextual"/>
        </w:rPr>
        <w:t xml:space="preserve">las personas usuarias </w:t>
      </w:r>
      <w:r w:rsidRPr="001C22B9">
        <w:rPr>
          <w:rFonts w:ascii="ITC Avant Garde" w:eastAsia="Calibri" w:hAnsi="ITC Avant Garde" w:cs="Times New Roman"/>
          <w:b w:val="0"/>
          <w:color w:val="auto"/>
          <w:kern w:val="2"/>
          <w:sz w:val="20"/>
          <w:szCs w:val="20"/>
          <w:lang w:val="es-MX"/>
          <w14:ligatures w14:val="standardContextual"/>
        </w:rPr>
        <w:t>y realizar comparaciones entre los diferentes temas analizados.</w:t>
      </w:r>
    </w:p>
    <w:p w14:paraId="40AC186C" w14:textId="77777777" w:rsidR="0066403F" w:rsidRPr="001C22B9" w:rsidRDefault="0066403F" w:rsidP="0066403F">
      <w:pPr>
        <w:numPr>
          <w:ilvl w:val="0"/>
          <w:numId w:val="9"/>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Tablas Dinámicas y Gráficas Comparativas</w:t>
      </w:r>
      <w:r w:rsidRPr="001C22B9">
        <w:rPr>
          <w:rFonts w:ascii="ITC Avant Garde" w:eastAsia="Calibri" w:hAnsi="ITC Avant Garde" w:cs="Times New Roman"/>
          <w:b w:val="0"/>
          <w:color w:val="auto"/>
          <w:kern w:val="2"/>
          <w:sz w:val="20"/>
          <w:szCs w:val="20"/>
          <w:lang w:val="es-MX"/>
          <w14:ligatures w14:val="standardContextual"/>
        </w:rPr>
        <w:t xml:space="preserve">: Las tablas dinámicas fueron empleadas para estructurar y comparar los datos entre las distintas categorías, mientras que las gráficas comparativas muestran las tendencias entre los temas evaluados en la Ventanilla Electrónica y la Estrategia General de Gobierno Electrónico. Estos métodos permiten visualizar las diferencias en la satisfacción y percepción de </w:t>
      </w:r>
      <w:r>
        <w:rPr>
          <w:rFonts w:ascii="ITC Avant Garde" w:eastAsia="Calibri" w:hAnsi="ITC Avant Garde" w:cs="Times New Roman"/>
          <w:b w:val="0"/>
          <w:color w:val="auto"/>
          <w:kern w:val="2"/>
          <w:sz w:val="20"/>
          <w:szCs w:val="20"/>
          <w:lang w:val="es-MX"/>
          <w14:ligatures w14:val="standardContextual"/>
        </w:rPr>
        <w:t xml:space="preserve">las personas usuarias </w:t>
      </w:r>
      <w:r w:rsidRPr="001C22B9">
        <w:rPr>
          <w:rFonts w:ascii="ITC Avant Garde" w:eastAsia="Calibri" w:hAnsi="ITC Avant Garde" w:cs="Times New Roman"/>
          <w:b w:val="0"/>
          <w:color w:val="auto"/>
          <w:kern w:val="2"/>
          <w:sz w:val="20"/>
          <w:szCs w:val="20"/>
          <w:lang w:val="es-MX"/>
          <w14:ligatures w14:val="standardContextual"/>
        </w:rPr>
        <w:t>en cada área de análisis.</w:t>
      </w:r>
    </w:p>
    <w:p w14:paraId="2531B037" w14:textId="77777777" w:rsidR="0066403F" w:rsidRPr="00EE1BE3" w:rsidRDefault="0066403F" w:rsidP="0066403F">
      <w:pPr>
        <w:rPr>
          <w:rFonts w:ascii="ITC Avant Garde" w:eastAsia="Calibri" w:hAnsi="ITC Avant Garde" w:cs="Times New Roman"/>
          <w:color w:val="auto"/>
          <w:kern w:val="2"/>
          <w:sz w:val="22"/>
          <w:lang w:val="es-MX"/>
          <w14:ligatures w14:val="standardContextual"/>
        </w:rPr>
      </w:pPr>
      <w:bookmarkStart w:id="29" w:name="_Toc183000923"/>
      <w:r w:rsidRPr="00EE1BE3">
        <w:rPr>
          <w:rFonts w:ascii="ITC Avant Garde" w:eastAsia="Calibri" w:hAnsi="ITC Avant Garde" w:cs="Times New Roman"/>
          <w:color w:val="auto"/>
          <w:kern w:val="2"/>
          <w:sz w:val="22"/>
          <w:lang w:val="es-MX"/>
          <w14:ligatures w14:val="standardContextual"/>
        </w:rPr>
        <w:t>Limitaciones del Estudio</w:t>
      </w:r>
      <w:bookmarkEnd w:id="29"/>
    </w:p>
    <w:p w14:paraId="7E4204AB" w14:textId="77777777" w:rsidR="0066403F" w:rsidRPr="00795936" w:rsidRDefault="0066403F" w:rsidP="0066403F">
      <w:pPr>
        <w:rPr>
          <w:rFonts w:ascii="ITC Avant Garde" w:eastAsia="Calibri" w:hAnsi="ITC Avant Garde" w:cs="Times New Roman"/>
          <w:color w:val="auto"/>
          <w:kern w:val="2"/>
          <w:sz w:val="20"/>
          <w:szCs w:val="20"/>
          <w:lang w:val="es-MX"/>
          <w14:ligatures w14:val="standardContextual"/>
        </w:rPr>
      </w:pPr>
    </w:p>
    <w:p w14:paraId="45BA1A64"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Es importante considerar algunas limitaciones en este análisis:</w:t>
      </w:r>
    </w:p>
    <w:p w14:paraId="0F935B5A" w14:textId="77777777" w:rsidR="0066403F" w:rsidRPr="001C22B9" w:rsidRDefault="0066403F" w:rsidP="0066403F">
      <w:pPr>
        <w:numPr>
          <w:ilvl w:val="0"/>
          <w:numId w:val="10"/>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Representatividad de la Muestra</w:t>
      </w:r>
      <w:r w:rsidRPr="001C22B9">
        <w:rPr>
          <w:rFonts w:ascii="ITC Avant Garde" w:eastAsia="Calibri" w:hAnsi="ITC Avant Garde" w:cs="Times New Roman"/>
          <w:b w:val="0"/>
          <w:color w:val="auto"/>
          <w:kern w:val="2"/>
          <w:sz w:val="20"/>
          <w:szCs w:val="20"/>
          <w:lang w:val="es-MX"/>
          <w14:ligatures w14:val="standardContextual"/>
        </w:rPr>
        <w:t xml:space="preserve">: </w:t>
      </w:r>
      <w:r>
        <w:rPr>
          <w:rFonts w:ascii="ITC Avant Garde" w:eastAsia="Calibri" w:hAnsi="ITC Avant Garde" w:cs="Times New Roman"/>
          <w:b w:val="0"/>
          <w:color w:val="auto"/>
          <w:kern w:val="2"/>
          <w:sz w:val="20"/>
          <w:szCs w:val="20"/>
          <w:lang w:val="es-MX"/>
          <w14:ligatures w14:val="standardContextual"/>
        </w:rPr>
        <w:t>Aún y con la participación representativa de las personas</w:t>
      </w:r>
      <w:r w:rsidRPr="001C22B9">
        <w:rPr>
          <w:rFonts w:ascii="ITC Avant Garde" w:eastAsia="Calibri" w:hAnsi="ITC Avant Garde" w:cs="Times New Roman"/>
          <w:b w:val="0"/>
          <w:color w:val="auto"/>
          <w:kern w:val="2"/>
          <w:sz w:val="20"/>
          <w:szCs w:val="20"/>
          <w:lang w:val="es-MX"/>
          <w14:ligatures w14:val="standardContextual"/>
        </w:rPr>
        <w:t xml:space="preserve"> en la consulta pública y la encuesta de satisfacción, es posible que ciertos sectores de la población no estén representados. La interpretación de los resultados debe considerar esta posible falta de representatividad.</w:t>
      </w:r>
    </w:p>
    <w:p w14:paraId="23244A30" w14:textId="77777777" w:rsidR="0066403F" w:rsidRPr="001C22B9" w:rsidRDefault="0066403F" w:rsidP="0066403F">
      <w:pPr>
        <w:numPr>
          <w:ilvl w:val="0"/>
          <w:numId w:val="10"/>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Sesgo de Respuesta</w:t>
      </w:r>
      <w:r w:rsidRPr="001C22B9">
        <w:rPr>
          <w:rFonts w:ascii="ITC Avant Garde" w:eastAsia="Calibri" w:hAnsi="ITC Avant Garde" w:cs="Times New Roman"/>
          <w:b w:val="0"/>
          <w:color w:val="auto"/>
          <w:kern w:val="2"/>
          <w:sz w:val="20"/>
          <w:szCs w:val="20"/>
          <w:lang w:val="es-MX"/>
          <w14:ligatures w14:val="standardContextual"/>
        </w:rPr>
        <w:t>: La evaluación de percepciones puede estar influenciada por experiencias recientes o puntuales de l</w:t>
      </w:r>
      <w:r>
        <w:rPr>
          <w:rFonts w:ascii="ITC Avant Garde" w:eastAsia="Calibri" w:hAnsi="ITC Avant Garde" w:cs="Times New Roman"/>
          <w:b w:val="0"/>
          <w:color w:val="auto"/>
          <w:kern w:val="2"/>
          <w:sz w:val="20"/>
          <w:szCs w:val="20"/>
          <w:lang w:val="es-MX"/>
          <w14:ligatures w14:val="standardContextual"/>
        </w:rPr>
        <w:t>a</w:t>
      </w:r>
      <w:r w:rsidRPr="001C22B9">
        <w:rPr>
          <w:rFonts w:ascii="ITC Avant Garde" w:eastAsia="Calibri" w:hAnsi="ITC Avant Garde" w:cs="Times New Roman"/>
          <w:b w:val="0"/>
          <w:color w:val="auto"/>
          <w:kern w:val="2"/>
          <w:sz w:val="20"/>
          <w:szCs w:val="20"/>
          <w:lang w:val="es-MX"/>
          <w14:ligatures w14:val="standardContextual"/>
        </w:rPr>
        <w:t xml:space="preserve">s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lo que podría sesgar algunas respuestas. Aunque se realizaron ajustes para reducir el impacto de este sesgo, es importante considerarlo en el análisis final.</w:t>
      </w:r>
    </w:p>
    <w:p w14:paraId="423ED9A5" w14:textId="77777777" w:rsidR="0066403F" w:rsidRPr="00C55DAF" w:rsidRDefault="0066403F" w:rsidP="0066403F">
      <w:pPr>
        <w:numPr>
          <w:ilvl w:val="0"/>
          <w:numId w:val="10"/>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Limitaciones en el Acceso a Datos Históricos</w:t>
      </w:r>
      <w:r w:rsidRPr="001C22B9">
        <w:rPr>
          <w:rFonts w:ascii="ITC Avant Garde" w:eastAsia="Calibri" w:hAnsi="ITC Avant Garde" w:cs="Times New Roman"/>
          <w:b w:val="0"/>
          <w:color w:val="auto"/>
          <w:kern w:val="2"/>
          <w:sz w:val="20"/>
          <w:szCs w:val="20"/>
          <w:lang w:val="es-MX"/>
          <w14:ligatures w14:val="standardContextual"/>
        </w:rPr>
        <w:t xml:space="preserve">: Aunque el análisis incluye datos de varios trimestres, la disponibilidad de datos históricos fue limitada para algunas áreas específicas, lo que impide observar una tendencia completa en ciertos aspectos de la satisfacción y percepción de </w:t>
      </w:r>
      <w:r>
        <w:rPr>
          <w:rFonts w:ascii="ITC Avant Garde" w:eastAsia="Calibri" w:hAnsi="ITC Avant Garde" w:cs="Times New Roman"/>
          <w:b w:val="0"/>
          <w:color w:val="auto"/>
          <w:kern w:val="2"/>
          <w:sz w:val="20"/>
          <w:szCs w:val="20"/>
          <w:lang w:val="es-MX"/>
          <w14:ligatures w14:val="standardContextual"/>
        </w:rPr>
        <w:t xml:space="preserve">las personas </w:t>
      </w:r>
      <w:r w:rsidRPr="001C22B9">
        <w:rPr>
          <w:rFonts w:ascii="ITC Avant Garde" w:eastAsia="Calibri" w:hAnsi="ITC Avant Garde" w:cs="Times New Roman"/>
          <w:b w:val="0"/>
          <w:color w:val="auto"/>
          <w:kern w:val="2"/>
          <w:sz w:val="20"/>
          <w:szCs w:val="20"/>
          <w:lang w:val="es-MX"/>
          <w14:ligatures w14:val="standardContextual"/>
        </w:rPr>
        <w:t>usuari</w:t>
      </w:r>
      <w:r>
        <w:rPr>
          <w:rFonts w:ascii="ITC Avant Garde" w:eastAsia="Calibri" w:hAnsi="ITC Avant Garde" w:cs="Times New Roman"/>
          <w:b w:val="0"/>
          <w:color w:val="auto"/>
          <w:kern w:val="2"/>
          <w:sz w:val="20"/>
          <w:szCs w:val="20"/>
          <w:lang w:val="es-MX"/>
          <w14:ligatures w14:val="standardContextual"/>
        </w:rPr>
        <w:t>a</w:t>
      </w:r>
      <w:r w:rsidRPr="001C22B9">
        <w:rPr>
          <w:rFonts w:ascii="ITC Avant Garde" w:eastAsia="Calibri" w:hAnsi="ITC Avant Garde" w:cs="Times New Roman"/>
          <w:b w:val="0"/>
          <w:color w:val="auto"/>
          <w:kern w:val="2"/>
          <w:sz w:val="20"/>
          <w:szCs w:val="20"/>
          <w:lang w:val="es-MX"/>
          <w14:ligatures w14:val="standardContextual"/>
        </w:rPr>
        <w:t>s.</w:t>
      </w:r>
    </w:p>
    <w:p w14:paraId="0030705A"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La metodología empleada en este reporte permite una evaluación detallada de la Estrategia de Gobierno Electrónico del IF</w:t>
      </w:r>
      <w:r>
        <w:rPr>
          <w:rFonts w:ascii="ITC Avant Garde" w:eastAsia="Calibri" w:hAnsi="ITC Avant Garde" w:cs="Times New Roman"/>
          <w:b w:val="0"/>
          <w:color w:val="auto"/>
          <w:kern w:val="2"/>
          <w:sz w:val="20"/>
          <w:szCs w:val="20"/>
          <w:lang w:val="es-MX"/>
          <w14:ligatures w14:val="standardContextual"/>
        </w:rPr>
        <w:t>T, con respecto a</w:t>
      </w:r>
      <w:r w:rsidRPr="001C22B9">
        <w:rPr>
          <w:rFonts w:ascii="ITC Avant Garde" w:eastAsia="Calibri" w:hAnsi="ITC Avant Garde" w:cs="Times New Roman"/>
          <w:b w:val="0"/>
          <w:color w:val="auto"/>
          <w:kern w:val="2"/>
          <w:sz w:val="20"/>
          <w:szCs w:val="20"/>
          <w:lang w:val="es-MX"/>
          <w14:ligatures w14:val="standardContextual"/>
        </w:rPr>
        <w:t xml:space="preserve"> la Ventanilla Electrónica. La combinación de análisis cuantitativo y cualitativo facilita la interpretación de la percepción ciudadana y la satisfacción de l</w:t>
      </w:r>
      <w:r>
        <w:rPr>
          <w:rFonts w:ascii="ITC Avant Garde" w:eastAsia="Calibri" w:hAnsi="ITC Avant Garde" w:cs="Times New Roman"/>
          <w:b w:val="0"/>
          <w:color w:val="auto"/>
          <w:kern w:val="2"/>
          <w:sz w:val="20"/>
          <w:szCs w:val="20"/>
          <w:lang w:val="es-MX"/>
          <w14:ligatures w14:val="standardContextual"/>
        </w:rPr>
        <w:t>a población</w:t>
      </w:r>
      <w:r w:rsidRPr="001C22B9">
        <w:rPr>
          <w:rFonts w:ascii="ITC Avant Garde" w:eastAsia="Calibri" w:hAnsi="ITC Avant Garde" w:cs="Times New Roman"/>
          <w:b w:val="0"/>
          <w:color w:val="auto"/>
          <w:kern w:val="2"/>
          <w:sz w:val="20"/>
          <w:szCs w:val="20"/>
          <w:lang w:val="es-MX"/>
          <w14:ligatures w14:val="standardContextual"/>
        </w:rPr>
        <w:t xml:space="preserve"> usuari</w:t>
      </w:r>
      <w:r>
        <w:rPr>
          <w:rFonts w:ascii="ITC Avant Garde" w:eastAsia="Calibri" w:hAnsi="ITC Avant Garde" w:cs="Times New Roman"/>
          <w:b w:val="0"/>
          <w:color w:val="auto"/>
          <w:kern w:val="2"/>
          <w:sz w:val="20"/>
          <w:szCs w:val="20"/>
          <w:lang w:val="es-MX"/>
          <w14:ligatures w14:val="standardContextual"/>
        </w:rPr>
        <w:t>a</w:t>
      </w:r>
      <w:r w:rsidRPr="001C22B9">
        <w:rPr>
          <w:rFonts w:ascii="ITC Avant Garde" w:eastAsia="Calibri" w:hAnsi="ITC Avant Garde" w:cs="Times New Roman"/>
          <w:b w:val="0"/>
          <w:color w:val="auto"/>
          <w:kern w:val="2"/>
          <w:sz w:val="20"/>
          <w:szCs w:val="20"/>
          <w:lang w:val="es-MX"/>
          <w14:ligatures w14:val="standardContextual"/>
        </w:rPr>
        <w:t xml:space="preserve">, y proporciona un marco sólido para realizar recomendaciones de mejora. La estructura de las categorías y la utilización de herramientas estadísticas aseguran que los hallazgos del reporte son confiables y representativos de las experiencias y expectativas de </w:t>
      </w:r>
      <w:r>
        <w:rPr>
          <w:rFonts w:ascii="ITC Avant Garde" w:eastAsia="Calibri" w:hAnsi="ITC Avant Garde" w:cs="Times New Roman"/>
          <w:b w:val="0"/>
          <w:color w:val="auto"/>
          <w:kern w:val="2"/>
          <w:sz w:val="20"/>
          <w:szCs w:val="20"/>
          <w:lang w:val="es-MX"/>
          <w14:ligatures w14:val="standardContextual"/>
        </w:rPr>
        <w:t xml:space="preserve">las personas usuarias </w:t>
      </w:r>
      <w:r w:rsidRPr="001C22B9">
        <w:rPr>
          <w:rFonts w:ascii="ITC Avant Garde" w:eastAsia="Calibri" w:hAnsi="ITC Avant Garde" w:cs="Times New Roman"/>
          <w:b w:val="0"/>
          <w:color w:val="auto"/>
          <w:kern w:val="2"/>
          <w:sz w:val="20"/>
          <w:szCs w:val="20"/>
          <w:lang w:val="es-MX"/>
          <w14:ligatures w14:val="standardContextual"/>
        </w:rPr>
        <w:t>en su interacción digital con el IFT.</w:t>
      </w:r>
    </w:p>
    <w:p w14:paraId="5D52E544" w14:textId="77777777" w:rsidR="0066403F" w:rsidRPr="00AC04FF" w:rsidRDefault="0066403F" w:rsidP="0066403F">
      <w:pPr>
        <w:pStyle w:val="Prrafodelista"/>
        <w:keepNext/>
        <w:keepLines/>
        <w:numPr>
          <w:ilvl w:val="0"/>
          <w:numId w:val="41"/>
        </w:numPr>
        <w:spacing w:before="240" w:after="240" w:line="278" w:lineRule="auto"/>
        <w:jc w:val="both"/>
        <w:outlineLvl w:val="0"/>
        <w:rPr>
          <w:rFonts w:ascii="ITC Avant Garde" w:eastAsia="Times New Roman" w:hAnsi="ITC Avant Garde" w:cs="Times New Roman"/>
          <w:color w:val="auto"/>
          <w:kern w:val="2"/>
          <w:sz w:val="24"/>
          <w:szCs w:val="32"/>
          <w:lang w:val="es-MX"/>
          <w14:ligatures w14:val="standardContextual"/>
        </w:rPr>
      </w:pPr>
      <w:bookmarkStart w:id="30" w:name="_Toc185357318"/>
      <w:bookmarkStart w:id="31" w:name="_Toc185358246"/>
      <w:bookmarkStart w:id="32" w:name="_Toc185358500"/>
      <w:bookmarkStart w:id="33" w:name="_Toc183000925"/>
      <w:r w:rsidRPr="00795936">
        <w:rPr>
          <w:rFonts w:ascii="ITC Avant Garde" w:eastAsia="Times New Roman" w:hAnsi="ITC Avant Garde" w:cs="Times New Roman"/>
          <w:color w:val="auto"/>
          <w:kern w:val="2"/>
          <w:sz w:val="24"/>
          <w:szCs w:val="32"/>
          <w:lang w:val="es-MX"/>
          <w14:ligatures w14:val="standardContextual"/>
        </w:rPr>
        <w:t xml:space="preserve">Análisis de </w:t>
      </w:r>
      <w:r>
        <w:rPr>
          <w:rFonts w:ascii="ITC Avant Garde" w:eastAsia="Times New Roman" w:hAnsi="ITC Avant Garde" w:cs="Times New Roman"/>
          <w:color w:val="auto"/>
          <w:kern w:val="2"/>
          <w:sz w:val="24"/>
          <w:szCs w:val="32"/>
          <w:lang w:val="es-MX"/>
          <w14:ligatures w14:val="standardContextual"/>
        </w:rPr>
        <w:t>Datos Obtenidos</w:t>
      </w:r>
      <w:bookmarkEnd w:id="30"/>
      <w:bookmarkEnd w:id="31"/>
      <w:bookmarkEnd w:id="32"/>
    </w:p>
    <w:bookmarkEnd w:id="33"/>
    <w:p w14:paraId="503240DD" w14:textId="77777777" w:rsidR="0066403F" w:rsidRPr="00B64F96" w:rsidRDefault="0066403F" w:rsidP="0066403F">
      <w:pPr>
        <w:pStyle w:val="Prrafodelista"/>
        <w:keepNext/>
        <w:keepLines/>
        <w:spacing w:before="240" w:after="240" w:line="278" w:lineRule="auto"/>
        <w:ind w:left="360"/>
        <w:jc w:val="both"/>
        <w:outlineLvl w:val="0"/>
        <w:rPr>
          <w:rFonts w:ascii="ITC Avant Garde" w:eastAsia="Times New Roman" w:hAnsi="ITC Avant Garde" w:cs="Times New Roman"/>
          <w:color w:val="auto"/>
          <w:kern w:val="2"/>
          <w:sz w:val="24"/>
          <w:szCs w:val="32"/>
          <w:lang w:val="es-MX"/>
          <w14:ligatures w14:val="standardContextual"/>
        </w:rPr>
      </w:pPr>
    </w:p>
    <w:p w14:paraId="32EF3A60" w14:textId="77777777" w:rsidR="0066403F" w:rsidRDefault="0066403F" w:rsidP="0066403F">
      <w:pPr>
        <w:pStyle w:val="Prrafodelista"/>
        <w:keepNext/>
        <w:keepLines/>
        <w:numPr>
          <w:ilvl w:val="1"/>
          <w:numId w:val="41"/>
        </w:numPr>
        <w:spacing w:before="240" w:after="240" w:line="278" w:lineRule="auto"/>
        <w:jc w:val="both"/>
        <w:outlineLvl w:val="0"/>
        <w:rPr>
          <w:rFonts w:ascii="ITC Avant Garde" w:eastAsia="Times New Roman" w:hAnsi="ITC Avant Garde" w:cs="Times New Roman"/>
          <w:color w:val="auto"/>
          <w:kern w:val="2"/>
          <w:sz w:val="24"/>
          <w:szCs w:val="32"/>
          <w:lang w:val="es-MX"/>
          <w14:ligatures w14:val="standardContextual"/>
        </w:rPr>
      </w:pPr>
      <w:bookmarkStart w:id="34" w:name="_Toc185357319"/>
      <w:bookmarkStart w:id="35" w:name="_Toc185358247"/>
      <w:bookmarkStart w:id="36" w:name="_Toc185358501"/>
      <w:r>
        <w:rPr>
          <w:rFonts w:ascii="ITC Avant Garde" w:eastAsia="Times New Roman" w:hAnsi="ITC Avant Garde" w:cs="Times New Roman"/>
          <w:color w:val="auto"/>
          <w:kern w:val="2"/>
          <w:sz w:val="24"/>
          <w:szCs w:val="32"/>
          <w:lang w:val="es-MX"/>
          <w14:ligatures w14:val="standardContextual"/>
        </w:rPr>
        <w:t>Consulta Pública de Evaluación</w:t>
      </w:r>
      <w:bookmarkEnd w:id="34"/>
      <w:bookmarkEnd w:id="35"/>
      <w:bookmarkEnd w:id="36"/>
    </w:p>
    <w:p w14:paraId="1E9F316B" w14:textId="77777777" w:rsidR="0066403F" w:rsidRPr="000D48BE" w:rsidRDefault="0066403F" w:rsidP="0066403F">
      <w:pPr>
        <w:jc w:val="both"/>
        <w:rPr>
          <w:rFonts w:ascii="ITC Avant Garde" w:hAnsi="ITC Avant Garde"/>
          <w:b w:val="0"/>
          <w:bCs/>
          <w:color w:val="auto"/>
          <w:sz w:val="20"/>
          <w:szCs w:val="20"/>
        </w:rPr>
      </w:pPr>
      <w:r>
        <w:rPr>
          <w:rFonts w:ascii="ITC Avant Garde" w:hAnsi="ITC Avant Garde"/>
          <w:b w:val="0"/>
          <w:bCs/>
          <w:color w:val="auto"/>
          <w:sz w:val="20"/>
          <w:szCs w:val="20"/>
        </w:rPr>
        <w:t>E</w:t>
      </w:r>
      <w:r w:rsidRPr="000D48BE">
        <w:rPr>
          <w:rFonts w:ascii="ITC Avant Garde" w:hAnsi="ITC Avant Garde"/>
          <w:b w:val="0"/>
          <w:bCs/>
          <w:color w:val="auto"/>
          <w:sz w:val="20"/>
          <w:szCs w:val="20"/>
        </w:rPr>
        <w:t xml:space="preserve">l </w:t>
      </w:r>
      <w:r>
        <w:rPr>
          <w:rFonts w:ascii="ITC Avant Garde" w:hAnsi="ITC Avant Garde"/>
          <w:b w:val="0"/>
          <w:bCs/>
          <w:color w:val="auto"/>
          <w:sz w:val="20"/>
          <w:szCs w:val="20"/>
        </w:rPr>
        <w:t>Instituto</w:t>
      </w:r>
      <w:r w:rsidRPr="000D48BE">
        <w:rPr>
          <w:rFonts w:ascii="ITC Avant Garde" w:hAnsi="ITC Avant Garde"/>
          <w:b w:val="0"/>
          <w:bCs/>
          <w:color w:val="auto"/>
          <w:sz w:val="20"/>
          <w:szCs w:val="20"/>
        </w:rPr>
        <w:t xml:space="preserve"> ha impulsado la Estrategia de Gobierno Electrónico</w:t>
      </w:r>
      <w:r>
        <w:rPr>
          <w:rFonts w:ascii="ITC Avant Garde" w:hAnsi="ITC Avant Garde"/>
          <w:b w:val="0"/>
          <w:bCs/>
          <w:color w:val="auto"/>
          <w:sz w:val="20"/>
          <w:szCs w:val="20"/>
        </w:rPr>
        <w:t xml:space="preserve"> en la presentación de los trámites y servicios a su cargo</w:t>
      </w:r>
      <w:r w:rsidRPr="000D48BE">
        <w:rPr>
          <w:rFonts w:ascii="ITC Avant Garde" w:hAnsi="ITC Avant Garde"/>
          <w:b w:val="0"/>
          <w:bCs/>
          <w:color w:val="auto"/>
          <w:sz w:val="20"/>
          <w:szCs w:val="20"/>
        </w:rPr>
        <w:t xml:space="preserve">, cuyo objetivo consiste en promover la evolución de las interacciones que éste mantiene con las personas reguladas, </w:t>
      </w:r>
      <w:r>
        <w:rPr>
          <w:rFonts w:ascii="ITC Avant Garde" w:hAnsi="ITC Avant Garde"/>
          <w:b w:val="0"/>
          <w:bCs/>
          <w:color w:val="auto"/>
          <w:sz w:val="20"/>
          <w:szCs w:val="20"/>
        </w:rPr>
        <w:t>en específico sobre aquellos que</w:t>
      </w:r>
      <w:r w:rsidRPr="000D48BE">
        <w:rPr>
          <w:rFonts w:ascii="ITC Avant Garde" w:hAnsi="ITC Avant Garde"/>
          <w:b w:val="0"/>
          <w:bCs/>
          <w:color w:val="auto"/>
          <w:sz w:val="20"/>
          <w:szCs w:val="20"/>
        </w:rPr>
        <w:t xml:space="preserve"> generan mayores </w:t>
      </w:r>
      <w:r w:rsidRPr="000D48BE">
        <w:rPr>
          <w:rFonts w:ascii="ITC Avant Garde" w:hAnsi="ITC Avant Garde"/>
          <w:b w:val="0"/>
          <w:bCs/>
          <w:color w:val="auto"/>
          <w:sz w:val="20"/>
          <w:szCs w:val="20"/>
        </w:rPr>
        <w:lastRenderedPageBreak/>
        <w:t>cargas administrativas a la industria, a través de la actualización de su marco jurídico, el rediseño de sus procesos, y con la incorporación de las T</w:t>
      </w:r>
      <w:r>
        <w:rPr>
          <w:rFonts w:ascii="ITC Avant Garde" w:hAnsi="ITC Avant Garde"/>
          <w:b w:val="0"/>
          <w:bCs/>
          <w:color w:val="auto"/>
          <w:sz w:val="20"/>
          <w:szCs w:val="20"/>
        </w:rPr>
        <w:t>ecnologías de la Información y Comunicación (en lo sucesivo, las “TIC”)</w:t>
      </w:r>
      <w:r w:rsidRPr="000D48BE">
        <w:rPr>
          <w:rFonts w:ascii="ITC Avant Garde" w:hAnsi="ITC Avant Garde"/>
          <w:b w:val="0"/>
          <w:bCs/>
          <w:color w:val="auto"/>
          <w:sz w:val="20"/>
          <w:szCs w:val="20"/>
        </w:rPr>
        <w:t xml:space="preserve">, en su actuar diario, para contar con trámites y servicios más ágiles, sencillos y eficientes. </w:t>
      </w:r>
    </w:p>
    <w:p w14:paraId="5C37A6B8" w14:textId="77777777" w:rsidR="0066403F" w:rsidRDefault="0066403F" w:rsidP="0066403F">
      <w:pPr>
        <w:jc w:val="both"/>
        <w:rPr>
          <w:rFonts w:ascii="ITC Avant Garde" w:hAnsi="ITC Avant Garde"/>
          <w:b w:val="0"/>
          <w:bCs/>
          <w:color w:val="auto"/>
          <w:sz w:val="20"/>
          <w:szCs w:val="20"/>
        </w:rPr>
      </w:pPr>
    </w:p>
    <w:p w14:paraId="5E03BA4E" w14:textId="77777777" w:rsidR="0066403F" w:rsidRPr="00A8247A" w:rsidRDefault="0066403F" w:rsidP="0066403F">
      <w:pPr>
        <w:jc w:val="both"/>
        <w:rPr>
          <w:rFonts w:ascii="ITC Avant Garde" w:hAnsi="ITC Avant Garde"/>
          <w:b w:val="0"/>
          <w:bCs/>
          <w:color w:val="auto"/>
          <w:sz w:val="20"/>
          <w:szCs w:val="20"/>
        </w:rPr>
      </w:pPr>
      <w:r w:rsidRPr="00A8247A">
        <w:rPr>
          <w:rFonts w:ascii="ITC Avant Garde" w:hAnsi="ITC Avant Garde"/>
          <w:b w:val="0"/>
          <w:bCs/>
          <w:color w:val="auto"/>
          <w:sz w:val="20"/>
          <w:szCs w:val="20"/>
        </w:rPr>
        <w:t>Al respecto, los Lineamientos de Ventanilla Electrónica del I</w:t>
      </w:r>
      <w:r>
        <w:rPr>
          <w:rFonts w:ascii="ITC Avant Garde" w:hAnsi="ITC Avant Garde"/>
          <w:b w:val="0"/>
          <w:bCs/>
          <w:color w:val="auto"/>
          <w:sz w:val="20"/>
          <w:szCs w:val="20"/>
        </w:rPr>
        <w:t>nstituto</w:t>
      </w:r>
      <w:r w:rsidRPr="000D48BE">
        <w:rPr>
          <w:rStyle w:val="Refdenotaalpie"/>
          <w:rFonts w:ascii="ITC Avant Garde" w:hAnsi="ITC Avant Garde"/>
          <w:b w:val="0"/>
          <w:bCs/>
          <w:color w:val="auto"/>
          <w:sz w:val="20"/>
          <w:szCs w:val="20"/>
        </w:rPr>
        <w:footnoteReference w:id="11"/>
      </w:r>
      <w:r w:rsidRPr="00A8247A">
        <w:rPr>
          <w:rFonts w:ascii="ITC Avant Garde" w:hAnsi="ITC Avant Garde"/>
          <w:b w:val="0"/>
          <w:bCs/>
          <w:color w:val="auto"/>
          <w:sz w:val="20"/>
          <w:szCs w:val="20"/>
        </w:rPr>
        <w:t xml:space="preserve">, son la estructura normativa que propicio el uso de las TIC para la presentación y sustanciación de diversos trámites y servicios </w:t>
      </w:r>
      <w:r>
        <w:rPr>
          <w:rFonts w:ascii="ITC Avant Garde" w:hAnsi="ITC Avant Garde"/>
          <w:b w:val="0"/>
          <w:bCs/>
          <w:color w:val="auto"/>
          <w:sz w:val="20"/>
          <w:szCs w:val="20"/>
        </w:rPr>
        <w:t>a cargo de este órgano constitucional autónomo</w:t>
      </w:r>
      <w:r w:rsidRPr="00A8247A">
        <w:rPr>
          <w:rFonts w:ascii="ITC Avant Garde" w:hAnsi="ITC Avant Garde"/>
          <w:b w:val="0"/>
          <w:bCs/>
          <w:color w:val="auto"/>
          <w:sz w:val="20"/>
          <w:szCs w:val="20"/>
        </w:rPr>
        <w:t>, a través de la plataforma denominada Ventanilla Electrónica</w:t>
      </w:r>
      <w:r w:rsidRPr="000D48BE">
        <w:rPr>
          <w:rStyle w:val="Refdenotaalpie"/>
          <w:rFonts w:ascii="ITC Avant Garde" w:hAnsi="ITC Avant Garde"/>
          <w:b w:val="0"/>
          <w:bCs/>
          <w:color w:val="auto"/>
          <w:sz w:val="20"/>
          <w:szCs w:val="20"/>
        </w:rPr>
        <w:footnoteReference w:id="12"/>
      </w:r>
      <w:r w:rsidRPr="00A8247A">
        <w:rPr>
          <w:rFonts w:ascii="ITC Avant Garde" w:hAnsi="ITC Avant Garde"/>
          <w:b w:val="0"/>
          <w:bCs/>
          <w:color w:val="auto"/>
          <w:sz w:val="20"/>
          <w:szCs w:val="20"/>
        </w:rPr>
        <w:t>, y marcó el inicio formal al desarrollo de la Estrategia de Gobierno Electrónico del IFT. El desarrollo de la Estrategia de Gobierno Electrónico se compone por tres pilares: 1) evaluación regulatoria, 2) evaluación de procesos y 3) digitalización.</w:t>
      </w:r>
    </w:p>
    <w:p w14:paraId="17D80802" w14:textId="77777777" w:rsidR="0066403F" w:rsidRPr="000A30A6" w:rsidRDefault="0066403F" w:rsidP="0066403F">
      <w:pPr>
        <w:jc w:val="both"/>
        <w:rPr>
          <w:rFonts w:ascii="ITC Avant Garde" w:hAnsi="ITC Avant Garde"/>
          <w:b w:val="0"/>
          <w:bCs/>
          <w:color w:val="auto"/>
          <w:sz w:val="20"/>
          <w:szCs w:val="20"/>
        </w:rPr>
      </w:pPr>
    </w:p>
    <w:p w14:paraId="55B7EBCC" w14:textId="77777777" w:rsidR="0066403F" w:rsidRDefault="0066403F" w:rsidP="0066403F">
      <w:pPr>
        <w:jc w:val="both"/>
        <w:rPr>
          <w:rFonts w:ascii="ITC Avant Garde" w:hAnsi="ITC Avant Garde"/>
          <w:b w:val="0"/>
          <w:bCs/>
          <w:color w:val="auto"/>
          <w:sz w:val="20"/>
          <w:szCs w:val="20"/>
        </w:rPr>
      </w:pPr>
      <w:bookmarkStart w:id="37" w:name="_Int_Bks6P6gi"/>
      <w:r w:rsidRPr="000A30A6">
        <w:rPr>
          <w:rFonts w:ascii="ITC Avant Garde" w:hAnsi="ITC Avant Garde"/>
          <w:b w:val="0"/>
          <w:bCs/>
          <w:color w:val="auto"/>
          <w:sz w:val="20"/>
          <w:szCs w:val="20"/>
        </w:rPr>
        <w:t>En este sentido, el IFT se ha dado a la tarea de simplificar los trámites y servicios a cargo del Instituto, procurando que éstos cuenten con formatos y procesos que permitan su digitalización e integración a la Ventanilla Electrónica, para reducir cargas administrativas y promover la transformación digital de este órgano regulador.</w:t>
      </w:r>
      <w:bookmarkEnd w:id="37"/>
      <w:r w:rsidRPr="000A30A6">
        <w:rPr>
          <w:rFonts w:ascii="ITC Avant Garde" w:hAnsi="ITC Avant Garde"/>
          <w:b w:val="0"/>
          <w:bCs/>
          <w:color w:val="auto"/>
          <w:sz w:val="20"/>
          <w:szCs w:val="20"/>
        </w:rPr>
        <w:t xml:space="preserve"> En un esfuerzo adicional para seguir promoviendo la implementación de la Estrategia de Gobierno Electrónico, en enero de 2023, se integró a la Ventanilla Electrónica una nueva funcionalidad denominada </w:t>
      </w:r>
      <w:r w:rsidRPr="000A30A6">
        <w:rPr>
          <w:rFonts w:ascii="ITC Avant Garde" w:hAnsi="ITC Avant Garde"/>
          <w:b w:val="0"/>
          <w:bCs/>
          <w:i/>
          <w:iCs/>
          <w:color w:val="auto"/>
          <w:sz w:val="20"/>
          <w:szCs w:val="20"/>
        </w:rPr>
        <w:t>Más Trámites y Servicios</w:t>
      </w:r>
      <w:r w:rsidRPr="000A30A6">
        <w:rPr>
          <w:rFonts w:ascii="ITC Avant Garde" w:hAnsi="ITC Avant Garde"/>
          <w:b w:val="0"/>
          <w:bCs/>
          <w:color w:val="auto"/>
          <w:sz w:val="20"/>
          <w:szCs w:val="20"/>
        </w:rPr>
        <w:t>, a partir de la cual se habilitó la presentación de 145 trámites y servicios, adicionales a los 19 anteriormente habilitados en dicho portal informático.</w:t>
      </w:r>
    </w:p>
    <w:p w14:paraId="0BDDDE5C" w14:textId="77777777" w:rsidR="0066403F" w:rsidRDefault="0066403F" w:rsidP="0066403F">
      <w:pPr>
        <w:jc w:val="both"/>
        <w:rPr>
          <w:rFonts w:ascii="ITC Avant Garde" w:hAnsi="ITC Avant Garde"/>
          <w:b w:val="0"/>
          <w:bCs/>
          <w:color w:val="auto"/>
          <w:sz w:val="20"/>
          <w:szCs w:val="20"/>
        </w:rPr>
      </w:pPr>
    </w:p>
    <w:p w14:paraId="59A81C74" w14:textId="60CF2B04" w:rsidR="0066403F" w:rsidRDefault="0066403F" w:rsidP="0066403F">
      <w:pPr>
        <w:jc w:val="both"/>
        <w:rPr>
          <w:rFonts w:ascii="ITC Avant Garde" w:eastAsia="Times New Roman" w:hAnsi="ITC Avant Garde" w:cs="Times New Roman"/>
          <w:b w:val="0"/>
          <w:color w:val="000000"/>
          <w:sz w:val="20"/>
          <w:szCs w:val="20"/>
          <w:lang w:val="es-419"/>
        </w:rPr>
      </w:pPr>
      <w:r>
        <w:rPr>
          <w:rFonts w:ascii="ITC Avant Garde" w:hAnsi="ITC Avant Garde"/>
          <w:b w:val="0"/>
          <w:bCs/>
          <w:color w:val="auto"/>
          <w:sz w:val="20"/>
          <w:szCs w:val="20"/>
        </w:rPr>
        <w:t xml:space="preserve">En virtud de lo anterior, resultó necesario la </w:t>
      </w:r>
      <w:r w:rsidRPr="002B04B9">
        <w:rPr>
          <w:rFonts w:ascii="ITC Avant Garde" w:hAnsi="ITC Avant Garde"/>
          <w:b w:val="0"/>
          <w:bCs/>
          <w:color w:val="auto"/>
          <w:sz w:val="20"/>
          <w:szCs w:val="20"/>
        </w:rPr>
        <w:t xml:space="preserve">realización de la </w:t>
      </w:r>
      <w:r w:rsidRPr="002B04B9">
        <w:rPr>
          <w:rFonts w:ascii="ITC Avant Garde" w:eastAsia="Times New Roman" w:hAnsi="ITC Avant Garde" w:cs="Times New Roman"/>
          <w:b w:val="0"/>
          <w:color w:val="auto"/>
          <w:kern w:val="2"/>
          <w:sz w:val="20"/>
          <w:szCs w:val="20"/>
          <w:lang w:val="es-MX"/>
          <w14:ligatures w14:val="standardContextual"/>
        </w:rPr>
        <w:t xml:space="preserve">Consulta Pública de Evaluación sobre la Estrategia de Gobierno Electrónico, mediante el “Cuestionario sobre la percepción ciudadana de la estrategia de Gobierno Electrónico del Instituto Federal de Telecomunicaciones”, </w:t>
      </w:r>
      <w:r>
        <w:rPr>
          <w:rFonts w:ascii="ITC Avant Garde" w:eastAsia="Times New Roman" w:hAnsi="ITC Avant Garde" w:cs="Times New Roman"/>
          <w:b w:val="0"/>
          <w:color w:val="auto"/>
          <w:kern w:val="2"/>
          <w:sz w:val="20"/>
          <w:szCs w:val="20"/>
          <w:lang w:val="es-MX"/>
          <w14:ligatures w14:val="standardContextual"/>
        </w:rPr>
        <w:t xml:space="preserve">a efecto de evaluar los beneficios de la implementación de la Ventanilla Electrónica, de acuerdo con los estándares establecidos por </w:t>
      </w:r>
      <w:r w:rsidRPr="0089643F">
        <w:rPr>
          <w:rFonts w:ascii="ITC Avant Garde" w:eastAsia="Times New Roman" w:hAnsi="ITC Avant Garde" w:cs="Times New Roman"/>
          <w:b w:val="0"/>
          <w:color w:val="000000"/>
          <w:sz w:val="20"/>
          <w:szCs w:val="20"/>
          <w:lang w:val="es-419"/>
        </w:rPr>
        <w:t xml:space="preserve">la Comisión Económica para América </w:t>
      </w:r>
      <w:r w:rsidRPr="00B5044D">
        <w:rPr>
          <w:rFonts w:ascii="ITC Avant Garde" w:eastAsia="Times New Roman" w:hAnsi="ITC Avant Garde" w:cs="Times New Roman"/>
          <w:b w:val="0"/>
          <w:color w:val="000000"/>
          <w:sz w:val="20"/>
          <w:szCs w:val="20"/>
          <w:lang w:val="es-419"/>
        </w:rPr>
        <w:t>Latina</w:t>
      </w:r>
      <w:r w:rsidRPr="0089643F">
        <w:rPr>
          <w:rFonts w:ascii="ITC Avant Garde" w:eastAsia="Times New Roman" w:hAnsi="ITC Avant Garde" w:cs="Times New Roman"/>
          <w:b w:val="0"/>
          <w:color w:val="000000"/>
          <w:sz w:val="20"/>
          <w:szCs w:val="20"/>
          <w:lang w:val="es-419"/>
        </w:rPr>
        <w:t xml:space="preserve"> y el Caribe (CEPAL)</w:t>
      </w:r>
      <w:r w:rsidRPr="00995897">
        <w:rPr>
          <w:rFonts w:ascii="ITC Avant Garde" w:eastAsia="Times New Roman" w:hAnsi="ITC Avant Garde" w:cs="Times New Roman"/>
          <w:b w:val="0"/>
          <w:color w:val="000000"/>
          <w:sz w:val="20"/>
          <w:szCs w:val="20"/>
          <w:vertAlign w:val="superscript"/>
          <w:lang w:val="es-419"/>
        </w:rPr>
        <w:footnoteReference w:id="13"/>
      </w:r>
      <w:r>
        <w:rPr>
          <w:rFonts w:ascii="ITC Avant Garde" w:eastAsia="Times New Roman" w:hAnsi="ITC Avant Garde" w:cs="Times New Roman"/>
          <w:b w:val="0"/>
          <w:color w:val="000000"/>
          <w:sz w:val="20"/>
          <w:szCs w:val="20"/>
          <w:lang w:val="es-419"/>
        </w:rPr>
        <w:t>, respecto a los beneficios que se pretenden alcanzar con la implementación de dicha política pública, tales como:</w:t>
      </w:r>
    </w:p>
    <w:p w14:paraId="588E2EDD" w14:textId="77777777" w:rsidR="0066403F" w:rsidRDefault="0066403F" w:rsidP="0066403F">
      <w:pPr>
        <w:jc w:val="both"/>
        <w:rPr>
          <w:rFonts w:ascii="ITC Avant Garde" w:eastAsia="Times New Roman" w:hAnsi="ITC Avant Garde" w:cs="Times New Roman"/>
          <w:b w:val="0"/>
          <w:color w:val="000000"/>
          <w:sz w:val="20"/>
          <w:szCs w:val="20"/>
          <w:lang w:val="es-419"/>
        </w:rPr>
      </w:pPr>
    </w:p>
    <w:p w14:paraId="61A8A8A7" w14:textId="77777777" w:rsidR="0066403F" w:rsidRDefault="0066403F" w:rsidP="0066403F">
      <w:pPr>
        <w:pStyle w:val="Prrafodelista"/>
        <w:numPr>
          <w:ilvl w:val="0"/>
          <w:numId w:val="39"/>
        </w:numPr>
        <w:jc w:val="both"/>
        <w:rPr>
          <w:rFonts w:ascii="ITC Avant Garde" w:hAnsi="ITC Avant Garde"/>
          <w:b w:val="0"/>
          <w:bCs/>
          <w:color w:val="auto"/>
          <w:sz w:val="20"/>
          <w:szCs w:val="20"/>
        </w:rPr>
      </w:pPr>
      <w:r>
        <w:rPr>
          <w:rFonts w:ascii="ITC Avant Garde" w:hAnsi="ITC Avant Garde"/>
          <w:b w:val="0"/>
          <w:bCs/>
          <w:color w:val="auto"/>
          <w:sz w:val="20"/>
          <w:szCs w:val="20"/>
        </w:rPr>
        <w:t>Satisfacción en la calidad de los servicios</w:t>
      </w:r>
    </w:p>
    <w:p w14:paraId="1E5AFCBD" w14:textId="77777777" w:rsidR="0066403F" w:rsidRDefault="0066403F" w:rsidP="0066403F">
      <w:pPr>
        <w:pStyle w:val="Prrafodelista"/>
        <w:numPr>
          <w:ilvl w:val="0"/>
          <w:numId w:val="39"/>
        </w:numPr>
        <w:jc w:val="both"/>
        <w:rPr>
          <w:rFonts w:ascii="ITC Avant Garde" w:hAnsi="ITC Avant Garde"/>
          <w:b w:val="0"/>
          <w:bCs/>
          <w:color w:val="auto"/>
          <w:sz w:val="20"/>
          <w:szCs w:val="20"/>
        </w:rPr>
      </w:pPr>
      <w:r>
        <w:rPr>
          <w:rFonts w:ascii="ITC Avant Garde" w:hAnsi="ITC Avant Garde"/>
          <w:b w:val="0"/>
          <w:bCs/>
          <w:color w:val="auto"/>
          <w:sz w:val="20"/>
          <w:szCs w:val="20"/>
        </w:rPr>
        <w:t>Eficiencia/productividad</w:t>
      </w:r>
    </w:p>
    <w:p w14:paraId="239EB1FC" w14:textId="77777777" w:rsidR="0066403F" w:rsidRDefault="0066403F" w:rsidP="0066403F">
      <w:pPr>
        <w:pStyle w:val="Prrafodelista"/>
        <w:numPr>
          <w:ilvl w:val="0"/>
          <w:numId w:val="39"/>
        </w:numPr>
        <w:jc w:val="both"/>
        <w:rPr>
          <w:rFonts w:ascii="ITC Avant Garde" w:hAnsi="ITC Avant Garde"/>
          <w:b w:val="0"/>
          <w:bCs/>
          <w:color w:val="auto"/>
          <w:sz w:val="20"/>
          <w:szCs w:val="20"/>
        </w:rPr>
      </w:pPr>
      <w:r>
        <w:rPr>
          <w:rFonts w:ascii="ITC Avant Garde" w:hAnsi="ITC Avant Garde"/>
          <w:b w:val="0"/>
          <w:bCs/>
          <w:color w:val="auto"/>
          <w:sz w:val="20"/>
          <w:szCs w:val="20"/>
        </w:rPr>
        <w:t>Transparencia</w:t>
      </w:r>
    </w:p>
    <w:p w14:paraId="1A1EC36D" w14:textId="77777777" w:rsidR="0066403F" w:rsidRDefault="0066403F" w:rsidP="0066403F">
      <w:pPr>
        <w:pStyle w:val="Prrafodelista"/>
        <w:numPr>
          <w:ilvl w:val="0"/>
          <w:numId w:val="39"/>
        </w:numPr>
        <w:jc w:val="both"/>
        <w:rPr>
          <w:rFonts w:ascii="ITC Avant Garde" w:hAnsi="ITC Avant Garde"/>
          <w:b w:val="0"/>
          <w:bCs/>
          <w:color w:val="auto"/>
          <w:sz w:val="20"/>
          <w:szCs w:val="20"/>
        </w:rPr>
      </w:pPr>
      <w:r>
        <w:rPr>
          <w:rFonts w:ascii="ITC Avant Garde" w:hAnsi="ITC Avant Garde"/>
          <w:b w:val="0"/>
          <w:bCs/>
          <w:color w:val="auto"/>
          <w:sz w:val="20"/>
          <w:szCs w:val="20"/>
        </w:rPr>
        <w:t>Participación ciudadana</w:t>
      </w:r>
    </w:p>
    <w:p w14:paraId="293BECE3" w14:textId="77777777" w:rsidR="0066403F" w:rsidRDefault="0066403F" w:rsidP="0066403F">
      <w:pPr>
        <w:pStyle w:val="Prrafodelista"/>
        <w:numPr>
          <w:ilvl w:val="0"/>
          <w:numId w:val="39"/>
        </w:numPr>
        <w:jc w:val="both"/>
        <w:rPr>
          <w:rFonts w:ascii="ITC Avant Garde" w:hAnsi="ITC Avant Garde"/>
          <w:b w:val="0"/>
          <w:bCs/>
          <w:color w:val="auto"/>
          <w:sz w:val="20"/>
          <w:szCs w:val="20"/>
        </w:rPr>
      </w:pPr>
      <w:r>
        <w:rPr>
          <w:rFonts w:ascii="ITC Avant Garde" w:hAnsi="ITC Avant Garde"/>
          <w:b w:val="0"/>
          <w:bCs/>
          <w:color w:val="auto"/>
          <w:sz w:val="20"/>
          <w:szCs w:val="20"/>
        </w:rPr>
        <w:t>Marco regulatorio que respalde la estrategia de gobierno electrónico</w:t>
      </w:r>
    </w:p>
    <w:p w14:paraId="7AFB9475" w14:textId="77777777" w:rsidR="0066403F" w:rsidRDefault="0066403F" w:rsidP="0066403F">
      <w:pPr>
        <w:ind w:left="360"/>
        <w:jc w:val="both"/>
        <w:rPr>
          <w:rFonts w:ascii="ITC Avant Garde" w:hAnsi="ITC Avant Garde"/>
          <w:b w:val="0"/>
          <w:bCs/>
          <w:color w:val="auto"/>
          <w:sz w:val="20"/>
          <w:szCs w:val="20"/>
        </w:rPr>
      </w:pPr>
    </w:p>
    <w:p w14:paraId="207B3E19" w14:textId="77777777" w:rsidR="0066403F" w:rsidRDefault="0066403F" w:rsidP="0066403F">
      <w:pPr>
        <w:ind w:left="360"/>
        <w:jc w:val="both"/>
        <w:rPr>
          <w:rFonts w:ascii="ITC Avant Garde" w:hAnsi="ITC Avant Garde"/>
          <w:b w:val="0"/>
          <w:bCs/>
          <w:color w:val="auto"/>
          <w:sz w:val="20"/>
          <w:szCs w:val="20"/>
        </w:rPr>
      </w:pPr>
      <w:r>
        <w:rPr>
          <w:rFonts w:ascii="ITC Avant Garde" w:hAnsi="ITC Avant Garde"/>
          <w:b w:val="0"/>
          <w:bCs/>
          <w:color w:val="auto"/>
          <w:sz w:val="20"/>
          <w:szCs w:val="20"/>
        </w:rPr>
        <w:t>Al respecto, la consulta pública consistió en recabar información de las personas usuarias o cualquier persona interesada, a través de un Cuestionario, integrado con preguntas clave, respecto a los indicadores referidos por la CEPAL sobre los beneficios obtenidos con la implementación de la Ventanilla Electrónica.</w:t>
      </w:r>
    </w:p>
    <w:p w14:paraId="330A06A5" w14:textId="77777777" w:rsidR="0066403F" w:rsidRDefault="0066403F" w:rsidP="0066403F">
      <w:pPr>
        <w:ind w:left="360"/>
        <w:jc w:val="both"/>
        <w:rPr>
          <w:rFonts w:ascii="ITC Avant Garde" w:hAnsi="ITC Avant Garde"/>
          <w:b w:val="0"/>
          <w:bCs/>
          <w:color w:val="auto"/>
          <w:sz w:val="20"/>
          <w:szCs w:val="20"/>
        </w:rPr>
      </w:pPr>
    </w:p>
    <w:p w14:paraId="22ADBF4F" w14:textId="77777777" w:rsidR="0066403F" w:rsidRDefault="0066403F" w:rsidP="0066403F">
      <w:pPr>
        <w:ind w:left="360"/>
        <w:jc w:val="both"/>
        <w:rPr>
          <w:rFonts w:ascii="ITC Avant Garde" w:hAnsi="ITC Avant Garde"/>
          <w:b w:val="0"/>
          <w:bCs/>
          <w:color w:val="auto"/>
          <w:sz w:val="20"/>
          <w:szCs w:val="20"/>
        </w:rPr>
      </w:pPr>
      <w:r>
        <w:rPr>
          <w:rFonts w:ascii="ITC Avant Garde" w:hAnsi="ITC Avant Garde"/>
          <w:b w:val="0"/>
          <w:bCs/>
          <w:color w:val="auto"/>
          <w:sz w:val="20"/>
          <w:szCs w:val="20"/>
        </w:rPr>
        <w:lastRenderedPageBreak/>
        <w:t>Como consecuencia de la participación de las personas en la Consulta Pública, se logró obtener los siguientes resultados:</w:t>
      </w:r>
    </w:p>
    <w:p w14:paraId="7E910B98" w14:textId="77777777" w:rsidR="0066403F" w:rsidRDefault="0066403F" w:rsidP="0066403F">
      <w:pPr>
        <w:ind w:left="360"/>
        <w:jc w:val="both"/>
        <w:rPr>
          <w:rFonts w:ascii="ITC Avant Garde" w:hAnsi="ITC Avant Garde"/>
          <w:b w:val="0"/>
          <w:bCs/>
          <w:color w:val="auto"/>
          <w:sz w:val="20"/>
          <w:szCs w:val="20"/>
        </w:rPr>
      </w:pPr>
    </w:p>
    <w:p w14:paraId="1D76B484" w14:textId="77777777" w:rsidR="0066403F" w:rsidRPr="003D493C" w:rsidRDefault="0066403F" w:rsidP="0066403F">
      <w:pPr>
        <w:ind w:left="360"/>
        <w:jc w:val="both"/>
        <w:rPr>
          <w:rFonts w:ascii="ITC Avant Garde" w:hAnsi="ITC Avant Garde"/>
          <w:color w:val="auto"/>
          <w:sz w:val="22"/>
        </w:rPr>
      </w:pPr>
      <w:r w:rsidRPr="003D493C">
        <w:rPr>
          <w:rFonts w:ascii="ITC Avant Garde" w:hAnsi="ITC Avant Garde"/>
          <w:color w:val="auto"/>
          <w:sz w:val="22"/>
        </w:rPr>
        <w:t>Satisfacción en la calidad de los servicios</w:t>
      </w:r>
    </w:p>
    <w:p w14:paraId="6DF7EDD0" w14:textId="77777777" w:rsidR="0066403F" w:rsidRDefault="0066403F" w:rsidP="0066403F">
      <w:pPr>
        <w:ind w:left="360"/>
        <w:jc w:val="both"/>
        <w:rPr>
          <w:rFonts w:ascii="ITC Avant Garde" w:hAnsi="ITC Avant Garde"/>
          <w:color w:val="auto"/>
          <w:sz w:val="20"/>
          <w:szCs w:val="20"/>
        </w:rPr>
      </w:pPr>
    </w:p>
    <w:p w14:paraId="5B6B37CD" w14:textId="77777777" w:rsidR="0066403F" w:rsidRPr="0000345E" w:rsidRDefault="0066403F" w:rsidP="0066403F">
      <w:pPr>
        <w:ind w:left="360"/>
        <w:jc w:val="both"/>
        <w:rPr>
          <w:rFonts w:ascii="ITC Avant Garde" w:hAnsi="ITC Avant Garde"/>
          <w:b w:val="0"/>
          <w:bCs/>
          <w:color w:val="auto"/>
          <w:sz w:val="20"/>
          <w:szCs w:val="20"/>
        </w:rPr>
      </w:pPr>
      <w:r>
        <w:rPr>
          <w:rFonts w:ascii="ITC Avant Garde" w:hAnsi="ITC Avant Garde"/>
          <w:b w:val="0"/>
          <w:bCs/>
          <w:color w:val="auto"/>
          <w:sz w:val="20"/>
          <w:szCs w:val="20"/>
        </w:rPr>
        <w:t>La satisfacción en la calidad de los servicios resulta ser para la CEPAL</w:t>
      </w:r>
      <w:r>
        <w:rPr>
          <w:rStyle w:val="Refdenotaalpie"/>
          <w:rFonts w:ascii="ITC Avant Garde" w:hAnsi="ITC Avant Garde"/>
          <w:b w:val="0"/>
          <w:bCs/>
          <w:color w:val="auto"/>
          <w:sz w:val="20"/>
          <w:szCs w:val="20"/>
        </w:rPr>
        <w:footnoteReference w:id="14"/>
      </w:r>
      <w:r>
        <w:rPr>
          <w:rFonts w:ascii="ITC Avant Garde" w:hAnsi="ITC Avant Garde"/>
          <w:b w:val="0"/>
          <w:bCs/>
          <w:color w:val="auto"/>
          <w:sz w:val="20"/>
          <w:szCs w:val="20"/>
        </w:rPr>
        <w:t xml:space="preserve"> un beneficio que implica no sólo tener acceso a la información y a los servicios 24 horas al día, durante 7 días a la semana, sino también un mejoramiento en los servicios, procesos y atención a las personas usuarias de los servicios electrónicos.</w:t>
      </w:r>
    </w:p>
    <w:p w14:paraId="6B7E6F6B" w14:textId="77777777" w:rsidR="0066403F" w:rsidRDefault="0066403F" w:rsidP="0066403F">
      <w:pPr>
        <w:ind w:left="360"/>
        <w:jc w:val="both"/>
        <w:rPr>
          <w:rFonts w:ascii="ITC Avant Garde" w:hAnsi="ITC Avant Garde"/>
          <w:b w:val="0"/>
          <w:bCs/>
          <w:color w:val="auto"/>
          <w:sz w:val="20"/>
          <w:szCs w:val="20"/>
        </w:rPr>
      </w:pPr>
    </w:p>
    <w:p w14:paraId="6C855421" w14:textId="77777777" w:rsidR="0066403F" w:rsidRDefault="0066403F" w:rsidP="0066403F">
      <w:pPr>
        <w:ind w:left="360"/>
        <w:jc w:val="both"/>
        <w:rPr>
          <w:rFonts w:ascii="ITC Avant Garde" w:hAnsi="ITC Avant Garde"/>
          <w:b w:val="0"/>
          <w:bCs/>
          <w:color w:val="auto"/>
          <w:sz w:val="20"/>
          <w:szCs w:val="20"/>
        </w:rPr>
      </w:pPr>
      <w:r>
        <w:rPr>
          <w:rFonts w:ascii="ITC Avant Garde" w:hAnsi="ITC Avant Garde"/>
          <w:b w:val="0"/>
          <w:bCs/>
          <w:color w:val="auto"/>
          <w:sz w:val="20"/>
          <w:szCs w:val="20"/>
        </w:rPr>
        <w:t xml:space="preserve">En ese sentido, el proceso consultivo integró una serie se reactivos que valoraron la atención en ese sentido los trámites y servicios ofrecidos por la Ventanilla Electrónico, como hallazgos se obtuvo la siguiente información: </w:t>
      </w:r>
    </w:p>
    <w:p w14:paraId="51F9645B" w14:textId="77777777" w:rsidR="0066403F" w:rsidRDefault="0066403F" w:rsidP="0066403F">
      <w:pPr>
        <w:ind w:left="360"/>
        <w:jc w:val="both"/>
        <w:rPr>
          <w:rFonts w:ascii="ITC Avant Garde" w:hAnsi="ITC Avant Garde"/>
          <w:b w:val="0"/>
          <w:bCs/>
          <w:color w:val="auto"/>
          <w:sz w:val="20"/>
          <w:szCs w:val="20"/>
        </w:rPr>
      </w:pPr>
    </w:p>
    <w:p w14:paraId="678BE653" w14:textId="77777777" w:rsidR="0066403F" w:rsidRDefault="0066403F" w:rsidP="0066403F">
      <w:pPr>
        <w:ind w:left="360"/>
        <w:jc w:val="both"/>
        <w:rPr>
          <w:rFonts w:ascii="ITC Avant Garde" w:hAnsi="ITC Avant Garde"/>
          <w:b w:val="0"/>
          <w:bCs/>
          <w:color w:val="auto"/>
          <w:sz w:val="20"/>
          <w:szCs w:val="20"/>
        </w:rPr>
      </w:pPr>
      <w:r>
        <w:rPr>
          <w:rFonts w:ascii="ITC Avant Garde" w:hAnsi="ITC Avant Garde"/>
          <w:b w:val="0"/>
          <w:bCs/>
          <w:color w:val="auto"/>
          <w:sz w:val="20"/>
          <w:szCs w:val="20"/>
        </w:rPr>
        <w:t>Respecto a la satisfacción en la calidad de los servicios, se realizaron reactivos relacionados con las medidas de seguridad y privacidad implementadas por el Instituto, así como la percepción de las personas usuarias respecto de la autenticación mediante usuario y contraseña y se evaluó la percepción de las personas usuarias respecto a problemas de compatibilidad.</w:t>
      </w:r>
    </w:p>
    <w:p w14:paraId="7D0FF43C" w14:textId="77777777" w:rsidR="0066403F" w:rsidRDefault="0066403F" w:rsidP="0066403F">
      <w:pPr>
        <w:ind w:left="360"/>
        <w:jc w:val="both"/>
        <w:rPr>
          <w:rFonts w:ascii="ITC Avant Garde" w:hAnsi="ITC Avant Garde"/>
          <w:b w:val="0"/>
          <w:bCs/>
          <w:color w:val="auto"/>
          <w:sz w:val="20"/>
          <w:szCs w:val="20"/>
        </w:rPr>
      </w:pPr>
    </w:p>
    <w:p w14:paraId="6819AC30" w14:textId="77777777" w:rsidR="0066403F" w:rsidRDefault="0066403F" w:rsidP="0066403F">
      <w:pPr>
        <w:ind w:left="360"/>
        <w:jc w:val="both"/>
        <w:rPr>
          <w:rFonts w:ascii="ITC Avant Garde" w:hAnsi="ITC Avant Garde"/>
          <w:b w:val="0"/>
          <w:bCs/>
          <w:color w:val="auto"/>
          <w:sz w:val="20"/>
          <w:szCs w:val="20"/>
        </w:rPr>
      </w:pPr>
      <w:r>
        <w:rPr>
          <w:rFonts w:ascii="ITC Avant Garde" w:hAnsi="ITC Avant Garde"/>
          <w:b w:val="0"/>
          <w:bCs/>
          <w:color w:val="auto"/>
          <w:sz w:val="20"/>
          <w:szCs w:val="20"/>
        </w:rPr>
        <w:t>Respecto a las m</w:t>
      </w:r>
      <w:r w:rsidRPr="00AC6D9E">
        <w:rPr>
          <w:rFonts w:ascii="ITC Avant Garde" w:hAnsi="ITC Avant Garde"/>
          <w:b w:val="0"/>
          <w:bCs/>
          <w:color w:val="auto"/>
          <w:sz w:val="20"/>
          <w:szCs w:val="20"/>
        </w:rPr>
        <w:t>edidas de privacidad</w:t>
      </w:r>
      <w:r>
        <w:rPr>
          <w:rFonts w:ascii="ITC Avant Garde" w:hAnsi="ITC Avant Garde"/>
          <w:b w:val="0"/>
          <w:bCs/>
          <w:color w:val="auto"/>
          <w:sz w:val="20"/>
          <w:szCs w:val="20"/>
        </w:rPr>
        <w:t>, al p</w:t>
      </w:r>
      <w:r w:rsidRPr="00AC6D9E">
        <w:rPr>
          <w:rFonts w:ascii="ITC Avant Garde" w:hAnsi="ITC Avant Garde"/>
          <w:b w:val="0"/>
          <w:bCs/>
          <w:color w:val="auto"/>
          <w:sz w:val="20"/>
          <w:szCs w:val="20"/>
        </w:rPr>
        <w:t>roceso de autenticación mediante usuario y contraseña</w:t>
      </w:r>
      <w:r>
        <w:rPr>
          <w:rFonts w:ascii="ITC Avant Garde" w:hAnsi="ITC Avant Garde"/>
          <w:b w:val="0"/>
          <w:bCs/>
          <w:color w:val="auto"/>
          <w:sz w:val="20"/>
          <w:szCs w:val="20"/>
        </w:rPr>
        <w:t xml:space="preserve"> y con la se</w:t>
      </w:r>
      <w:r w:rsidRPr="00AC6D9E">
        <w:rPr>
          <w:rFonts w:ascii="ITC Avant Garde" w:hAnsi="ITC Avant Garde"/>
          <w:b w:val="0"/>
          <w:bCs/>
          <w:color w:val="auto"/>
          <w:sz w:val="20"/>
          <w:szCs w:val="20"/>
        </w:rPr>
        <w:t>guridad contra software malicioso</w:t>
      </w:r>
      <w:r>
        <w:rPr>
          <w:rFonts w:ascii="ITC Avant Garde" w:hAnsi="ITC Avant Garde"/>
          <w:b w:val="0"/>
          <w:bCs/>
          <w:color w:val="auto"/>
          <w:sz w:val="20"/>
          <w:szCs w:val="20"/>
        </w:rPr>
        <w:t xml:space="preserve"> se obtuvo un nivel </w:t>
      </w:r>
      <w:r w:rsidRPr="00AC6D9E">
        <w:rPr>
          <w:rFonts w:ascii="ITC Avant Garde" w:hAnsi="ITC Avant Garde"/>
          <w:b w:val="0"/>
          <w:bCs/>
          <w:color w:val="auto"/>
          <w:sz w:val="20"/>
          <w:szCs w:val="20"/>
        </w:rPr>
        <w:t xml:space="preserve">de satisfacción alto </w:t>
      </w:r>
      <w:r>
        <w:rPr>
          <w:rFonts w:ascii="ITC Avant Garde" w:hAnsi="ITC Avant Garde"/>
          <w:b w:val="0"/>
          <w:bCs/>
          <w:color w:val="auto"/>
          <w:sz w:val="20"/>
          <w:szCs w:val="20"/>
        </w:rPr>
        <w:t>en el que la mayoría se encuentra satisfecha, segura, muy satisfecha y/o muy segura con las medidas de seguridad y privacidad implementadas para la Ventanilla Electrónica. (Los datos obtenidos se observan en la Tabla 1)</w:t>
      </w:r>
    </w:p>
    <w:p w14:paraId="3BEF9A29" w14:textId="77777777" w:rsidR="0066403F" w:rsidRDefault="0066403F" w:rsidP="0066403F">
      <w:pPr>
        <w:ind w:left="360"/>
        <w:jc w:val="both"/>
        <w:rPr>
          <w:rFonts w:ascii="ITC Avant Garde" w:hAnsi="ITC Avant Garde"/>
          <w:b w:val="0"/>
          <w:bCs/>
          <w:color w:val="auto"/>
          <w:sz w:val="20"/>
          <w:szCs w:val="20"/>
        </w:rPr>
      </w:pPr>
      <w:r>
        <w:rPr>
          <w:rFonts w:ascii="ITC Avant Garde" w:hAnsi="ITC Avant Garde"/>
          <w:b w:val="0"/>
          <w:bCs/>
          <w:color w:val="auto"/>
          <w:sz w:val="20"/>
          <w:szCs w:val="20"/>
        </w:rPr>
        <w:t xml:space="preserve"> </w:t>
      </w:r>
    </w:p>
    <w:p w14:paraId="71F9DFDF" w14:textId="77777777" w:rsidR="0066403F" w:rsidRDefault="0066403F" w:rsidP="0066403F">
      <w:pPr>
        <w:ind w:left="360"/>
        <w:jc w:val="both"/>
        <w:rPr>
          <w:rFonts w:ascii="ITC Avant Garde" w:hAnsi="ITC Avant Garde"/>
          <w:b w:val="0"/>
          <w:bCs/>
          <w:color w:val="auto"/>
          <w:sz w:val="20"/>
          <w:szCs w:val="20"/>
        </w:rPr>
      </w:pPr>
      <w:r>
        <w:rPr>
          <w:rFonts w:ascii="ITC Avant Garde" w:hAnsi="ITC Avant Garde"/>
          <w:b w:val="0"/>
          <w:bCs/>
          <w:color w:val="auto"/>
          <w:sz w:val="20"/>
          <w:szCs w:val="20"/>
        </w:rPr>
        <w:t xml:space="preserve">Por lo que refiere a los problemas de compatibilidad, se obtuvo una satisfacción neutral, ya que las </w:t>
      </w:r>
      <w:r w:rsidRPr="00AC6D9E">
        <w:rPr>
          <w:rFonts w:ascii="ITC Avant Garde" w:hAnsi="ITC Avant Garde"/>
          <w:b w:val="0"/>
          <w:bCs/>
          <w:color w:val="auto"/>
          <w:sz w:val="20"/>
          <w:szCs w:val="20"/>
        </w:rPr>
        <w:t>opiniones varían entre rara y ocasionalmente</w:t>
      </w:r>
      <w:r>
        <w:rPr>
          <w:rFonts w:ascii="ITC Avant Garde" w:hAnsi="ITC Avant Garde"/>
          <w:b w:val="0"/>
          <w:bCs/>
          <w:color w:val="auto"/>
          <w:sz w:val="20"/>
          <w:szCs w:val="20"/>
        </w:rPr>
        <w:t xml:space="preserve">, aunque también se obtuvieron datos relacionados con una mayor frecuencia en </w:t>
      </w:r>
      <w:r w:rsidRPr="00AC6D9E">
        <w:rPr>
          <w:rFonts w:ascii="ITC Avant Garde" w:hAnsi="ITC Avant Garde"/>
          <w:b w:val="0"/>
          <w:bCs/>
          <w:color w:val="auto"/>
          <w:sz w:val="20"/>
          <w:szCs w:val="20"/>
        </w:rPr>
        <w:t>encontrar problemas</w:t>
      </w:r>
      <w:r>
        <w:rPr>
          <w:rFonts w:ascii="ITC Avant Garde" w:hAnsi="ITC Avant Garde"/>
          <w:b w:val="0"/>
          <w:bCs/>
          <w:color w:val="auto"/>
          <w:sz w:val="20"/>
          <w:szCs w:val="20"/>
        </w:rPr>
        <w:t>. (Los datos obtenidos se observan en la Tabla 1)</w:t>
      </w:r>
    </w:p>
    <w:p w14:paraId="1A0E6B12" w14:textId="77777777" w:rsidR="0066403F" w:rsidRDefault="0066403F" w:rsidP="0066403F">
      <w:pPr>
        <w:ind w:left="360"/>
        <w:jc w:val="both"/>
        <w:rPr>
          <w:rFonts w:ascii="ITC Avant Garde" w:hAnsi="ITC Avant Garde"/>
          <w:b w:val="0"/>
          <w:bCs/>
          <w:color w:val="auto"/>
          <w:sz w:val="20"/>
          <w:szCs w:val="20"/>
        </w:rPr>
      </w:pPr>
    </w:p>
    <w:p w14:paraId="362E4B29" w14:textId="77777777" w:rsidR="0066403F" w:rsidRPr="00646467" w:rsidRDefault="0066403F" w:rsidP="0066403F">
      <w:pPr>
        <w:ind w:left="360"/>
        <w:jc w:val="both"/>
        <w:rPr>
          <w:rFonts w:ascii="ITC Avant Garde" w:hAnsi="ITC Avant Garde"/>
          <w:b w:val="0"/>
          <w:bCs/>
          <w:color w:val="auto"/>
          <w:sz w:val="20"/>
          <w:szCs w:val="20"/>
        </w:rPr>
      </w:pPr>
      <w:r>
        <w:rPr>
          <w:rFonts w:ascii="Segoe UI" w:eastAsia="Times New Roman" w:hAnsi="Segoe UI" w:cs="Segoe UI"/>
          <w:noProof/>
          <w:sz w:val="21"/>
          <w:szCs w:val="21"/>
          <w:lang w:eastAsia="es-MX"/>
        </w:rPr>
        <w:lastRenderedPageBreak/>
        <w:drawing>
          <wp:inline distT="0" distB="0" distL="0" distR="0" wp14:anchorId="78CD55B1" wp14:editId="6B49BDCE">
            <wp:extent cx="5676900" cy="2407920"/>
            <wp:effectExtent l="0" t="0" r="0" b="11430"/>
            <wp:docPr id="52324786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9063186" w14:textId="77777777" w:rsidR="0066403F" w:rsidRDefault="0066403F" w:rsidP="0066403F">
      <w:pPr>
        <w:ind w:left="360"/>
        <w:jc w:val="both"/>
        <w:rPr>
          <w:rFonts w:ascii="ITC Avant Garde" w:hAnsi="ITC Avant Garde"/>
          <w:b w:val="0"/>
          <w:bCs/>
          <w:color w:val="auto"/>
          <w:sz w:val="20"/>
          <w:szCs w:val="20"/>
        </w:rPr>
      </w:pPr>
      <w:r>
        <w:rPr>
          <w:rFonts w:ascii="ITC Avant Garde" w:hAnsi="ITC Avant Garde"/>
          <w:b w:val="0"/>
          <w:bCs/>
          <w:color w:val="auto"/>
          <w:sz w:val="20"/>
          <w:szCs w:val="20"/>
        </w:rPr>
        <w:t xml:space="preserve"> </w:t>
      </w:r>
    </w:p>
    <w:p w14:paraId="6DA69C0C" w14:textId="77777777" w:rsidR="0066403F" w:rsidRPr="00B64F96" w:rsidRDefault="0066403F" w:rsidP="0066403F">
      <w:pPr>
        <w:ind w:left="360"/>
        <w:jc w:val="both"/>
        <w:rPr>
          <w:rFonts w:ascii="ITC Avant Garde" w:hAnsi="ITC Avant Garde"/>
          <w:color w:val="auto"/>
          <w:sz w:val="22"/>
        </w:rPr>
      </w:pPr>
      <w:r w:rsidRPr="00B64F96">
        <w:rPr>
          <w:rFonts w:ascii="ITC Avant Garde" w:hAnsi="ITC Avant Garde"/>
          <w:color w:val="auto"/>
          <w:sz w:val="22"/>
        </w:rPr>
        <w:t>Eficiencia y productividad</w:t>
      </w:r>
    </w:p>
    <w:p w14:paraId="2BBD654F" w14:textId="77777777" w:rsidR="0066403F" w:rsidRDefault="0066403F" w:rsidP="0066403F">
      <w:pPr>
        <w:ind w:left="360"/>
        <w:jc w:val="both"/>
        <w:rPr>
          <w:rFonts w:ascii="ITC Avant Garde" w:hAnsi="ITC Avant Garde"/>
          <w:color w:val="auto"/>
          <w:sz w:val="20"/>
          <w:szCs w:val="20"/>
        </w:rPr>
      </w:pPr>
    </w:p>
    <w:p w14:paraId="1BE43F60" w14:textId="77777777" w:rsidR="0066403F" w:rsidRPr="005F0C72" w:rsidRDefault="0066403F" w:rsidP="0066403F">
      <w:pPr>
        <w:ind w:left="360"/>
        <w:jc w:val="both"/>
        <w:rPr>
          <w:rFonts w:ascii="ITC Avant Garde" w:hAnsi="ITC Avant Garde"/>
          <w:b w:val="0"/>
          <w:bCs/>
          <w:color w:val="auto"/>
          <w:sz w:val="20"/>
          <w:szCs w:val="20"/>
        </w:rPr>
      </w:pPr>
      <w:r>
        <w:rPr>
          <w:rFonts w:ascii="ITC Avant Garde" w:hAnsi="ITC Avant Garde"/>
          <w:b w:val="0"/>
          <w:bCs/>
          <w:color w:val="auto"/>
          <w:sz w:val="20"/>
          <w:szCs w:val="20"/>
        </w:rPr>
        <w:t>La eficiencia y la productividad resulta ser una variable fundamental, ya que, de acuerdo con la CEPAL</w:t>
      </w:r>
      <w:r>
        <w:rPr>
          <w:rStyle w:val="Refdenotaalpie"/>
          <w:rFonts w:ascii="ITC Avant Garde" w:hAnsi="ITC Avant Garde"/>
          <w:b w:val="0"/>
          <w:bCs/>
          <w:color w:val="auto"/>
          <w:sz w:val="20"/>
          <w:szCs w:val="20"/>
        </w:rPr>
        <w:footnoteReference w:id="15"/>
      </w:r>
      <w:r>
        <w:rPr>
          <w:rFonts w:ascii="ITC Avant Garde" w:hAnsi="ITC Avant Garde"/>
          <w:b w:val="0"/>
          <w:bCs/>
          <w:color w:val="auto"/>
          <w:sz w:val="20"/>
          <w:szCs w:val="20"/>
        </w:rPr>
        <w:t>, su objetivo principal resulta ser la necesidad de elevar la productividad con la ayuda de las TIC y hacer más eficientes los procesos y acciones desarrolladas por la autoridad.</w:t>
      </w:r>
    </w:p>
    <w:p w14:paraId="62B16615" w14:textId="77777777" w:rsidR="0066403F" w:rsidRDefault="0066403F" w:rsidP="0066403F">
      <w:pPr>
        <w:ind w:left="360"/>
        <w:jc w:val="both"/>
        <w:rPr>
          <w:rFonts w:ascii="ITC Avant Garde" w:hAnsi="ITC Avant Garde"/>
          <w:b w:val="0"/>
          <w:bCs/>
          <w:color w:val="auto"/>
          <w:sz w:val="20"/>
          <w:szCs w:val="20"/>
        </w:rPr>
      </w:pPr>
    </w:p>
    <w:p w14:paraId="4AA616D5" w14:textId="77777777" w:rsidR="0066403F" w:rsidRDefault="0066403F" w:rsidP="0066403F">
      <w:pPr>
        <w:ind w:left="360"/>
        <w:jc w:val="both"/>
        <w:rPr>
          <w:rFonts w:ascii="ITC Avant Garde" w:hAnsi="ITC Avant Garde"/>
          <w:b w:val="0"/>
          <w:bCs/>
          <w:color w:val="auto"/>
          <w:sz w:val="20"/>
          <w:szCs w:val="20"/>
        </w:rPr>
      </w:pPr>
      <w:r>
        <w:rPr>
          <w:rFonts w:ascii="ITC Avant Garde" w:hAnsi="ITC Avant Garde"/>
          <w:b w:val="0"/>
          <w:bCs/>
          <w:color w:val="auto"/>
          <w:sz w:val="20"/>
          <w:szCs w:val="20"/>
        </w:rPr>
        <w:t>Respecto a la eficacia y productividad de servicios electrónicos ofrecidos, se realizaron reactivos relacionados con el nivel de satisfacción con la Ventanilla Electrónica, con la facilidad de acceso a los trámites y servicios, la reducción de los gastos operativos, sobre la facilidad para el llenado y presentación de formularios electrónicos, percepción de los tiempos utilizados para cada trámite, solución de problemas técnicos, el uso de la Firma Electrónica Avanzada; utilidad de la funcionalidad “Más trámites y Servicios”,  funcionalidad del tablero electrónico, satisfacción de notificaciones electrónicas, así como al acceso a la información y documentación resguardada.</w:t>
      </w:r>
    </w:p>
    <w:p w14:paraId="60C6D619" w14:textId="77777777" w:rsidR="0066403F" w:rsidRDefault="0066403F" w:rsidP="0066403F">
      <w:pPr>
        <w:ind w:left="360"/>
        <w:jc w:val="both"/>
        <w:rPr>
          <w:rFonts w:ascii="ITC Avant Garde" w:hAnsi="ITC Avant Garde"/>
          <w:b w:val="0"/>
          <w:bCs/>
          <w:color w:val="auto"/>
          <w:sz w:val="20"/>
          <w:szCs w:val="20"/>
        </w:rPr>
      </w:pPr>
    </w:p>
    <w:p w14:paraId="47106C6D" w14:textId="77777777" w:rsidR="0066403F" w:rsidRDefault="0066403F" w:rsidP="0066403F">
      <w:pPr>
        <w:ind w:left="360"/>
        <w:jc w:val="both"/>
        <w:rPr>
          <w:rFonts w:ascii="ITC Avant Garde" w:eastAsia="Times New Roman" w:hAnsi="ITC Avant Garde" w:cs="Segoe UI"/>
          <w:b w:val="0"/>
          <w:bCs/>
          <w:sz w:val="20"/>
          <w:szCs w:val="20"/>
          <w:lang w:eastAsia="es-MX"/>
        </w:rPr>
      </w:pPr>
      <w:r>
        <w:rPr>
          <w:rFonts w:ascii="ITC Avant Garde" w:hAnsi="ITC Avant Garde"/>
          <w:b w:val="0"/>
          <w:bCs/>
          <w:color w:val="auto"/>
          <w:sz w:val="20"/>
          <w:szCs w:val="20"/>
        </w:rPr>
        <w:t xml:space="preserve">En relación con la satisfacción del uso de la Ventanilla Electrónica, en general </w:t>
      </w:r>
      <w:r>
        <w:rPr>
          <w:rFonts w:ascii="ITC Avant Garde" w:eastAsia="Times New Roman" w:hAnsi="ITC Avant Garde" w:cs="Segoe UI"/>
          <w:b w:val="0"/>
          <w:bCs/>
          <w:sz w:val="20"/>
          <w:szCs w:val="20"/>
          <w:lang w:eastAsia="es-MX"/>
        </w:rPr>
        <w:t>l</w:t>
      </w:r>
      <w:r w:rsidRPr="008775D2">
        <w:rPr>
          <w:rFonts w:ascii="ITC Avant Garde" w:eastAsia="Times New Roman" w:hAnsi="ITC Avant Garde" w:cs="Segoe UI"/>
          <w:b w:val="0"/>
          <w:bCs/>
          <w:sz w:val="20"/>
          <w:szCs w:val="20"/>
          <w:lang w:eastAsia="es-MX"/>
        </w:rPr>
        <w:t>a mayoría de l</w:t>
      </w:r>
      <w:r>
        <w:rPr>
          <w:rFonts w:ascii="ITC Avant Garde" w:eastAsia="Times New Roman" w:hAnsi="ITC Avant Garde" w:cs="Segoe UI"/>
          <w:b w:val="0"/>
          <w:bCs/>
          <w:sz w:val="20"/>
          <w:szCs w:val="20"/>
          <w:lang w:eastAsia="es-MX"/>
        </w:rPr>
        <w:t>as personas</w:t>
      </w:r>
      <w:r w:rsidRPr="008775D2">
        <w:rPr>
          <w:rFonts w:ascii="ITC Avant Garde" w:eastAsia="Times New Roman" w:hAnsi="ITC Avant Garde" w:cs="Segoe UI"/>
          <w:b w:val="0"/>
          <w:bCs/>
          <w:sz w:val="20"/>
          <w:szCs w:val="20"/>
          <w:lang w:eastAsia="es-MX"/>
        </w:rPr>
        <w:t xml:space="preserve"> participantes se sienten satisfech</w:t>
      </w:r>
      <w:r>
        <w:rPr>
          <w:rFonts w:ascii="ITC Avant Garde" w:eastAsia="Times New Roman" w:hAnsi="ITC Avant Garde" w:cs="Segoe UI"/>
          <w:b w:val="0"/>
          <w:bCs/>
          <w:sz w:val="20"/>
          <w:szCs w:val="20"/>
          <w:lang w:eastAsia="es-MX"/>
        </w:rPr>
        <w:t>a</w:t>
      </w:r>
      <w:r w:rsidRPr="008775D2">
        <w:rPr>
          <w:rFonts w:ascii="ITC Avant Garde" w:eastAsia="Times New Roman" w:hAnsi="ITC Avant Garde" w:cs="Segoe UI"/>
          <w:b w:val="0"/>
          <w:bCs/>
          <w:sz w:val="20"/>
          <w:szCs w:val="20"/>
          <w:lang w:eastAsia="es-MX"/>
        </w:rPr>
        <w:t>s o muy satisfech</w:t>
      </w:r>
      <w:r>
        <w:rPr>
          <w:rFonts w:ascii="ITC Avant Garde" w:eastAsia="Times New Roman" w:hAnsi="ITC Avant Garde" w:cs="Segoe UI"/>
          <w:b w:val="0"/>
          <w:bCs/>
          <w:sz w:val="20"/>
          <w:szCs w:val="20"/>
          <w:lang w:eastAsia="es-MX"/>
        </w:rPr>
        <w:t>a</w:t>
      </w:r>
      <w:r w:rsidRPr="008775D2">
        <w:rPr>
          <w:rFonts w:ascii="ITC Avant Garde" w:eastAsia="Times New Roman" w:hAnsi="ITC Avant Garde" w:cs="Segoe UI"/>
          <w:b w:val="0"/>
          <w:bCs/>
          <w:sz w:val="20"/>
          <w:szCs w:val="20"/>
          <w:lang w:eastAsia="es-MX"/>
        </w:rPr>
        <w:t>s, aunque hay algunas opiniones neutrales y una insatisfecha.</w:t>
      </w:r>
      <w:r>
        <w:rPr>
          <w:rFonts w:ascii="ITC Avant Garde" w:eastAsia="Times New Roman" w:hAnsi="ITC Avant Garde" w:cs="Segoe UI"/>
          <w:b w:val="0"/>
          <w:bCs/>
          <w:sz w:val="20"/>
          <w:szCs w:val="20"/>
          <w:lang w:eastAsia="es-MX"/>
        </w:rPr>
        <w:t xml:space="preserve"> (</w:t>
      </w:r>
      <w:r>
        <w:rPr>
          <w:rFonts w:ascii="ITC Avant Garde" w:hAnsi="ITC Avant Garde"/>
          <w:b w:val="0"/>
          <w:bCs/>
          <w:color w:val="auto"/>
          <w:sz w:val="20"/>
          <w:szCs w:val="20"/>
        </w:rPr>
        <w:t>Los datos obtenidos se observan en la Tabla 2</w:t>
      </w:r>
      <w:r>
        <w:rPr>
          <w:rFonts w:ascii="ITC Avant Garde" w:eastAsia="Times New Roman" w:hAnsi="ITC Avant Garde" w:cs="Segoe UI"/>
          <w:b w:val="0"/>
          <w:bCs/>
          <w:sz w:val="20"/>
          <w:szCs w:val="20"/>
          <w:lang w:eastAsia="es-MX"/>
        </w:rPr>
        <w:t>)</w:t>
      </w:r>
    </w:p>
    <w:p w14:paraId="5C1C684A" w14:textId="77777777" w:rsidR="0066403F" w:rsidRPr="008775D2" w:rsidRDefault="0066403F" w:rsidP="0066403F">
      <w:pPr>
        <w:ind w:left="360"/>
        <w:jc w:val="both"/>
        <w:rPr>
          <w:rFonts w:ascii="ITC Avant Garde" w:eastAsia="Times New Roman" w:hAnsi="ITC Avant Garde" w:cs="Segoe UI"/>
          <w:b w:val="0"/>
          <w:bCs/>
          <w:sz w:val="20"/>
          <w:szCs w:val="20"/>
          <w:lang w:eastAsia="es-MX"/>
        </w:rPr>
      </w:pPr>
    </w:p>
    <w:p w14:paraId="48D9BECA" w14:textId="77777777" w:rsidR="0066403F" w:rsidRDefault="0066403F" w:rsidP="0066403F">
      <w:pPr>
        <w:ind w:left="360"/>
        <w:jc w:val="both"/>
        <w:rPr>
          <w:rFonts w:ascii="ITC Avant Garde" w:hAnsi="ITC Avant Garde"/>
          <w:b w:val="0"/>
          <w:bCs/>
          <w:color w:val="auto"/>
          <w:sz w:val="20"/>
          <w:szCs w:val="20"/>
        </w:rPr>
      </w:pPr>
      <w:r>
        <w:rPr>
          <w:rFonts w:ascii="ITC Avant Garde" w:hAnsi="ITC Avant Garde"/>
          <w:b w:val="0"/>
          <w:bCs/>
          <w:color w:val="auto"/>
          <w:sz w:val="20"/>
          <w:szCs w:val="20"/>
        </w:rPr>
        <w:t xml:space="preserve">Respecto a la satisfacción de los problemas técnicos, se tiene nivel </w:t>
      </w:r>
      <w:r w:rsidRPr="0034736C">
        <w:rPr>
          <w:rFonts w:ascii="ITC Avant Garde" w:hAnsi="ITC Avant Garde"/>
          <w:b w:val="0"/>
          <w:bCs/>
          <w:color w:val="auto"/>
          <w:sz w:val="20"/>
          <w:szCs w:val="20"/>
        </w:rPr>
        <w:t>neutral</w:t>
      </w:r>
      <w:r>
        <w:rPr>
          <w:rFonts w:ascii="ITC Avant Garde" w:hAnsi="ITC Avant Garde"/>
          <w:b w:val="0"/>
          <w:bCs/>
          <w:color w:val="auto"/>
          <w:sz w:val="20"/>
          <w:szCs w:val="20"/>
        </w:rPr>
        <w:t>, ya que las</w:t>
      </w:r>
      <w:r w:rsidRPr="0034736C">
        <w:rPr>
          <w:rFonts w:ascii="ITC Avant Garde" w:hAnsi="ITC Avant Garde"/>
          <w:b w:val="0"/>
          <w:bCs/>
          <w:color w:val="auto"/>
          <w:sz w:val="20"/>
          <w:szCs w:val="20"/>
        </w:rPr>
        <w:t xml:space="preserve"> opiniones están divididas entre satisfechos, neutrales e insatisfechos.</w:t>
      </w:r>
      <w:r>
        <w:rPr>
          <w:rFonts w:ascii="ITC Avant Garde" w:hAnsi="ITC Avant Garde"/>
          <w:b w:val="0"/>
          <w:bCs/>
          <w:color w:val="auto"/>
          <w:sz w:val="20"/>
          <w:szCs w:val="20"/>
        </w:rPr>
        <w:t xml:space="preserve"> </w:t>
      </w:r>
      <w:r>
        <w:rPr>
          <w:rFonts w:ascii="ITC Avant Garde" w:eastAsia="Times New Roman" w:hAnsi="ITC Avant Garde" w:cs="Segoe UI"/>
          <w:b w:val="0"/>
          <w:bCs/>
          <w:sz w:val="20"/>
          <w:szCs w:val="20"/>
          <w:lang w:eastAsia="es-MX"/>
        </w:rPr>
        <w:t>(</w:t>
      </w:r>
      <w:r>
        <w:rPr>
          <w:rFonts w:ascii="ITC Avant Garde" w:hAnsi="ITC Avant Garde"/>
          <w:b w:val="0"/>
          <w:bCs/>
          <w:color w:val="auto"/>
          <w:sz w:val="20"/>
          <w:szCs w:val="20"/>
        </w:rPr>
        <w:t>Los datos obtenidos se observan en la Tabla 2</w:t>
      </w:r>
      <w:r>
        <w:rPr>
          <w:rFonts w:ascii="ITC Avant Garde" w:eastAsia="Times New Roman" w:hAnsi="ITC Avant Garde" w:cs="Segoe UI"/>
          <w:b w:val="0"/>
          <w:bCs/>
          <w:sz w:val="20"/>
          <w:szCs w:val="20"/>
          <w:lang w:eastAsia="es-MX"/>
        </w:rPr>
        <w:t>)</w:t>
      </w:r>
    </w:p>
    <w:p w14:paraId="64793867" w14:textId="77777777" w:rsidR="0066403F" w:rsidRDefault="0066403F" w:rsidP="0066403F">
      <w:pPr>
        <w:ind w:left="360"/>
        <w:jc w:val="both"/>
        <w:rPr>
          <w:rFonts w:ascii="ITC Avant Garde" w:hAnsi="ITC Avant Garde"/>
          <w:b w:val="0"/>
          <w:bCs/>
          <w:color w:val="auto"/>
          <w:sz w:val="20"/>
          <w:szCs w:val="20"/>
        </w:rPr>
      </w:pPr>
    </w:p>
    <w:p w14:paraId="1975AC46" w14:textId="77777777" w:rsidR="0066403F" w:rsidRDefault="0066403F" w:rsidP="0066403F">
      <w:pPr>
        <w:ind w:left="360"/>
        <w:jc w:val="both"/>
        <w:rPr>
          <w:rFonts w:ascii="ITC Avant Garde" w:eastAsia="Times New Roman" w:hAnsi="ITC Avant Garde" w:cs="Segoe UI"/>
          <w:b w:val="0"/>
          <w:bCs/>
          <w:sz w:val="20"/>
          <w:szCs w:val="20"/>
          <w:lang w:eastAsia="es-MX"/>
        </w:rPr>
      </w:pPr>
      <w:r>
        <w:rPr>
          <w:rFonts w:ascii="ITC Avant Garde" w:hAnsi="ITC Avant Garde"/>
          <w:b w:val="0"/>
          <w:bCs/>
          <w:color w:val="auto"/>
          <w:sz w:val="20"/>
          <w:szCs w:val="20"/>
        </w:rPr>
        <w:t xml:space="preserve">Específicamente, la satisfacción del uso de Firma Electrónica Avanzada </w:t>
      </w:r>
      <w:r w:rsidRPr="008775D2">
        <w:rPr>
          <w:rFonts w:ascii="ITC Avant Garde" w:eastAsia="Times New Roman" w:hAnsi="ITC Avant Garde" w:cs="Segoe UI"/>
          <w:b w:val="0"/>
          <w:bCs/>
          <w:sz w:val="20"/>
          <w:szCs w:val="20"/>
          <w:lang w:eastAsia="es-MX"/>
        </w:rPr>
        <w:t>tiene un nivel de satisfacción bajo</w:t>
      </w:r>
      <w:r>
        <w:rPr>
          <w:rFonts w:ascii="ITC Avant Garde" w:eastAsia="Times New Roman" w:hAnsi="ITC Avant Garde" w:cs="Segoe UI"/>
          <w:b w:val="0"/>
          <w:bCs/>
          <w:sz w:val="20"/>
          <w:szCs w:val="20"/>
          <w:lang w:eastAsia="es-MX"/>
        </w:rPr>
        <w:t xml:space="preserve">, </w:t>
      </w:r>
      <w:r w:rsidRPr="008775D2">
        <w:rPr>
          <w:rFonts w:ascii="ITC Avant Garde" w:eastAsia="Times New Roman" w:hAnsi="ITC Avant Garde" w:cs="Segoe UI"/>
          <w:b w:val="0"/>
          <w:bCs/>
          <w:sz w:val="20"/>
          <w:szCs w:val="20"/>
          <w:lang w:eastAsia="es-MX"/>
        </w:rPr>
        <w:t>mayoría de los participantes están insatisfechos o muy insatisfechos con el uso de la firma electrónica avanzada</w:t>
      </w:r>
      <w:r w:rsidRPr="0034736C">
        <w:rPr>
          <w:rFonts w:ascii="ITC Avant Garde" w:hAnsi="ITC Avant Garde"/>
          <w:b w:val="0"/>
          <w:bCs/>
          <w:color w:val="auto"/>
          <w:sz w:val="20"/>
          <w:szCs w:val="20"/>
        </w:rPr>
        <w:t>.</w:t>
      </w:r>
      <w:r>
        <w:rPr>
          <w:rFonts w:ascii="ITC Avant Garde" w:hAnsi="ITC Avant Garde"/>
          <w:b w:val="0"/>
          <w:bCs/>
          <w:color w:val="auto"/>
          <w:sz w:val="20"/>
          <w:szCs w:val="20"/>
        </w:rPr>
        <w:t xml:space="preserve"> </w:t>
      </w:r>
      <w:r>
        <w:rPr>
          <w:rFonts w:ascii="ITC Avant Garde" w:eastAsia="Times New Roman" w:hAnsi="ITC Avant Garde" w:cs="Segoe UI"/>
          <w:b w:val="0"/>
          <w:bCs/>
          <w:sz w:val="20"/>
          <w:szCs w:val="20"/>
          <w:lang w:eastAsia="es-MX"/>
        </w:rPr>
        <w:t>(</w:t>
      </w:r>
      <w:r>
        <w:rPr>
          <w:rFonts w:ascii="ITC Avant Garde" w:hAnsi="ITC Avant Garde"/>
          <w:b w:val="0"/>
          <w:bCs/>
          <w:color w:val="auto"/>
          <w:sz w:val="20"/>
          <w:szCs w:val="20"/>
        </w:rPr>
        <w:t>Los datos obtenidos se observan en la Tabla 2</w:t>
      </w:r>
      <w:r>
        <w:rPr>
          <w:rFonts w:ascii="ITC Avant Garde" w:eastAsia="Times New Roman" w:hAnsi="ITC Avant Garde" w:cs="Segoe UI"/>
          <w:b w:val="0"/>
          <w:bCs/>
          <w:sz w:val="20"/>
          <w:szCs w:val="20"/>
          <w:lang w:eastAsia="es-MX"/>
        </w:rPr>
        <w:t>)</w:t>
      </w:r>
    </w:p>
    <w:p w14:paraId="525EBFA3" w14:textId="77777777" w:rsidR="0066403F" w:rsidRDefault="0066403F" w:rsidP="0066403F">
      <w:pPr>
        <w:ind w:left="360"/>
        <w:jc w:val="both"/>
        <w:rPr>
          <w:rFonts w:ascii="ITC Avant Garde" w:hAnsi="ITC Avant Garde"/>
          <w:b w:val="0"/>
          <w:bCs/>
          <w:color w:val="auto"/>
          <w:sz w:val="20"/>
          <w:szCs w:val="20"/>
        </w:rPr>
      </w:pPr>
    </w:p>
    <w:p w14:paraId="17EAB1A0" w14:textId="77777777" w:rsidR="0066403F" w:rsidRDefault="0066403F" w:rsidP="0066403F">
      <w:pPr>
        <w:ind w:left="360"/>
        <w:jc w:val="both"/>
        <w:rPr>
          <w:rFonts w:ascii="ITC Avant Garde" w:eastAsia="Times New Roman" w:hAnsi="ITC Avant Garde" w:cs="Segoe UI"/>
          <w:b w:val="0"/>
          <w:bCs/>
          <w:sz w:val="20"/>
          <w:szCs w:val="20"/>
          <w:lang w:eastAsia="es-MX"/>
        </w:rPr>
      </w:pPr>
      <w:r>
        <w:rPr>
          <w:rFonts w:ascii="ITC Avant Garde" w:hAnsi="ITC Avant Garde"/>
          <w:b w:val="0"/>
          <w:bCs/>
          <w:color w:val="auto"/>
          <w:sz w:val="20"/>
          <w:szCs w:val="20"/>
        </w:rPr>
        <w:lastRenderedPageBreak/>
        <w:t>Sobre la satisfacción al a</w:t>
      </w:r>
      <w:r w:rsidRPr="008374D0">
        <w:rPr>
          <w:rFonts w:ascii="ITC Avant Garde" w:hAnsi="ITC Avant Garde"/>
          <w:b w:val="0"/>
          <w:bCs/>
          <w:color w:val="auto"/>
          <w:sz w:val="20"/>
          <w:szCs w:val="20"/>
        </w:rPr>
        <w:t>cceso a la información y documentación resguardada, se tiene un nivel alto, ya que la mayoría está satisfecha con el acceso a la información.</w:t>
      </w:r>
      <w:r>
        <w:rPr>
          <w:rFonts w:ascii="ITC Avant Garde" w:hAnsi="ITC Avant Garde"/>
          <w:b w:val="0"/>
          <w:bCs/>
          <w:color w:val="auto"/>
          <w:sz w:val="20"/>
          <w:szCs w:val="20"/>
        </w:rPr>
        <w:t xml:space="preserve"> </w:t>
      </w:r>
      <w:r w:rsidRPr="008374D0">
        <w:rPr>
          <w:rFonts w:ascii="ITC Avant Garde" w:hAnsi="ITC Avant Garde"/>
          <w:b w:val="0"/>
          <w:bCs/>
          <w:color w:val="auto"/>
          <w:sz w:val="20"/>
          <w:szCs w:val="20"/>
        </w:rPr>
        <w:t>(</w:t>
      </w:r>
      <w:r>
        <w:rPr>
          <w:rFonts w:ascii="ITC Avant Garde" w:hAnsi="ITC Avant Garde"/>
          <w:b w:val="0"/>
          <w:bCs/>
          <w:color w:val="auto"/>
          <w:sz w:val="20"/>
          <w:szCs w:val="20"/>
        </w:rPr>
        <w:t>Los datos obtenidos se observan en la Tabla 2</w:t>
      </w:r>
      <w:r>
        <w:rPr>
          <w:rFonts w:ascii="ITC Avant Garde" w:eastAsia="Times New Roman" w:hAnsi="ITC Avant Garde" w:cs="Segoe UI"/>
          <w:b w:val="0"/>
          <w:bCs/>
          <w:sz w:val="20"/>
          <w:szCs w:val="20"/>
          <w:lang w:eastAsia="es-MX"/>
        </w:rPr>
        <w:t>)</w:t>
      </w:r>
    </w:p>
    <w:p w14:paraId="21ACFFB3" w14:textId="77777777" w:rsidR="0066403F" w:rsidRDefault="0066403F" w:rsidP="0066403F">
      <w:pPr>
        <w:ind w:left="360"/>
        <w:jc w:val="both"/>
        <w:rPr>
          <w:rFonts w:ascii="ITC Avant Garde" w:eastAsia="Times New Roman" w:hAnsi="ITC Avant Garde" w:cs="Segoe UI"/>
          <w:b w:val="0"/>
          <w:bCs/>
          <w:sz w:val="20"/>
          <w:szCs w:val="20"/>
          <w:lang w:eastAsia="es-MX"/>
        </w:rPr>
      </w:pPr>
    </w:p>
    <w:p w14:paraId="04DA2ED4" w14:textId="77777777" w:rsidR="0066403F" w:rsidRDefault="0066403F" w:rsidP="0066403F">
      <w:pPr>
        <w:ind w:left="360"/>
        <w:jc w:val="both"/>
        <w:rPr>
          <w:rFonts w:ascii="ITC Avant Garde" w:eastAsia="Times New Roman" w:hAnsi="ITC Avant Garde" w:cs="Segoe UI"/>
          <w:b w:val="0"/>
          <w:bCs/>
          <w:sz w:val="20"/>
          <w:szCs w:val="20"/>
          <w:lang w:eastAsia="es-MX"/>
        </w:rPr>
      </w:pPr>
      <w:r>
        <w:rPr>
          <w:rFonts w:ascii="ITC Avant Garde" w:eastAsia="Times New Roman" w:hAnsi="ITC Avant Garde" w:cs="Segoe UI"/>
          <w:b w:val="0"/>
          <w:bCs/>
          <w:sz w:val="20"/>
          <w:szCs w:val="20"/>
          <w:lang w:eastAsia="es-MX"/>
        </w:rPr>
        <w:t>Respecto a la funcionalidad de</w:t>
      </w:r>
      <w:r w:rsidRPr="008775D2">
        <w:rPr>
          <w:rFonts w:ascii="ITC Avant Garde" w:eastAsia="Times New Roman" w:hAnsi="ITC Avant Garde" w:cs="Segoe UI"/>
          <w:b w:val="0"/>
          <w:bCs/>
          <w:sz w:val="20"/>
          <w:szCs w:val="20"/>
          <w:lang w:eastAsia="es-MX"/>
        </w:rPr>
        <w:t>l Tablero Electrónico</w:t>
      </w:r>
      <w:r>
        <w:rPr>
          <w:rFonts w:ascii="ITC Avant Garde" w:eastAsia="Times New Roman" w:hAnsi="ITC Avant Garde" w:cs="Segoe UI"/>
          <w:b w:val="0"/>
          <w:bCs/>
          <w:sz w:val="20"/>
          <w:szCs w:val="20"/>
          <w:lang w:eastAsia="es-MX"/>
        </w:rPr>
        <w:t xml:space="preserve">, se tiene </w:t>
      </w:r>
      <w:r w:rsidRPr="008775D2">
        <w:rPr>
          <w:rFonts w:ascii="ITC Avant Garde" w:eastAsia="Times New Roman" w:hAnsi="ITC Avant Garde" w:cs="Segoe UI"/>
          <w:b w:val="0"/>
          <w:bCs/>
          <w:sz w:val="20"/>
          <w:szCs w:val="20"/>
          <w:lang w:eastAsia="es-MX"/>
        </w:rPr>
        <w:t>un nivel de satisfacción neutral</w:t>
      </w:r>
      <w:r>
        <w:rPr>
          <w:rFonts w:ascii="ITC Avant Garde" w:eastAsia="Times New Roman" w:hAnsi="ITC Avant Garde" w:cs="Segoe UI"/>
          <w:b w:val="0"/>
          <w:bCs/>
          <w:sz w:val="20"/>
          <w:szCs w:val="20"/>
          <w:lang w:eastAsia="es-MX"/>
        </w:rPr>
        <w:t>, ya que las</w:t>
      </w:r>
      <w:r w:rsidRPr="008775D2">
        <w:rPr>
          <w:rFonts w:ascii="ITC Avant Garde" w:eastAsia="Times New Roman" w:hAnsi="ITC Avant Garde" w:cs="Segoe UI"/>
          <w:b w:val="0"/>
          <w:bCs/>
          <w:sz w:val="20"/>
          <w:szCs w:val="20"/>
          <w:lang w:eastAsia="es-MX"/>
        </w:rPr>
        <w:t xml:space="preserve"> opiniones están divididas entre satisfechos, neutrales e insatisfechos.</w:t>
      </w:r>
      <w:r>
        <w:rPr>
          <w:rFonts w:ascii="ITC Avant Garde" w:eastAsia="Times New Roman" w:hAnsi="ITC Avant Garde" w:cs="Segoe UI"/>
          <w:b w:val="0"/>
          <w:bCs/>
          <w:sz w:val="20"/>
          <w:szCs w:val="20"/>
          <w:lang w:eastAsia="es-MX"/>
        </w:rPr>
        <w:t xml:space="preserve"> </w:t>
      </w:r>
      <w:r w:rsidRPr="008374D0">
        <w:rPr>
          <w:rFonts w:ascii="ITC Avant Garde" w:hAnsi="ITC Avant Garde"/>
          <w:b w:val="0"/>
          <w:bCs/>
          <w:color w:val="auto"/>
          <w:sz w:val="20"/>
          <w:szCs w:val="20"/>
        </w:rPr>
        <w:t>(</w:t>
      </w:r>
      <w:r>
        <w:rPr>
          <w:rFonts w:ascii="ITC Avant Garde" w:hAnsi="ITC Avant Garde"/>
          <w:b w:val="0"/>
          <w:bCs/>
          <w:color w:val="auto"/>
          <w:sz w:val="20"/>
          <w:szCs w:val="20"/>
        </w:rPr>
        <w:t>Los datos obtenidos se observan en la Tabla 2</w:t>
      </w:r>
      <w:r>
        <w:rPr>
          <w:rFonts w:ascii="ITC Avant Garde" w:eastAsia="Times New Roman" w:hAnsi="ITC Avant Garde" w:cs="Segoe UI"/>
          <w:b w:val="0"/>
          <w:bCs/>
          <w:sz w:val="20"/>
          <w:szCs w:val="20"/>
          <w:lang w:eastAsia="es-MX"/>
        </w:rPr>
        <w:t>)</w:t>
      </w:r>
    </w:p>
    <w:p w14:paraId="4143225A" w14:textId="77777777" w:rsidR="0066403F" w:rsidRDefault="0066403F" w:rsidP="0066403F">
      <w:pPr>
        <w:ind w:left="360"/>
        <w:jc w:val="both"/>
        <w:rPr>
          <w:rFonts w:ascii="ITC Avant Garde" w:eastAsia="Times New Roman" w:hAnsi="ITC Avant Garde" w:cs="Segoe UI"/>
          <w:b w:val="0"/>
          <w:bCs/>
          <w:sz w:val="20"/>
          <w:szCs w:val="20"/>
          <w:lang w:eastAsia="es-MX"/>
        </w:rPr>
      </w:pPr>
    </w:p>
    <w:p w14:paraId="4789BE65" w14:textId="77777777" w:rsidR="0066403F" w:rsidRDefault="0066403F" w:rsidP="0066403F">
      <w:pPr>
        <w:ind w:left="360"/>
        <w:jc w:val="both"/>
        <w:rPr>
          <w:rFonts w:ascii="ITC Avant Garde" w:hAnsi="ITC Avant Garde"/>
          <w:b w:val="0"/>
          <w:bCs/>
          <w:color w:val="auto"/>
          <w:sz w:val="20"/>
          <w:szCs w:val="20"/>
        </w:rPr>
      </w:pPr>
      <w:r>
        <w:rPr>
          <w:rFonts w:ascii="ITC Avant Garde" w:eastAsia="Times New Roman" w:hAnsi="ITC Avant Garde" w:cs="Segoe UI"/>
          <w:b w:val="0"/>
          <w:bCs/>
          <w:sz w:val="20"/>
          <w:szCs w:val="20"/>
          <w:lang w:eastAsia="es-MX"/>
        </w:rPr>
        <w:t xml:space="preserve"> En relación con la s</w:t>
      </w:r>
      <w:r w:rsidRPr="007A4E18">
        <w:rPr>
          <w:rFonts w:ascii="ITC Avant Garde" w:eastAsia="Times New Roman" w:hAnsi="ITC Avant Garde" w:cs="Segoe UI"/>
          <w:b w:val="0"/>
          <w:bCs/>
          <w:sz w:val="20"/>
          <w:szCs w:val="20"/>
          <w:lang w:eastAsia="es-MX"/>
        </w:rPr>
        <w:t>atisfacción de las notificaciones electrónica</w:t>
      </w:r>
      <w:r>
        <w:rPr>
          <w:rFonts w:ascii="ITC Avant Garde" w:eastAsia="Times New Roman" w:hAnsi="ITC Avant Garde" w:cs="Segoe UI"/>
          <w:b w:val="0"/>
          <w:bCs/>
          <w:sz w:val="20"/>
          <w:szCs w:val="20"/>
          <w:lang w:eastAsia="es-MX"/>
        </w:rPr>
        <w:t>s, se obtuvo un nivel ne</w:t>
      </w:r>
      <w:r w:rsidRPr="008775D2">
        <w:rPr>
          <w:rFonts w:ascii="ITC Avant Garde" w:eastAsia="Times New Roman" w:hAnsi="ITC Avant Garde" w:cs="Segoe UI"/>
          <w:b w:val="0"/>
          <w:bCs/>
          <w:sz w:val="20"/>
          <w:szCs w:val="20"/>
          <w:lang w:eastAsia="es-MX"/>
        </w:rPr>
        <w:t>utral. Las opiniones están divididas entre satisfechos, neutrales e insatisfechos.</w:t>
      </w:r>
      <w:r w:rsidRPr="007A4E18">
        <w:rPr>
          <w:rFonts w:ascii="ITC Avant Garde" w:hAnsi="ITC Avant Garde"/>
          <w:b w:val="0"/>
          <w:bCs/>
          <w:color w:val="auto"/>
          <w:sz w:val="20"/>
          <w:szCs w:val="20"/>
        </w:rPr>
        <w:t xml:space="preserve"> </w:t>
      </w:r>
      <w:r w:rsidRPr="008374D0">
        <w:rPr>
          <w:rFonts w:ascii="ITC Avant Garde" w:hAnsi="ITC Avant Garde"/>
          <w:b w:val="0"/>
          <w:bCs/>
          <w:color w:val="auto"/>
          <w:sz w:val="20"/>
          <w:szCs w:val="20"/>
        </w:rPr>
        <w:t>(</w:t>
      </w:r>
      <w:r>
        <w:rPr>
          <w:rFonts w:ascii="ITC Avant Garde" w:hAnsi="ITC Avant Garde"/>
          <w:b w:val="0"/>
          <w:bCs/>
          <w:color w:val="auto"/>
          <w:sz w:val="20"/>
          <w:szCs w:val="20"/>
        </w:rPr>
        <w:t>Los datos obtenidos se observan en la Tabla 2</w:t>
      </w:r>
      <w:r>
        <w:rPr>
          <w:rFonts w:ascii="ITC Avant Garde" w:eastAsia="Times New Roman" w:hAnsi="ITC Avant Garde" w:cs="Segoe UI"/>
          <w:b w:val="0"/>
          <w:bCs/>
          <w:sz w:val="20"/>
          <w:szCs w:val="20"/>
          <w:lang w:eastAsia="es-MX"/>
        </w:rPr>
        <w:t>)</w:t>
      </w:r>
    </w:p>
    <w:p w14:paraId="0A5A1185" w14:textId="77777777" w:rsidR="0066403F" w:rsidRDefault="0066403F" w:rsidP="0066403F">
      <w:pPr>
        <w:ind w:left="360"/>
        <w:jc w:val="both"/>
        <w:rPr>
          <w:rFonts w:ascii="ITC Avant Garde" w:hAnsi="ITC Avant Garde"/>
          <w:b w:val="0"/>
          <w:bCs/>
          <w:color w:val="auto"/>
          <w:sz w:val="20"/>
          <w:szCs w:val="20"/>
        </w:rPr>
      </w:pPr>
    </w:p>
    <w:p w14:paraId="3C5ED337" w14:textId="77777777" w:rsidR="0066403F" w:rsidRDefault="0066403F" w:rsidP="0066403F">
      <w:pPr>
        <w:ind w:left="360"/>
        <w:jc w:val="both"/>
        <w:rPr>
          <w:rFonts w:ascii="ITC Avant Garde" w:hAnsi="ITC Avant Garde"/>
          <w:b w:val="0"/>
          <w:bCs/>
          <w:color w:val="auto"/>
          <w:sz w:val="20"/>
          <w:szCs w:val="20"/>
        </w:rPr>
      </w:pPr>
      <w:r>
        <w:rPr>
          <w:rFonts w:ascii="Segoe UI" w:eastAsia="Times New Roman" w:hAnsi="Segoe UI" w:cs="Segoe UI"/>
          <w:noProof/>
          <w:sz w:val="21"/>
          <w:szCs w:val="21"/>
          <w:lang w:eastAsia="es-MX"/>
        </w:rPr>
        <w:drawing>
          <wp:inline distT="0" distB="0" distL="0" distR="0" wp14:anchorId="3294EED2" wp14:editId="169ABDF1">
            <wp:extent cx="5562600" cy="2943225"/>
            <wp:effectExtent l="0" t="0" r="0" b="9525"/>
            <wp:docPr id="101368024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ITC Avant Garde" w:hAnsi="ITC Avant Garde"/>
          <w:b w:val="0"/>
          <w:bCs/>
          <w:color w:val="auto"/>
          <w:sz w:val="20"/>
          <w:szCs w:val="20"/>
        </w:rPr>
        <w:t xml:space="preserve"> </w:t>
      </w:r>
    </w:p>
    <w:p w14:paraId="1CD9ABCA" w14:textId="77777777" w:rsidR="0066403F" w:rsidRDefault="0066403F" w:rsidP="0066403F">
      <w:pPr>
        <w:ind w:left="360"/>
        <w:jc w:val="both"/>
        <w:rPr>
          <w:rFonts w:ascii="ITC Avant Garde" w:hAnsi="ITC Avant Garde"/>
          <w:b w:val="0"/>
          <w:bCs/>
          <w:color w:val="auto"/>
          <w:sz w:val="20"/>
          <w:szCs w:val="20"/>
        </w:rPr>
      </w:pPr>
    </w:p>
    <w:p w14:paraId="65A030CF" w14:textId="77777777" w:rsidR="0066403F" w:rsidRDefault="0066403F" w:rsidP="0066403F">
      <w:pPr>
        <w:ind w:left="360"/>
        <w:jc w:val="both"/>
        <w:rPr>
          <w:rFonts w:ascii="ITC Avant Garde" w:hAnsi="ITC Avant Garde"/>
          <w:b w:val="0"/>
          <w:bCs/>
          <w:color w:val="auto"/>
          <w:sz w:val="20"/>
          <w:szCs w:val="20"/>
        </w:rPr>
      </w:pPr>
      <w:r>
        <w:rPr>
          <w:rFonts w:ascii="ITC Avant Garde" w:hAnsi="ITC Avant Garde"/>
          <w:b w:val="0"/>
          <w:bCs/>
          <w:color w:val="auto"/>
          <w:sz w:val="20"/>
          <w:szCs w:val="20"/>
        </w:rPr>
        <w:t>También se analizó la facilidad de los servicios ofrecidos respecto a la ventanilla electrónica relacionados con el acceso a los trámites y servicios, completar y presentar formularios electrónicos, así como para la obtención de las copias certificadas.</w:t>
      </w:r>
    </w:p>
    <w:p w14:paraId="4D7D5987" w14:textId="77777777" w:rsidR="0066403F" w:rsidRDefault="0066403F" w:rsidP="0066403F">
      <w:pPr>
        <w:ind w:left="360"/>
        <w:jc w:val="both"/>
        <w:rPr>
          <w:rFonts w:ascii="ITC Avant Garde" w:hAnsi="ITC Avant Garde"/>
          <w:b w:val="0"/>
          <w:bCs/>
          <w:color w:val="auto"/>
          <w:sz w:val="20"/>
          <w:szCs w:val="20"/>
        </w:rPr>
      </w:pPr>
    </w:p>
    <w:p w14:paraId="5CE07233" w14:textId="77777777" w:rsidR="0066403F" w:rsidRDefault="0066403F" w:rsidP="0066403F">
      <w:pPr>
        <w:ind w:left="360"/>
        <w:jc w:val="both"/>
        <w:rPr>
          <w:rFonts w:ascii="ITC Avant Garde" w:hAnsi="ITC Avant Garde"/>
          <w:b w:val="0"/>
          <w:bCs/>
          <w:color w:val="auto"/>
          <w:sz w:val="20"/>
          <w:szCs w:val="20"/>
        </w:rPr>
      </w:pPr>
      <w:r>
        <w:rPr>
          <w:rFonts w:ascii="ITC Avant Garde" w:hAnsi="ITC Avant Garde"/>
          <w:b w:val="0"/>
          <w:bCs/>
          <w:color w:val="auto"/>
          <w:sz w:val="20"/>
          <w:szCs w:val="20"/>
        </w:rPr>
        <w:t>En virtud de los datos obtenidos, se observó lo siguiente:</w:t>
      </w:r>
    </w:p>
    <w:p w14:paraId="2989E66C" w14:textId="77777777" w:rsidR="0066403F" w:rsidRDefault="0066403F" w:rsidP="0066403F">
      <w:pPr>
        <w:ind w:left="360"/>
        <w:jc w:val="both"/>
        <w:rPr>
          <w:rFonts w:ascii="ITC Avant Garde" w:hAnsi="ITC Avant Garde"/>
          <w:b w:val="0"/>
          <w:bCs/>
          <w:color w:val="auto"/>
          <w:sz w:val="20"/>
          <w:szCs w:val="20"/>
        </w:rPr>
      </w:pPr>
    </w:p>
    <w:p w14:paraId="2A59732F" w14:textId="77777777" w:rsidR="0066403F" w:rsidRDefault="0066403F" w:rsidP="0066403F">
      <w:pPr>
        <w:ind w:left="360"/>
        <w:jc w:val="both"/>
        <w:rPr>
          <w:rFonts w:ascii="ITC Avant Garde" w:eastAsia="Times New Roman" w:hAnsi="ITC Avant Garde" w:cs="Segoe UI"/>
          <w:b w:val="0"/>
          <w:bCs/>
          <w:sz w:val="20"/>
          <w:szCs w:val="20"/>
          <w:lang w:eastAsia="es-MX"/>
        </w:rPr>
      </w:pPr>
      <w:r>
        <w:rPr>
          <w:rFonts w:ascii="ITC Avant Garde" w:hAnsi="ITC Avant Garde"/>
          <w:b w:val="0"/>
          <w:bCs/>
          <w:color w:val="auto"/>
          <w:sz w:val="20"/>
          <w:szCs w:val="20"/>
        </w:rPr>
        <w:t>Respecto a la f</w:t>
      </w:r>
      <w:r w:rsidRPr="00FB65B0">
        <w:rPr>
          <w:rFonts w:ascii="ITC Avant Garde" w:hAnsi="ITC Avant Garde"/>
          <w:b w:val="0"/>
          <w:bCs/>
          <w:color w:val="auto"/>
          <w:sz w:val="20"/>
          <w:szCs w:val="20"/>
        </w:rPr>
        <w:t>acilidad de acceso a trámites y servicios</w:t>
      </w:r>
      <w:r>
        <w:rPr>
          <w:rFonts w:ascii="ITC Avant Garde" w:hAnsi="ITC Avant Garde"/>
          <w:b w:val="0"/>
          <w:bCs/>
          <w:color w:val="auto"/>
          <w:sz w:val="20"/>
          <w:szCs w:val="20"/>
        </w:rPr>
        <w:t xml:space="preserve">, </w:t>
      </w:r>
      <w:r w:rsidRPr="00FB65B0">
        <w:rPr>
          <w:rFonts w:ascii="ITC Avant Garde" w:hAnsi="ITC Avant Garde"/>
          <w:b w:val="0"/>
          <w:bCs/>
          <w:color w:val="auto"/>
          <w:sz w:val="20"/>
          <w:szCs w:val="20"/>
        </w:rPr>
        <w:t xml:space="preserve">tiene un nivel de satisfacción </w:t>
      </w:r>
      <w:r>
        <w:rPr>
          <w:rFonts w:ascii="ITC Avant Garde" w:hAnsi="ITC Avant Garde"/>
          <w:b w:val="0"/>
          <w:bCs/>
          <w:color w:val="auto"/>
          <w:sz w:val="20"/>
          <w:szCs w:val="20"/>
        </w:rPr>
        <w:t xml:space="preserve">alto, la </w:t>
      </w:r>
      <w:r w:rsidRPr="00FB65B0">
        <w:rPr>
          <w:rFonts w:ascii="ITC Avant Garde" w:hAnsi="ITC Avant Garde"/>
          <w:b w:val="0"/>
          <w:bCs/>
          <w:color w:val="auto"/>
          <w:sz w:val="20"/>
          <w:szCs w:val="20"/>
        </w:rPr>
        <w:t>mayoría encuentra el acceso fácil o muy fácil, con una opinión neutral.</w:t>
      </w:r>
      <w:r>
        <w:rPr>
          <w:rFonts w:ascii="ITC Avant Garde" w:hAnsi="ITC Avant Garde"/>
          <w:b w:val="0"/>
          <w:bCs/>
          <w:color w:val="auto"/>
          <w:sz w:val="20"/>
          <w:szCs w:val="20"/>
        </w:rPr>
        <w:t xml:space="preserve"> </w:t>
      </w:r>
      <w:r w:rsidRPr="008374D0">
        <w:rPr>
          <w:rFonts w:ascii="ITC Avant Garde" w:hAnsi="ITC Avant Garde"/>
          <w:b w:val="0"/>
          <w:bCs/>
          <w:color w:val="auto"/>
          <w:sz w:val="20"/>
          <w:szCs w:val="20"/>
        </w:rPr>
        <w:t>(</w:t>
      </w:r>
      <w:r>
        <w:rPr>
          <w:rFonts w:ascii="ITC Avant Garde" w:hAnsi="ITC Avant Garde"/>
          <w:b w:val="0"/>
          <w:bCs/>
          <w:color w:val="auto"/>
          <w:sz w:val="20"/>
          <w:szCs w:val="20"/>
        </w:rPr>
        <w:t>Los datos obtenidos se observan en la Tabla 3</w:t>
      </w:r>
      <w:r>
        <w:rPr>
          <w:rFonts w:ascii="ITC Avant Garde" w:eastAsia="Times New Roman" w:hAnsi="ITC Avant Garde" w:cs="Segoe UI"/>
          <w:b w:val="0"/>
          <w:bCs/>
          <w:sz w:val="20"/>
          <w:szCs w:val="20"/>
          <w:lang w:eastAsia="es-MX"/>
        </w:rPr>
        <w:t>)</w:t>
      </w:r>
    </w:p>
    <w:p w14:paraId="44A4A385" w14:textId="77777777" w:rsidR="0066403F" w:rsidRDefault="0066403F" w:rsidP="0066403F">
      <w:pPr>
        <w:ind w:left="360"/>
        <w:jc w:val="both"/>
        <w:rPr>
          <w:rFonts w:ascii="ITC Avant Garde" w:eastAsia="Times New Roman" w:hAnsi="ITC Avant Garde" w:cs="Segoe UI"/>
          <w:b w:val="0"/>
          <w:bCs/>
          <w:sz w:val="20"/>
          <w:szCs w:val="20"/>
          <w:lang w:eastAsia="es-MX"/>
        </w:rPr>
      </w:pPr>
    </w:p>
    <w:p w14:paraId="7B221029" w14:textId="77777777" w:rsidR="0066403F" w:rsidRDefault="0066403F" w:rsidP="0066403F">
      <w:pPr>
        <w:ind w:left="360"/>
        <w:jc w:val="both"/>
        <w:rPr>
          <w:rFonts w:ascii="ITC Avant Garde" w:eastAsia="Times New Roman" w:hAnsi="ITC Avant Garde" w:cs="Segoe UI"/>
          <w:b w:val="0"/>
          <w:bCs/>
          <w:sz w:val="20"/>
          <w:szCs w:val="20"/>
          <w:lang w:eastAsia="es-MX"/>
        </w:rPr>
      </w:pPr>
      <w:r>
        <w:rPr>
          <w:rFonts w:ascii="ITC Avant Garde" w:eastAsia="Times New Roman" w:hAnsi="ITC Avant Garde" w:cs="Segoe UI"/>
          <w:b w:val="0"/>
          <w:bCs/>
          <w:sz w:val="20"/>
          <w:szCs w:val="20"/>
          <w:lang w:eastAsia="es-MX"/>
        </w:rPr>
        <w:t xml:space="preserve">Respecto a la facilidad </w:t>
      </w:r>
      <w:r w:rsidRPr="00383BFB">
        <w:rPr>
          <w:rFonts w:ascii="ITC Avant Garde" w:eastAsia="Times New Roman" w:hAnsi="ITC Avant Garde" w:cs="Segoe UI"/>
          <w:b w:val="0"/>
          <w:bCs/>
          <w:sz w:val="20"/>
          <w:szCs w:val="20"/>
          <w:lang w:eastAsia="es-MX"/>
        </w:rPr>
        <w:t xml:space="preserve">para completar </w:t>
      </w:r>
      <w:r>
        <w:rPr>
          <w:rFonts w:ascii="ITC Avant Garde" w:eastAsia="Times New Roman" w:hAnsi="ITC Avant Garde" w:cs="Segoe UI"/>
          <w:b w:val="0"/>
          <w:bCs/>
          <w:sz w:val="20"/>
          <w:szCs w:val="20"/>
          <w:lang w:eastAsia="es-MX"/>
        </w:rPr>
        <w:t xml:space="preserve">y presentar </w:t>
      </w:r>
      <w:r w:rsidRPr="00383BFB">
        <w:rPr>
          <w:rFonts w:ascii="ITC Avant Garde" w:eastAsia="Times New Roman" w:hAnsi="ITC Avant Garde" w:cs="Segoe UI"/>
          <w:b w:val="0"/>
          <w:bCs/>
          <w:sz w:val="20"/>
          <w:szCs w:val="20"/>
          <w:lang w:eastAsia="es-MX"/>
        </w:rPr>
        <w:t>formularios electrónicos</w:t>
      </w:r>
      <w:r>
        <w:rPr>
          <w:rFonts w:ascii="ITC Avant Garde" w:eastAsia="Times New Roman" w:hAnsi="ITC Avant Garde" w:cs="Segoe UI"/>
          <w:b w:val="0"/>
          <w:bCs/>
          <w:sz w:val="20"/>
          <w:szCs w:val="20"/>
          <w:lang w:eastAsia="es-MX"/>
        </w:rPr>
        <w:t>, se obtuvo</w:t>
      </w:r>
      <w:r w:rsidRPr="00383BFB">
        <w:rPr>
          <w:rFonts w:ascii="ITC Avant Garde" w:eastAsia="Times New Roman" w:hAnsi="ITC Avant Garde" w:cs="Segoe UI"/>
          <w:b w:val="0"/>
          <w:bCs/>
          <w:sz w:val="20"/>
          <w:szCs w:val="20"/>
          <w:lang w:eastAsia="es-MX"/>
        </w:rPr>
        <w:t xml:space="preserve"> un nivel de satisfacción neutral. La mayoría encuentra fácil completar</w:t>
      </w:r>
      <w:r>
        <w:rPr>
          <w:rFonts w:ascii="ITC Avant Garde" w:eastAsia="Times New Roman" w:hAnsi="ITC Avant Garde" w:cs="Segoe UI"/>
          <w:b w:val="0"/>
          <w:bCs/>
          <w:sz w:val="20"/>
          <w:szCs w:val="20"/>
          <w:lang w:eastAsia="es-MX"/>
        </w:rPr>
        <w:t xml:space="preserve"> y presentar</w:t>
      </w:r>
      <w:r w:rsidRPr="00383BFB">
        <w:rPr>
          <w:rFonts w:ascii="ITC Avant Garde" w:eastAsia="Times New Roman" w:hAnsi="ITC Avant Garde" w:cs="Segoe UI"/>
          <w:b w:val="0"/>
          <w:bCs/>
          <w:sz w:val="20"/>
          <w:szCs w:val="20"/>
          <w:lang w:eastAsia="es-MX"/>
        </w:rPr>
        <w:t xml:space="preserve"> los formularios, aunque hay opiniones de que es difícil o muy difícil.</w:t>
      </w:r>
      <w:r>
        <w:rPr>
          <w:rFonts w:ascii="ITC Avant Garde" w:eastAsia="Times New Roman" w:hAnsi="ITC Avant Garde" w:cs="Segoe UI"/>
          <w:b w:val="0"/>
          <w:bCs/>
          <w:sz w:val="20"/>
          <w:szCs w:val="20"/>
          <w:lang w:eastAsia="es-MX"/>
        </w:rPr>
        <w:t xml:space="preserve"> </w:t>
      </w:r>
      <w:r w:rsidRPr="008374D0">
        <w:rPr>
          <w:rFonts w:ascii="ITC Avant Garde" w:hAnsi="ITC Avant Garde"/>
          <w:b w:val="0"/>
          <w:bCs/>
          <w:color w:val="auto"/>
          <w:sz w:val="20"/>
          <w:szCs w:val="20"/>
        </w:rPr>
        <w:t>(</w:t>
      </w:r>
      <w:r>
        <w:rPr>
          <w:rFonts w:ascii="ITC Avant Garde" w:hAnsi="ITC Avant Garde"/>
          <w:b w:val="0"/>
          <w:bCs/>
          <w:color w:val="auto"/>
          <w:sz w:val="20"/>
          <w:szCs w:val="20"/>
        </w:rPr>
        <w:t>Los datos obtenidos se observan en la Tabla 3</w:t>
      </w:r>
      <w:r>
        <w:rPr>
          <w:rFonts w:ascii="ITC Avant Garde" w:eastAsia="Times New Roman" w:hAnsi="ITC Avant Garde" w:cs="Segoe UI"/>
          <w:b w:val="0"/>
          <w:bCs/>
          <w:sz w:val="20"/>
          <w:szCs w:val="20"/>
          <w:lang w:eastAsia="es-MX"/>
        </w:rPr>
        <w:t>)</w:t>
      </w:r>
    </w:p>
    <w:p w14:paraId="64D2F5D8" w14:textId="77777777" w:rsidR="0066403F" w:rsidRDefault="0066403F" w:rsidP="0066403F">
      <w:pPr>
        <w:ind w:left="360"/>
        <w:jc w:val="both"/>
        <w:rPr>
          <w:rFonts w:ascii="ITC Avant Garde" w:hAnsi="ITC Avant Garde"/>
          <w:b w:val="0"/>
          <w:bCs/>
          <w:color w:val="auto"/>
          <w:sz w:val="20"/>
          <w:szCs w:val="20"/>
        </w:rPr>
      </w:pPr>
    </w:p>
    <w:p w14:paraId="0C2E508A" w14:textId="77777777" w:rsidR="0066403F" w:rsidRDefault="0066403F" w:rsidP="0066403F">
      <w:pPr>
        <w:ind w:left="360"/>
        <w:jc w:val="both"/>
        <w:rPr>
          <w:rFonts w:ascii="ITC Avant Garde" w:hAnsi="ITC Avant Garde"/>
          <w:b w:val="0"/>
          <w:bCs/>
          <w:color w:val="auto"/>
          <w:sz w:val="20"/>
          <w:szCs w:val="20"/>
        </w:rPr>
      </w:pPr>
      <w:r>
        <w:rPr>
          <w:rFonts w:ascii="ITC Avant Garde" w:hAnsi="ITC Avant Garde"/>
          <w:b w:val="0"/>
          <w:bCs/>
          <w:color w:val="auto"/>
          <w:sz w:val="20"/>
          <w:szCs w:val="20"/>
        </w:rPr>
        <w:t xml:space="preserve">Respecto a la facilidad para obtener copias certificadas con nivel </w:t>
      </w:r>
      <w:r w:rsidRPr="00584F9C">
        <w:rPr>
          <w:rFonts w:ascii="ITC Avant Garde" w:hAnsi="ITC Avant Garde"/>
          <w:b w:val="0"/>
          <w:bCs/>
          <w:color w:val="auto"/>
          <w:sz w:val="20"/>
          <w:szCs w:val="20"/>
        </w:rPr>
        <w:t>neutral</w:t>
      </w:r>
      <w:r>
        <w:rPr>
          <w:rFonts w:ascii="ITC Avant Garde" w:hAnsi="ITC Avant Garde"/>
          <w:b w:val="0"/>
          <w:bCs/>
          <w:color w:val="auto"/>
          <w:sz w:val="20"/>
          <w:szCs w:val="20"/>
        </w:rPr>
        <w:t xml:space="preserve">. </w:t>
      </w:r>
      <w:r w:rsidRPr="00584F9C">
        <w:rPr>
          <w:rFonts w:ascii="ITC Avant Garde" w:hAnsi="ITC Avant Garde"/>
          <w:b w:val="0"/>
          <w:bCs/>
          <w:color w:val="auto"/>
          <w:sz w:val="20"/>
          <w:szCs w:val="20"/>
        </w:rPr>
        <w:t>Las opiniones varían entre neutral y difícil.</w:t>
      </w:r>
      <w:r>
        <w:rPr>
          <w:rFonts w:ascii="ITC Avant Garde" w:hAnsi="ITC Avant Garde"/>
          <w:b w:val="0"/>
          <w:bCs/>
          <w:color w:val="auto"/>
          <w:sz w:val="20"/>
          <w:szCs w:val="20"/>
        </w:rPr>
        <w:t xml:space="preserve"> </w:t>
      </w:r>
      <w:r w:rsidRPr="008374D0">
        <w:rPr>
          <w:rFonts w:ascii="ITC Avant Garde" w:hAnsi="ITC Avant Garde"/>
          <w:b w:val="0"/>
          <w:bCs/>
          <w:color w:val="auto"/>
          <w:sz w:val="20"/>
          <w:szCs w:val="20"/>
        </w:rPr>
        <w:t>(</w:t>
      </w:r>
      <w:r>
        <w:rPr>
          <w:rFonts w:ascii="ITC Avant Garde" w:hAnsi="ITC Avant Garde"/>
          <w:b w:val="0"/>
          <w:bCs/>
          <w:color w:val="auto"/>
          <w:sz w:val="20"/>
          <w:szCs w:val="20"/>
        </w:rPr>
        <w:t>Los datos obtenidos se observan en la Tabla 3</w:t>
      </w:r>
      <w:r>
        <w:rPr>
          <w:rFonts w:ascii="ITC Avant Garde" w:eastAsia="Times New Roman" w:hAnsi="ITC Avant Garde" w:cs="Segoe UI"/>
          <w:b w:val="0"/>
          <w:bCs/>
          <w:sz w:val="20"/>
          <w:szCs w:val="20"/>
          <w:lang w:eastAsia="es-MX"/>
        </w:rPr>
        <w:t>)</w:t>
      </w:r>
    </w:p>
    <w:p w14:paraId="67D47547" w14:textId="77777777" w:rsidR="0066403F" w:rsidRDefault="0066403F" w:rsidP="0066403F">
      <w:pPr>
        <w:ind w:left="360"/>
        <w:jc w:val="both"/>
        <w:rPr>
          <w:rFonts w:ascii="ITC Avant Garde" w:hAnsi="ITC Avant Garde"/>
          <w:b w:val="0"/>
          <w:bCs/>
          <w:color w:val="auto"/>
          <w:sz w:val="20"/>
          <w:szCs w:val="20"/>
        </w:rPr>
      </w:pPr>
    </w:p>
    <w:p w14:paraId="5CA41901" w14:textId="77777777" w:rsidR="0066403F" w:rsidRDefault="0066403F" w:rsidP="0066403F">
      <w:pPr>
        <w:jc w:val="both"/>
        <w:rPr>
          <w:rFonts w:ascii="ITC Avant Garde" w:hAnsi="ITC Avant Garde"/>
          <w:b w:val="0"/>
          <w:bCs/>
          <w:color w:val="auto"/>
          <w:sz w:val="20"/>
          <w:szCs w:val="20"/>
        </w:rPr>
      </w:pPr>
      <w:r>
        <w:rPr>
          <w:rFonts w:ascii="Segoe UI" w:eastAsia="Times New Roman" w:hAnsi="Segoe UI" w:cs="Segoe UI"/>
          <w:noProof/>
          <w:sz w:val="21"/>
          <w:szCs w:val="21"/>
          <w:lang w:eastAsia="es-MX"/>
        </w:rPr>
        <w:drawing>
          <wp:inline distT="0" distB="0" distL="0" distR="0" wp14:anchorId="49757D40" wp14:editId="3B52CAA8">
            <wp:extent cx="5886450" cy="3028950"/>
            <wp:effectExtent l="0" t="0" r="0" b="0"/>
            <wp:docPr id="52825664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603101" w14:textId="77777777" w:rsidR="0066403F" w:rsidRPr="006E5951" w:rsidRDefault="0066403F" w:rsidP="0066403F">
      <w:pPr>
        <w:ind w:left="360"/>
        <w:jc w:val="both"/>
        <w:rPr>
          <w:rFonts w:ascii="ITC Avant Garde" w:hAnsi="ITC Avant Garde"/>
          <w:b w:val="0"/>
          <w:bCs/>
          <w:color w:val="auto"/>
          <w:sz w:val="20"/>
          <w:szCs w:val="20"/>
        </w:rPr>
      </w:pPr>
    </w:p>
    <w:p w14:paraId="6B44AD95" w14:textId="77777777" w:rsidR="0066403F" w:rsidRDefault="0066403F" w:rsidP="0066403F">
      <w:pPr>
        <w:jc w:val="both"/>
        <w:rPr>
          <w:rFonts w:ascii="ITC Avant Garde" w:hAnsi="ITC Avant Garde"/>
          <w:b w:val="0"/>
          <w:bCs/>
          <w:color w:val="auto"/>
          <w:sz w:val="20"/>
          <w:szCs w:val="20"/>
          <w:lang w:val="es-MX"/>
        </w:rPr>
      </w:pPr>
      <w:r w:rsidRPr="00C93681">
        <w:rPr>
          <w:rFonts w:ascii="ITC Avant Garde" w:eastAsia="Times New Roman" w:hAnsi="ITC Avant Garde" w:cs="Segoe UI"/>
          <w:b w:val="0"/>
          <w:sz w:val="20"/>
          <w:szCs w:val="20"/>
          <w:lang w:eastAsia="es-MX"/>
        </w:rPr>
        <w:t>También se midió la opinión respecto a la reducción de gastos operativos, obteniendo un nivel de satisfacción alto. La mayoría de los participantes se sienten satisfechos ya que han logrado reducir el uso de papelería</w:t>
      </w:r>
      <w:r>
        <w:rPr>
          <w:rFonts w:ascii="ITC Avant Garde" w:hAnsi="ITC Avant Garde"/>
          <w:b w:val="0"/>
          <w:bCs/>
          <w:color w:val="auto"/>
          <w:sz w:val="20"/>
          <w:szCs w:val="20"/>
          <w:lang w:val="es-MX"/>
        </w:rPr>
        <w:t xml:space="preserve"> y suministros de oficina, ahorros en gastos de transporte y desplazamiento y reducción de gastos administrativos en general. (</w:t>
      </w:r>
      <w:r>
        <w:rPr>
          <w:rFonts w:ascii="ITC Avant Garde" w:hAnsi="ITC Avant Garde"/>
          <w:b w:val="0"/>
          <w:bCs/>
          <w:color w:val="auto"/>
          <w:sz w:val="20"/>
          <w:szCs w:val="20"/>
        </w:rPr>
        <w:t>Los datos obtenidos se observan en la Tabla 4</w:t>
      </w:r>
      <w:r>
        <w:rPr>
          <w:rFonts w:ascii="ITC Avant Garde" w:hAnsi="ITC Avant Garde"/>
          <w:b w:val="0"/>
          <w:bCs/>
          <w:color w:val="auto"/>
          <w:sz w:val="20"/>
          <w:szCs w:val="20"/>
          <w:lang w:val="es-MX"/>
        </w:rPr>
        <w:t>)</w:t>
      </w:r>
    </w:p>
    <w:p w14:paraId="44C40C23" w14:textId="77777777" w:rsidR="0066403F" w:rsidRDefault="0066403F" w:rsidP="0066403F">
      <w:pPr>
        <w:jc w:val="both"/>
        <w:rPr>
          <w:rFonts w:ascii="ITC Avant Garde" w:hAnsi="ITC Avant Garde"/>
          <w:b w:val="0"/>
          <w:bCs/>
          <w:color w:val="auto"/>
          <w:sz w:val="20"/>
          <w:szCs w:val="20"/>
          <w:lang w:val="es-MX"/>
        </w:rPr>
      </w:pPr>
    </w:p>
    <w:p w14:paraId="301280D8" w14:textId="77777777" w:rsidR="0066403F" w:rsidRDefault="0066403F" w:rsidP="0066403F">
      <w:pPr>
        <w:jc w:val="both"/>
        <w:rPr>
          <w:rFonts w:ascii="ITC Avant Garde" w:hAnsi="ITC Avant Garde"/>
          <w:b w:val="0"/>
          <w:bCs/>
          <w:color w:val="auto"/>
          <w:sz w:val="20"/>
          <w:szCs w:val="20"/>
          <w:lang w:val="es-MX"/>
        </w:rPr>
      </w:pPr>
      <w:r>
        <w:rPr>
          <w:rFonts w:ascii="Segoe UI" w:eastAsia="Times New Roman" w:hAnsi="Segoe UI" w:cs="Segoe UI"/>
          <w:noProof/>
          <w:sz w:val="21"/>
          <w:szCs w:val="21"/>
          <w:lang w:eastAsia="es-MX"/>
        </w:rPr>
        <w:drawing>
          <wp:inline distT="0" distB="0" distL="0" distR="0" wp14:anchorId="723550AA" wp14:editId="02648E76">
            <wp:extent cx="5924550" cy="2914650"/>
            <wp:effectExtent l="0" t="0" r="0" b="0"/>
            <wp:docPr id="1845312019"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E5A80C" w14:textId="77777777" w:rsidR="0066403F" w:rsidRPr="0051183E" w:rsidRDefault="0066403F" w:rsidP="0066403F">
      <w:pPr>
        <w:jc w:val="both"/>
        <w:rPr>
          <w:rFonts w:ascii="ITC Avant Garde" w:hAnsi="ITC Avant Garde"/>
          <w:b w:val="0"/>
          <w:bCs/>
          <w:color w:val="auto"/>
          <w:sz w:val="20"/>
          <w:szCs w:val="20"/>
          <w:lang w:val="es-MX"/>
        </w:rPr>
      </w:pPr>
    </w:p>
    <w:p w14:paraId="156CBC70" w14:textId="77777777" w:rsidR="0066403F" w:rsidRDefault="0066403F" w:rsidP="0066403F">
      <w:pPr>
        <w:ind w:firstLine="360"/>
        <w:jc w:val="both"/>
        <w:rPr>
          <w:rFonts w:ascii="ITC Avant Garde" w:hAnsi="ITC Avant Garde"/>
          <w:color w:val="auto"/>
          <w:sz w:val="20"/>
          <w:szCs w:val="20"/>
          <w:lang w:val="es-MX"/>
        </w:rPr>
      </w:pPr>
    </w:p>
    <w:p w14:paraId="0785D3A2" w14:textId="15CA0ED5" w:rsidR="0066403F" w:rsidRDefault="00627BAA" w:rsidP="0066403F">
      <w:pPr>
        <w:ind w:firstLine="360"/>
        <w:jc w:val="both"/>
        <w:rPr>
          <w:rFonts w:ascii="ITC Avant Garde" w:hAnsi="ITC Avant Garde"/>
          <w:b w:val="0"/>
          <w:color w:val="auto"/>
          <w:sz w:val="20"/>
          <w:szCs w:val="20"/>
          <w:lang w:val="es-MX"/>
        </w:rPr>
      </w:pPr>
      <w:r w:rsidRPr="00627BAA">
        <w:rPr>
          <w:rFonts w:ascii="ITC Avant Garde" w:eastAsia="Times New Roman" w:hAnsi="ITC Avant Garde" w:cs="Segoe UI"/>
          <w:bCs/>
          <w:sz w:val="20"/>
          <w:szCs w:val="20"/>
          <w:lang w:eastAsia="es-MX"/>
        </w:rPr>
        <w:t>R</w:t>
      </w:r>
      <w:r w:rsidRPr="00627BAA">
        <w:rPr>
          <w:rFonts w:ascii="ITC Avant Garde" w:eastAsia="Times New Roman" w:hAnsi="ITC Avant Garde" w:cs="Segoe UI"/>
          <w:b w:val="0"/>
          <w:sz w:val="20"/>
          <w:szCs w:val="20"/>
          <w:lang w:eastAsia="es-MX"/>
        </w:rPr>
        <w:t>especto de la percepción del tiempo utilizado para ingresar o presentar un trámite ante la Ventanilla, se obtuvo un nivel de satisfacción. Las opiniones varían desde rápido hasta lento</w:t>
      </w:r>
      <w:r w:rsidR="0066403F" w:rsidRPr="00627BAA">
        <w:rPr>
          <w:rFonts w:ascii="ITC Avant Garde" w:eastAsia="Times New Roman" w:hAnsi="ITC Avant Garde" w:cs="Segoe UI"/>
          <w:b w:val="0"/>
          <w:sz w:val="20"/>
          <w:szCs w:val="20"/>
          <w:lang w:eastAsia="es-MX"/>
        </w:rPr>
        <w:t xml:space="preserve">. </w:t>
      </w:r>
      <w:r w:rsidR="0066403F">
        <w:rPr>
          <w:rFonts w:ascii="ITC Avant Garde" w:hAnsi="ITC Avant Garde"/>
          <w:b w:val="0"/>
          <w:bCs/>
          <w:color w:val="auto"/>
          <w:sz w:val="20"/>
          <w:szCs w:val="20"/>
          <w:lang w:val="es-MX"/>
        </w:rPr>
        <w:t>(</w:t>
      </w:r>
      <w:r w:rsidR="0066403F">
        <w:rPr>
          <w:rFonts w:ascii="ITC Avant Garde" w:hAnsi="ITC Avant Garde"/>
          <w:b w:val="0"/>
          <w:bCs/>
          <w:color w:val="auto"/>
          <w:sz w:val="20"/>
          <w:szCs w:val="20"/>
        </w:rPr>
        <w:t>Los datos obtenidos se observan en la Tabla 5</w:t>
      </w:r>
      <w:r w:rsidR="0066403F">
        <w:rPr>
          <w:rFonts w:ascii="ITC Avant Garde" w:hAnsi="ITC Avant Garde"/>
          <w:b w:val="0"/>
          <w:bCs/>
          <w:color w:val="auto"/>
          <w:sz w:val="20"/>
          <w:szCs w:val="20"/>
          <w:lang w:val="es-MX"/>
        </w:rPr>
        <w:t>)</w:t>
      </w:r>
    </w:p>
    <w:p w14:paraId="34149125" w14:textId="77777777" w:rsidR="0066403F" w:rsidRDefault="0066403F" w:rsidP="0066403F">
      <w:pPr>
        <w:ind w:firstLine="360"/>
        <w:jc w:val="both"/>
        <w:rPr>
          <w:rFonts w:ascii="ITC Avant Garde" w:eastAsia="Times New Roman" w:hAnsi="ITC Avant Garde" w:cs="Segoe UI"/>
          <w:b w:val="0"/>
          <w:bCs/>
          <w:sz w:val="20"/>
          <w:szCs w:val="20"/>
          <w:lang w:eastAsia="es-MX"/>
        </w:rPr>
      </w:pPr>
    </w:p>
    <w:p w14:paraId="14110120" w14:textId="77777777" w:rsidR="0066403F" w:rsidRPr="00AB0E4E" w:rsidRDefault="0066403F" w:rsidP="0066403F">
      <w:pPr>
        <w:jc w:val="both"/>
        <w:rPr>
          <w:rFonts w:ascii="ITC Avant Garde" w:eastAsia="Times New Roman" w:hAnsi="ITC Avant Garde" w:cs="Segoe UI"/>
          <w:b w:val="0"/>
          <w:sz w:val="20"/>
          <w:szCs w:val="20"/>
          <w:lang w:eastAsia="es-MX"/>
        </w:rPr>
      </w:pPr>
      <w:r>
        <w:rPr>
          <w:rFonts w:ascii="Segoe UI" w:eastAsia="Times New Roman" w:hAnsi="Segoe UI" w:cs="Segoe UI"/>
          <w:noProof/>
          <w:sz w:val="21"/>
          <w:szCs w:val="21"/>
          <w:lang w:eastAsia="es-MX"/>
        </w:rPr>
        <w:drawing>
          <wp:inline distT="0" distB="0" distL="0" distR="0" wp14:anchorId="66B9EC5A" wp14:editId="143D72BB">
            <wp:extent cx="6006663" cy="3176752"/>
            <wp:effectExtent l="0" t="0" r="13335" b="5080"/>
            <wp:docPr id="508920361"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64E371" w14:textId="77777777" w:rsidR="0066403F" w:rsidRDefault="0066403F" w:rsidP="0066403F">
      <w:pPr>
        <w:ind w:firstLine="360"/>
        <w:jc w:val="both"/>
        <w:rPr>
          <w:rFonts w:ascii="ITC Avant Garde" w:hAnsi="ITC Avant Garde"/>
          <w:color w:val="auto"/>
          <w:sz w:val="20"/>
          <w:szCs w:val="20"/>
        </w:rPr>
      </w:pPr>
    </w:p>
    <w:p w14:paraId="18765672" w14:textId="77777777" w:rsidR="0066403F" w:rsidRPr="00B64F96" w:rsidRDefault="0066403F" w:rsidP="0066403F">
      <w:pPr>
        <w:ind w:firstLine="360"/>
        <w:jc w:val="both"/>
        <w:rPr>
          <w:rFonts w:ascii="ITC Avant Garde" w:hAnsi="ITC Avant Garde"/>
          <w:color w:val="auto"/>
          <w:sz w:val="22"/>
        </w:rPr>
      </w:pPr>
      <w:r w:rsidRPr="00B64F96">
        <w:rPr>
          <w:rFonts w:ascii="ITC Avant Garde" w:hAnsi="ITC Avant Garde"/>
          <w:color w:val="auto"/>
          <w:sz w:val="22"/>
        </w:rPr>
        <w:t>Transparencia</w:t>
      </w:r>
    </w:p>
    <w:p w14:paraId="0EDF1894" w14:textId="77777777" w:rsidR="0066403F" w:rsidRDefault="0066403F" w:rsidP="0066403F">
      <w:pPr>
        <w:jc w:val="both"/>
        <w:rPr>
          <w:rFonts w:ascii="ITC Avant Garde" w:hAnsi="ITC Avant Garde"/>
          <w:b w:val="0"/>
          <w:bCs/>
          <w:color w:val="auto"/>
          <w:sz w:val="20"/>
          <w:szCs w:val="20"/>
        </w:rPr>
      </w:pPr>
    </w:p>
    <w:p w14:paraId="1FBE8BFB" w14:textId="77777777" w:rsidR="0066403F" w:rsidRDefault="0066403F" w:rsidP="0066403F">
      <w:pPr>
        <w:jc w:val="both"/>
        <w:rPr>
          <w:rFonts w:ascii="ITC Avant Garde" w:hAnsi="ITC Avant Garde"/>
          <w:b w:val="0"/>
          <w:bCs/>
          <w:color w:val="auto"/>
          <w:sz w:val="20"/>
          <w:szCs w:val="20"/>
        </w:rPr>
      </w:pPr>
      <w:r w:rsidRPr="00F6723B">
        <w:rPr>
          <w:rFonts w:ascii="ITC Avant Garde" w:hAnsi="ITC Avant Garde"/>
          <w:b w:val="0"/>
          <w:bCs/>
          <w:color w:val="auto"/>
          <w:sz w:val="20"/>
          <w:szCs w:val="20"/>
        </w:rPr>
        <w:t>La CEPAL</w:t>
      </w:r>
      <w:r>
        <w:rPr>
          <w:rStyle w:val="Refdenotaalpie"/>
          <w:rFonts w:ascii="ITC Avant Garde" w:hAnsi="ITC Avant Garde"/>
          <w:b w:val="0"/>
          <w:bCs/>
          <w:color w:val="auto"/>
          <w:sz w:val="20"/>
          <w:szCs w:val="20"/>
        </w:rPr>
        <w:footnoteReference w:id="16"/>
      </w:r>
      <w:r w:rsidRPr="00F6723B">
        <w:rPr>
          <w:rFonts w:ascii="ITC Avant Garde" w:hAnsi="ITC Avant Garde"/>
          <w:b w:val="0"/>
          <w:bCs/>
          <w:color w:val="auto"/>
          <w:sz w:val="20"/>
          <w:szCs w:val="20"/>
        </w:rPr>
        <w:t xml:space="preserve"> refiere que la transparencia</w:t>
      </w:r>
      <w:r>
        <w:rPr>
          <w:rFonts w:ascii="ITC Avant Garde" w:hAnsi="ITC Avant Garde"/>
          <w:b w:val="0"/>
          <w:bCs/>
          <w:color w:val="auto"/>
          <w:sz w:val="20"/>
          <w:szCs w:val="20"/>
        </w:rPr>
        <w:t xml:space="preserve"> en el Gobierno Electrónico permite el acceso y disponibilidad de la información del actuar gubernamental y tiende a transformar la relación entre las autoridades y la ciudadanía.</w:t>
      </w:r>
    </w:p>
    <w:p w14:paraId="46306DE8" w14:textId="77777777" w:rsidR="0066403F" w:rsidRDefault="0066403F" w:rsidP="0066403F">
      <w:pPr>
        <w:ind w:firstLine="360"/>
        <w:jc w:val="both"/>
        <w:rPr>
          <w:rFonts w:ascii="ITC Avant Garde" w:hAnsi="ITC Avant Garde"/>
          <w:b w:val="0"/>
          <w:bCs/>
          <w:color w:val="auto"/>
          <w:sz w:val="20"/>
          <w:szCs w:val="20"/>
        </w:rPr>
      </w:pPr>
    </w:p>
    <w:p w14:paraId="4AF535EC" w14:textId="77777777" w:rsidR="0066403F" w:rsidRDefault="0066403F" w:rsidP="0066403F">
      <w:pPr>
        <w:jc w:val="both"/>
        <w:rPr>
          <w:rFonts w:ascii="ITC Avant Garde" w:hAnsi="ITC Avant Garde"/>
          <w:b w:val="0"/>
          <w:bCs/>
          <w:color w:val="auto"/>
          <w:sz w:val="20"/>
          <w:szCs w:val="20"/>
        </w:rPr>
      </w:pPr>
      <w:r>
        <w:rPr>
          <w:rFonts w:ascii="ITC Avant Garde" w:hAnsi="ITC Avant Garde"/>
          <w:b w:val="0"/>
          <w:bCs/>
          <w:color w:val="auto"/>
          <w:sz w:val="20"/>
          <w:szCs w:val="20"/>
        </w:rPr>
        <w:t>En virtud de ello, se consideró pertinente que, en el proceso consultivo relacionado con la evaluación de la Ventanilla Electrónica, incorporar una serie de reactivos relacionados con la percepción de las personas interesadas, sobre todo, de las personas usuarias de este medio electrónico, respecto a la transparencia a la sustanciación de los trámites y/o servicios por la referida herramienta informática.</w:t>
      </w:r>
    </w:p>
    <w:p w14:paraId="3C227401" w14:textId="77777777" w:rsidR="0066403F" w:rsidRDefault="0066403F" w:rsidP="0066403F">
      <w:pPr>
        <w:jc w:val="both"/>
        <w:rPr>
          <w:rFonts w:ascii="ITC Avant Garde" w:hAnsi="ITC Avant Garde"/>
          <w:b w:val="0"/>
          <w:bCs/>
          <w:color w:val="auto"/>
          <w:sz w:val="20"/>
          <w:szCs w:val="20"/>
        </w:rPr>
      </w:pPr>
    </w:p>
    <w:p w14:paraId="10C918F7" w14:textId="77777777" w:rsidR="0066403F" w:rsidRDefault="0066403F" w:rsidP="0066403F">
      <w:pPr>
        <w:jc w:val="both"/>
        <w:rPr>
          <w:rFonts w:ascii="ITC Avant Garde" w:hAnsi="ITC Avant Garde"/>
          <w:b w:val="0"/>
          <w:bCs/>
          <w:color w:val="auto"/>
          <w:sz w:val="20"/>
          <w:szCs w:val="20"/>
          <w:lang w:val="es-MX"/>
        </w:rPr>
      </w:pPr>
      <w:r>
        <w:rPr>
          <w:rFonts w:ascii="ITC Avant Garde" w:hAnsi="ITC Avant Garde"/>
          <w:b w:val="0"/>
          <w:bCs/>
          <w:color w:val="auto"/>
          <w:sz w:val="20"/>
          <w:szCs w:val="20"/>
        </w:rPr>
        <w:t xml:space="preserve">En ese sentido, de las respuestas, se obtuvo un nivel de </w:t>
      </w:r>
      <w:r w:rsidRPr="009A10E5">
        <w:rPr>
          <w:rFonts w:ascii="ITC Avant Garde" w:hAnsi="ITC Avant Garde"/>
          <w:b w:val="0"/>
          <w:bCs/>
          <w:color w:val="auto"/>
          <w:sz w:val="20"/>
          <w:szCs w:val="20"/>
          <w:lang w:val="es-MX"/>
        </w:rPr>
        <w:t xml:space="preserve">satisfacción neutral </w:t>
      </w:r>
      <w:r>
        <w:rPr>
          <w:rFonts w:ascii="ITC Avant Garde" w:hAnsi="ITC Avant Garde"/>
          <w:b w:val="0"/>
          <w:bCs/>
          <w:color w:val="auto"/>
          <w:sz w:val="20"/>
          <w:szCs w:val="20"/>
          <w:lang w:val="es-MX"/>
        </w:rPr>
        <w:t>ya que l</w:t>
      </w:r>
      <w:r w:rsidRPr="009A10E5">
        <w:rPr>
          <w:rFonts w:ascii="ITC Avant Garde" w:hAnsi="ITC Avant Garde"/>
          <w:b w:val="0"/>
          <w:bCs/>
          <w:color w:val="auto"/>
          <w:sz w:val="20"/>
          <w:szCs w:val="20"/>
          <w:lang w:val="es-MX"/>
        </w:rPr>
        <w:t>as opiniones están divididas entre satisfech</w:t>
      </w:r>
      <w:r>
        <w:rPr>
          <w:rFonts w:ascii="ITC Avant Garde" w:hAnsi="ITC Avant Garde"/>
          <w:b w:val="0"/>
          <w:bCs/>
          <w:color w:val="auto"/>
          <w:sz w:val="20"/>
          <w:szCs w:val="20"/>
          <w:lang w:val="es-MX"/>
        </w:rPr>
        <w:t>as</w:t>
      </w:r>
      <w:r w:rsidRPr="009A10E5">
        <w:rPr>
          <w:rFonts w:ascii="ITC Avant Garde" w:hAnsi="ITC Avant Garde"/>
          <w:b w:val="0"/>
          <w:bCs/>
          <w:color w:val="auto"/>
          <w:sz w:val="20"/>
          <w:szCs w:val="20"/>
          <w:lang w:val="es-MX"/>
        </w:rPr>
        <w:t xml:space="preserve"> y neutrales.</w:t>
      </w:r>
      <w:r>
        <w:rPr>
          <w:rFonts w:ascii="ITC Avant Garde" w:hAnsi="ITC Avant Garde"/>
          <w:b w:val="0"/>
          <w:bCs/>
          <w:color w:val="auto"/>
          <w:sz w:val="20"/>
          <w:szCs w:val="20"/>
          <w:lang w:val="es-MX"/>
        </w:rPr>
        <w:t xml:space="preserve"> (</w:t>
      </w:r>
      <w:r>
        <w:rPr>
          <w:rFonts w:ascii="ITC Avant Garde" w:hAnsi="ITC Avant Garde"/>
          <w:b w:val="0"/>
          <w:bCs/>
          <w:color w:val="auto"/>
          <w:sz w:val="20"/>
          <w:szCs w:val="20"/>
        </w:rPr>
        <w:t>Los datos obtenidos se observan en la Tabla 6</w:t>
      </w:r>
      <w:r>
        <w:rPr>
          <w:rFonts w:ascii="ITC Avant Garde" w:hAnsi="ITC Avant Garde"/>
          <w:b w:val="0"/>
          <w:bCs/>
          <w:color w:val="auto"/>
          <w:sz w:val="20"/>
          <w:szCs w:val="20"/>
          <w:lang w:val="es-MX"/>
        </w:rPr>
        <w:t>)</w:t>
      </w:r>
    </w:p>
    <w:p w14:paraId="0DCF83F7" w14:textId="77777777" w:rsidR="0066403F" w:rsidRPr="00F6723B" w:rsidRDefault="0066403F" w:rsidP="0066403F">
      <w:pPr>
        <w:jc w:val="both"/>
        <w:rPr>
          <w:rFonts w:ascii="ITC Avant Garde" w:hAnsi="ITC Avant Garde"/>
          <w:b w:val="0"/>
          <w:bCs/>
          <w:color w:val="auto"/>
          <w:sz w:val="20"/>
          <w:szCs w:val="20"/>
        </w:rPr>
      </w:pPr>
      <w:r>
        <w:rPr>
          <w:rFonts w:ascii="Segoe UI" w:eastAsia="Times New Roman" w:hAnsi="Segoe UI" w:cs="Segoe UI"/>
          <w:noProof/>
          <w:sz w:val="21"/>
          <w:szCs w:val="21"/>
          <w:lang w:eastAsia="es-MX"/>
        </w:rPr>
        <w:lastRenderedPageBreak/>
        <w:drawing>
          <wp:inline distT="0" distB="0" distL="0" distR="0" wp14:anchorId="5FD76A76" wp14:editId="661C2D2C">
            <wp:extent cx="5819775" cy="3028950"/>
            <wp:effectExtent l="0" t="0" r="9525" b="0"/>
            <wp:docPr id="64701208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06521A" w14:textId="77777777" w:rsidR="0066403F" w:rsidRDefault="0066403F" w:rsidP="0066403F">
      <w:pPr>
        <w:ind w:firstLine="360"/>
        <w:jc w:val="both"/>
        <w:rPr>
          <w:rFonts w:ascii="ITC Avant Garde" w:hAnsi="ITC Avant Garde"/>
          <w:color w:val="auto"/>
          <w:sz w:val="20"/>
          <w:szCs w:val="20"/>
        </w:rPr>
      </w:pPr>
    </w:p>
    <w:p w14:paraId="26889234" w14:textId="77777777" w:rsidR="0066403F" w:rsidRDefault="0066403F" w:rsidP="0066403F">
      <w:pPr>
        <w:jc w:val="both"/>
        <w:rPr>
          <w:rFonts w:ascii="ITC Avant Garde" w:hAnsi="ITC Avant Garde"/>
          <w:color w:val="auto"/>
          <w:sz w:val="22"/>
        </w:rPr>
      </w:pPr>
      <w:r w:rsidRPr="006E7EC1">
        <w:rPr>
          <w:rFonts w:ascii="ITC Avant Garde" w:hAnsi="ITC Avant Garde"/>
          <w:color w:val="auto"/>
          <w:sz w:val="22"/>
        </w:rPr>
        <w:t>Participación ciudadana</w:t>
      </w:r>
    </w:p>
    <w:p w14:paraId="605D97F3" w14:textId="77777777" w:rsidR="0066403F" w:rsidRDefault="0066403F" w:rsidP="0066403F">
      <w:pPr>
        <w:ind w:firstLine="360"/>
        <w:jc w:val="both"/>
        <w:rPr>
          <w:rFonts w:ascii="ITC Avant Garde" w:hAnsi="ITC Avant Garde"/>
          <w:color w:val="auto"/>
          <w:sz w:val="22"/>
        </w:rPr>
      </w:pPr>
    </w:p>
    <w:p w14:paraId="019B34ED" w14:textId="77777777" w:rsidR="0066403F" w:rsidRDefault="0066403F" w:rsidP="0066403F">
      <w:pPr>
        <w:jc w:val="both"/>
        <w:rPr>
          <w:rFonts w:ascii="ITC Avant Garde" w:hAnsi="ITC Avant Garde"/>
          <w:b w:val="0"/>
          <w:color w:val="auto"/>
          <w:sz w:val="22"/>
        </w:rPr>
      </w:pPr>
      <w:r>
        <w:rPr>
          <w:rFonts w:ascii="ITC Avant Garde" w:hAnsi="ITC Avant Garde"/>
          <w:b w:val="0"/>
          <w:color w:val="auto"/>
          <w:sz w:val="22"/>
        </w:rPr>
        <w:t>La participación ciudadana, de acuerdo con la CEPAL</w:t>
      </w:r>
      <w:r>
        <w:rPr>
          <w:rStyle w:val="Refdenotaalpie"/>
          <w:rFonts w:ascii="ITC Avant Garde" w:hAnsi="ITC Avant Garde"/>
          <w:b w:val="0"/>
          <w:color w:val="auto"/>
          <w:sz w:val="22"/>
        </w:rPr>
        <w:footnoteReference w:id="17"/>
      </w:r>
      <w:r>
        <w:rPr>
          <w:rFonts w:ascii="ITC Avant Garde" w:hAnsi="ITC Avant Garde"/>
          <w:b w:val="0"/>
          <w:color w:val="auto"/>
          <w:sz w:val="22"/>
        </w:rPr>
        <w:t>, resulta ser el mecanismo específico para que puedan compartir sus opiniones y sea posible formar parte de forma real y efectiva en la toma de decisiones.</w:t>
      </w:r>
    </w:p>
    <w:p w14:paraId="46057F9D" w14:textId="77777777" w:rsidR="0066403F" w:rsidRDefault="0066403F" w:rsidP="0066403F">
      <w:pPr>
        <w:ind w:firstLine="360"/>
        <w:jc w:val="both"/>
        <w:rPr>
          <w:rFonts w:ascii="ITC Avant Garde" w:hAnsi="ITC Avant Garde"/>
          <w:b w:val="0"/>
          <w:color w:val="auto"/>
          <w:sz w:val="22"/>
        </w:rPr>
      </w:pPr>
    </w:p>
    <w:p w14:paraId="5BFD7DA7" w14:textId="77777777" w:rsidR="0066403F" w:rsidRDefault="0066403F" w:rsidP="0066403F">
      <w:pPr>
        <w:jc w:val="both"/>
        <w:rPr>
          <w:rFonts w:ascii="ITC Avant Garde" w:hAnsi="ITC Avant Garde"/>
          <w:b w:val="0"/>
          <w:color w:val="auto"/>
          <w:sz w:val="22"/>
        </w:rPr>
      </w:pPr>
      <w:r>
        <w:rPr>
          <w:rFonts w:ascii="ITC Avant Garde" w:hAnsi="ITC Avant Garde"/>
          <w:b w:val="0"/>
          <w:color w:val="auto"/>
          <w:sz w:val="22"/>
        </w:rPr>
        <w:t>En ese sentido, se incorporaron una serie de reactivos en la consulta de evaluación analizando la efectividad de los canales para expresar opiniones, sobre la accesibilidad para personas con discapacidad, los canales habilitados para proporcionar asesoría y su participación en las consultas públicas. En virtud de las participaciones realizadas a la consulta, se obtuvo la siguiente información.</w:t>
      </w:r>
    </w:p>
    <w:p w14:paraId="26CA64C8" w14:textId="77777777" w:rsidR="0066403F" w:rsidRDefault="0066403F" w:rsidP="0066403F">
      <w:pPr>
        <w:ind w:firstLine="360"/>
        <w:jc w:val="both"/>
        <w:rPr>
          <w:rFonts w:ascii="ITC Avant Garde" w:hAnsi="ITC Avant Garde"/>
          <w:b w:val="0"/>
          <w:color w:val="auto"/>
          <w:sz w:val="22"/>
        </w:rPr>
      </w:pPr>
    </w:p>
    <w:p w14:paraId="3D8922D3" w14:textId="77777777" w:rsidR="0066403F" w:rsidRPr="00FC7872" w:rsidRDefault="0066403F" w:rsidP="0066403F">
      <w:pPr>
        <w:jc w:val="both"/>
        <w:rPr>
          <w:rFonts w:ascii="ITC Avant Garde" w:hAnsi="ITC Avant Garde"/>
          <w:b w:val="0"/>
          <w:bCs/>
          <w:color w:val="auto"/>
          <w:sz w:val="20"/>
          <w:szCs w:val="20"/>
          <w:lang w:val="es-MX"/>
        </w:rPr>
      </w:pPr>
      <w:r>
        <w:rPr>
          <w:rFonts w:ascii="ITC Avant Garde" w:hAnsi="ITC Avant Garde"/>
          <w:b w:val="0"/>
          <w:color w:val="auto"/>
          <w:sz w:val="22"/>
        </w:rPr>
        <w:t xml:space="preserve">Respecto a la </w:t>
      </w:r>
      <w:r w:rsidRPr="002E138E">
        <w:rPr>
          <w:rFonts w:ascii="ITC Avant Garde" w:hAnsi="ITC Avant Garde"/>
          <w:b w:val="0"/>
          <w:color w:val="auto"/>
          <w:sz w:val="22"/>
          <w:lang w:val="es-MX"/>
        </w:rPr>
        <w:t>efecti</w:t>
      </w:r>
      <w:r>
        <w:rPr>
          <w:rFonts w:ascii="ITC Avant Garde" w:hAnsi="ITC Avant Garde"/>
          <w:b w:val="0"/>
          <w:color w:val="auto"/>
          <w:sz w:val="22"/>
          <w:lang w:val="es-MX"/>
        </w:rPr>
        <w:t xml:space="preserve">vidad de </w:t>
      </w:r>
      <w:r w:rsidRPr="002E138E">
        <w:rPr>
          <w:rFonts w:ascii="ITC Avant Garde" w:hAnsi="ITC Avant Garde"/>
          <w:b w:val="0"/>
          <w:color w:val="auto"/>
          <w:sz w:val="22"/>
          <w:lang w:val="es-MX"/>
        </w:rPr>
        <w:t>los canales para que las personas usuarias expresen sus opiniones y sugerencias de la Ventanilla Electrónica</w:t>
      </w:r>
      <w:r>
        <w:rPr>
          <w:rFonts w:ascii="ITC Avant Garde" w:hAnsi="ITC Avant Garde"/>
          <w:b w:val="0"/>
          <w:color w:val="auto"/>
          <w:sz w:val="22"/>
        </w:rPr>
        <w:t xml:space="preserve">, se obtuvo un </w:t>
      </w:r>
      <w:r w:rsidRPr="00220BBE">
        <w:rPr>
          <w:rFonts w:ascii="ITC Avant Garde" w:hAnsi="ITC Avant Garde"/>
          <w:b w:val="0"/>
          <w:color w:val="auto"/>
          <w:sz w:val="22"/>
          <w:lang w:val="es-MX"/>
        </w:rPr>
        <w:t>nivel de satisfacción neutral</w:t>
      </w:r>
      <w:r>
        <w:rPr>
          <w:rFonts w:ascii="ITC Avant Garde" w:hAnsi="ITC Avant Garde"/>
          <w:b w:val="0"/>
          <w:color w:val="auto"/>
          <w:sz w:val="22"/>
          <w:lang w:val="es-MX"/>
        </w:rPr>
        <w:t xml:space="preserve"> debido a que l</w:t>
      </w:r>
      <w:r w:rsidRPr="00220BBE">
        <w:rPr>
          <w:rFonts w:ascii="ITC Avant Garde" w:hAnsi="ITC Avant Garde"/>
          <w:b w:val="0"/>
          <w:color w:val="auto"/>
          <w:sz w:val="22"/>
          <w:lang w:val="es-MX"/>
        </w:rPr>
        <w:t>as opiniones están divididas entre moderadamente efectivos y no utilizados.</w:t>
      </w:r>
      <w:r>
        <w:rPr>
          <w:rFonts w:ascii="ITC Avant Garde" w:hAnsi="ITC Avant Garde"/>
          <w:b w:val="0"/>
          <w:color w:val="auto"/>
          <w:sz w:val="22"/>
          <w:lang w:val="es-MX"/>
        </w:rPr>
        <w:t xml:space="preserve"> </w:t>
      </w:r>
      <w:r>
        <w:rPr>
          <w:rFonts w:ascii="ITC Avant Garde" w:hAnsi="ITC Avant Garde"/>
          <w:b w:val="0"/>
          <w:bCs/>
          <w:color w:val="auto"/>
          <w:sz w:val="20"/>
          <w:szCs w:val="20"/>
          <w:lang w:val="es-MX"/>
        </w:rPr>
        <w:t>(</w:t>
      </w:r>
      <w:r>
        <w:rPr>
          <w:rFonts w:ascii="ITC Avant Garde" w:hAnsi="ITC Avant Garde"/>
          <w:b w:val="0"/>
          <w:bCs/>
          <w:color w:val="auto"/>
          <w:sz w:val="20"/>
          <w:szCs w:val="20"/>
        </w:rPr>
        <w:t xml:space="preserve">Los datos obtenidos se observan en </w:t>
      </w:r>
      <w:r w:rsidRPr="007C0655">
        <w:rPr>
          <w:rFonts w:ascii="ITC Avant Garde" w:hAnsi="ITC Avant Garde"/>
          <w:b w:val="0"/>
          <w:color w:val="auto"/>
          <w:sz w:val="20"/>
          <w:szCs w:val="20"/>
        </w:rPr>
        <w:t>la Tabla 7</w:t>
      </w:r>
      <w:r>
        <w:rPr>
          <w:rFonts w:ascii="ITC Avant Garde" w:hAnsi="ITC Avant Garde"/>
          <w:b w:val="0"/>
          <w:bCs/>
          <w:color w:val="auto"/>
          <w:sz w:val="20"/>
          <w:szCs w:val="20"/>
          <w:lang w:val="es-MX"/>
        </w:rPr>
        <w:t>)</w:t>
      </w:r>
    </w:p>
    <w:p w14:paraId="5109CE25" w14:textId="77777777" w:rsidR="0066403F" w:rsidRDefault="0066403F" w:rsidP="0066403F">
      <w:pPr>
        <w:jc w:val="both"/>
        <w:rPr>
          <w:rFonts w:ascii="ITC Avant Garde" w:hAnsi="ITC Avant Garde"/>
          <w:b w:val="0"/>
          <w:bCs/>
          <w:color w:val="auto"/>
          <w:sz w:val="20"/>
          <w:szCs w:val="20"/>
          <w:lang w:val="es-MX"/>
        </w:rPr>
      </w:pPr>
    </w:p>
    <w:p w14:paraId="003644F3" w14:textId="77777777" w:rsidR="0066403F" w:rsidRDefault="0066403F" w:rsidP="0066403F">
      <w:pPr>
        <w:jc w:val="both"/>
        <w:rPr>
          <w:rFonts w:ascii="ITC Avant Garde" w:hAnsi="ITC Avant Garde"/>
          <w:b w:val="0"/>
          <w:bCs/>
          <w:color w:val="auto"/>
          <w:sz w:val="20"/>
          <w:szCs w:val="20"/>
          <w:lang w:val="es-MX"/>
        </w:rPr>
      </w:pPr>
      <w:r>
        <w:rPr>
          <w:rFonts w:ascii="ITC Avant Garde" w:hAnsi="ITC Avant Garde"/>
          <w:b w:val="0"/>
          <w:bCs/>
          <w:noProof/>
          <w:color w:val="auto"/>
          <w:sz w:val="20"/>
          <w:szCs w:val="20"/>
          <w:lang w:val="es-MX"/>
        </w:rPr>
        <w:lastRenderedPageBreak/>
        <w:drawing>
          <wp:inline distT="0" distB="0" distL="0" distR="0" wp14:anchorId="61FDD7EF" wp14:editId="6251DBB1">
            <wp:extent cx="5876925" cy="2838450"/>
            <wp:effectExtent l="0" t="0" r="9525" b="0"/>
            <wp:docPr id="1487421001"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FFDA25" w14:textId="77777777" w:rsidR="0066403F" w:rsidRDefault="0066403F" w:rsidP="0066403F">
      <w:pPr>
        <w:ind w:firstLine="360"/>
        <w:jc w:val="both"/>
        <w:rPr>
          <w:rFonts w:ascii="ITC Avant Garde" w:hAnsi="ITC Avant Garde"/>
          <w:b w:val="0"/>
          <w:color w:val="auto"/>
          <w:sz w:val="22"/>
          <w:lang w:val="es-MX"/>
        </w:rPr>
      </w:pPr>
    </w:p>
    <w:p w14:paraId="3E609C4D" w14:textId="77777777" w:rsidR="0066403F" w:rsidRPr="009210BA" w:rsidRDefault="0066403F" w:rsidP="0066403F">
      <w:pPr>
        <w:jc w:val="both"/>
        <w:rPr>
          <w:rFonts w:ascii="ITC Avant Garde" w:hAnsi="ITC Avant Garde"/>
          <w:b w:val="0"/>
          <w:bCs/>
          <w:color w:val="auto"/>
          <w:sz w:val="20"/>
          <w:szCs w:val="20"/>
          <w:lang w:val="es-MX"/>
        </w:rPr>
      </w:pPr>
      <w:r>
        <w:rPr>
          <w:rFonts w:ascii="ITC Avant Garde" w:hAnsi="ITC Avant Garde"/>
          <w:b w:val="0"/>
          <w:color w:val="auto"/>
          <w:sz w:val="22"/>
          <w:lang w:val="es-MX"/>
        </w:rPr>
        <w:t xml:space="preserve">También, se preguntó si la Ventanilla Electrónica contemplaba funciones de accesibilidad paras personas con discapacidad, como resultado se obtuvo </w:t>
      </w:r>
      <w:r w:rsidRPr="00220BBE">
        <w:rPr>
          <w:rFonts w:ascii="ITC Avant Garde" w:hAnsi="ITC Avant Garde"/>
          <w:b w:val="0"/>
          <w:color w:val="auto"/>
          <w:sz w:val="22"/>
          <w:lang w:val="es-MX"/>
        </w:rPr>
        <w:t>un nivel de satisfacción bajo</w:t>
      </w:r>
      <w:r>
        <w:rPr>
          <w:rFonts w:ascii="ITC Avant Garde" w:hAnsi="ITC Avant Garde"/>
          <w:b w:val="0"/>
          <w:color w:val="auto"/>
          <w:sz w:val="22"/>
          <w:lang w:val="es-MX"/>
        </w:rPr>
        <w:t xml:space="preserve">. </w:t>
      </w:r>
      <w:r w:rsidRPr="00220BBE">
        <w:rPr>
          <w:rFonts w:ascii="ITC Avant Garde" w:hAnsi="ITC Avant Garde"/>
          <w:b w:val="0"/>
          <w:color w:val="auto"/>
          <w:sz w:val="22"/>
          <w:lang w:val="es-MX"/>
        </w:rPr>
        <w:t>La mayoría desconoce o considera que no hay funciones de accesibilidad.</w:t>
      </w:r>
      <w:r>
        <w:rPr>
          <w:rFonts w:ascii="ITC Avant Garde" w:hAnsi="ITC Avant Garde"/>
          <w:b w:val="0"/>
          <w:color w:val="auto"/>
          <w:sz w:val="22"/>
          <w:lang w:val="es-MX"/>
        </w:rPr>
        <w:t xml:space="preserve"> </w:t>
      </w:r>
      <w:r>
        <w:rPr>
          <w:rFonts w:ascii="ITC Avant Garde" w:hAnsi="ITC Avant Garde"/>
          <w:b w:val="0"/>
          <w:bCs/>
          <w:color w:val="auto"/>
          <w:sz w:val="20"/>
          <w:szCs w:val="20"/>
          <w:lang w:val="es-MX"/>
        </w:rPr>
        <w:t>(</w:t>
      </w:r>
      <w:r>
        <w:rPr>
          <w:rFonts w:ascii="ITC Avant Garde" w:hAnsi="ITC Avant Garde"/>
          <w:b w:val="0"/>
          <w:bCs/>
          <w:color w:val="auto"/>
          <w:sz w:val="20"/>
          <w:szCs w:val="20"/>
        </w:rPr>
        <w:t>Los datos obtenidos se observan en la Tabla 8</w:t>
      </w:r>
      <w:r>
        <w:rPr>
          <w:rFonts w:ascii="ITC Avant Garde" w:hAnsi="ITC Avant Garde"/>
          <w:b w:val="0"/>
          <w:bCs/>
          <w:color w:val="auto"/>
          <w:sz w:val="20"/>
          <w:szCs w:val="20"/>
          <w:lang w:val="es-MX"/>
        </w:rPr>
        <w:t>)</w:t>
      </w:r>
    </w:p>
    <w:p w14:paraId="1B591C8D" w14:textId="77777777" w:rsidR="0066403F" w:rsidRDefault="0066403F" w:rsidP="0066403F">
      <w:pPr>
        <w:jc w:val="both"/>
        <w:rPr>
          <w:rFonts w:ascii="ITC Avant Garde" w:hAnsi="ITC Avant Garde"/>
          <w:b w:val="0"/>
          <w:bCs/>
          <w:color w:val="auto"/>
          <w:sz w:val="20"/>
          <w:szCs w:val="20"/>
          <w:lang w:val="es-MX"/>
        </w:rPr>
      </w:pPr>
    </w:p>
    <w:p w14:paraId="44A91A40" w14:textId="77777777" w:rsidR="0066403F" w:rsidRPr="002A7B48" w:rsidRDefault="0066403F" w:rsidP="0066403F">
      <w:pPr>
        <w:jc w:val="both"/>
        <w:rPr>
          <w:rFonts w:ascii="ITC Avant Garde" w:hAnsi="ITC Avant Garde"/>
          <w:b w:val="0"/>
          <w:bCs/>
          <w:color w:val="auto"/>
          <w:sz w:val="20"/>
          <w:szCs w:val="20"/>
          <w:lang w:val="es-MX"/>
        </w:rPr>
      </w:pPr>
      <w:r>
        <w:rPr>
          <w:rFonts w:ascii="ITC Avant Garde" w:hAnsi="ITC Avant Garde"/>
          <w:b w:val="0"/>
          <w:bCs/>
          <w:noProof/>
          <w:color w:val="auto"/>
          <w:sz w:val="20"/>
          <w:szCs w:val="20"/>
          <w:lang w:val="es-MX"/>
        </w:rPr>
        <w:drawing>
          <wp:inline distT="0" distB="0" distL="0" distR="0" wp14:anchorId="7965F668" wp14:editId="57AADD34">
            <wp:extent cx="5848350" cy="2762250"/>
            <wp:effectExtent l="0" t="0" r="0" b="0"/>
            <wp:docPr id="795097166"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660D89A" w14:textId="77777777" w:rsidR="0066403F" w:rsidRDefault="0066403F" w:rsidP="0066403F">
      <w:pPr>
        <w:ind w:firstLine="360"/>
        <w:jc w:val="both"/>
        <w:rPr>
          <w:rFonts w:ascii="ITC Avant Garde" w:hAnsi="ITC Avant Garde"/>
          <w:b w:val="0"/>
          <w:color w:val="auto"/>
          <w:sz w:val="22"/>
          <w:lang w:val="es-MX"/>
        </w:rPr>
      </w:pPr>
    </w:p>
    <w:p w14:paraId="6C624D21" w14:textId="77777777" w:rsidR="0066403F" w:rsidRDefault="0066403F" w:rsidP="0066403F">
      <w:pPr>
        <w:jc w:val="both"/>
        <w:rPr>
          <w:rFonts w:ascii="ITC Avant Garde" w:hAnsi="ITC Avant Garde"/>
          <w:b w:val="0"/>
          <w:bCs/>
          <w:color w:val="auto"/>
          <w:sz w:val="20"/>
          <w:szCs w:val="20"/>
          <w:lang w:val="es-MX"/>
        </w:rPr>
      </w:pPr>
      <w:r>
        <w:rPr>
          <w:rFonts w:ascii="ITC Avant Garde" w:hAnsi="ITC Avant Garde"/>
          <w:b w:val="0"/>
          <w:color w:val="auto"/>
          <w:sz w:val="22"/>
          <w:lang w:val="es-MX"/>
        </w:rPr>
        <w:t xml:space="preserve">Por su parte, se valoró la frecuencia de contacto sobre el IFT para asesoría sobre el uso de la Ventanilla Electrónica, derivado de las respuestas se obtuvo un </w:t>
      </w:r>
      <w:r w:rsidRPr="00220BBE">
        <w:rPr>
          <w:rFonts w:ascii="ITC Avant Garde" w:hAnsi="ITC Avant Garde"/>
          <w:b w:val="0"/>
          <w:color w:val="auto"/>
          <w:sz w:val="22"/>
          <w:lang w:val="es-MX"/>
        </w:rPr>
        <w:t>nivel de satisfacción neutral</w:t>
      </w:r>
      <w:r>
        <w:rPr>
          <w:rFonts w:ascii="ITC Avant Garde" w:hAnsi="ITC Avant Garde"/>
          <w:b w:val="0"/>
          <w:color w:val="auto"/>
          <w:sz w:val="22"/>
          <w:lang w:val="es-MX"/>
        </w:rPr>
        <w:t xml:space="preserve">. </w:t>
      </w:r>
      <w:r w:rsidRPr="00220BBE">
        <w:rPr>
          <w:rFonts w:ascii="ITC Avant Garde" w:hAnsi="ITC Avant Garde"/>
          <w:b w:val="0"/>
          <w:color w:val="auto"/>
          <w:sz w:val="22"/>
          <w:lang w:val="es-MX"/>
        </w:rPr>
        <w:t>La mayoría ha necesitado contactar al IFT ocasionalmente.</w:t>
      </w:r>
      <w:r>
        <w:rPr>
          <w:rFonts w:ascii="ITC Avant Garde" w:hAnsi="ITC Avant Garde"/>
          <w:b w:val="0"/>
          <w:color w:val="auto"/>
          <w:sz w:val="22"/>
          <w:lang w:val="es-MX"/>
        </w:rPr>
        <w:t xml:space="preserve"> </w:t>
      </w:r>
      <w:r>
        <w:rPr>
          <w:rFonts w:ascii="ITC Avant Garde" w:hAnsi="ITC Avant Garde"/>
          <w:b w:val="0"/>
          <w:bCs/>
          <w:color w:val="auto"/>
          <w:sz w:val="20"/>
          <w:szCs w:val="20"/>
          <w:lang w:val="es-MX"/>
        </w:rPr>
        <w:t>(</w:t>
      </w:r>
      <w:r>
        <w:rPr>
          <w:rFonts w:ascii="ITC Avant Garde" w:hAnsi="ITC Avant Garde"/>
          <w:b w:val="0"/>
          <w:bCs/>
          <w:color w:val="auto"/>
          <w:sz w:val="20"/>
          <w:szCs w:val="20"/>
        </w:rPr>
        <w:t>Los datos obtenidos se observan en la Tabla 9</w:t>
      </w:r>
      <w:r>
        <w:rPr>
          <w:rFonts w:ascii="ITC Avant Garde" w:hAnsi="ITC Avant Garde"/>
          <w:b w:val="0"/>
          <w:bCs/>
          <w:color w:val="auto"/>
          <w:sz w:val="20"/>
          <w:szCs w:val="20"/>
          <w:lang w:val="es-MX"/>
        </w:rPr>
        <w:t>)</w:t>
      </w:r>
    </w:p>
    <w:p w14:paraId="1235EC3E" w14:textId="77777777" w:rsidR="0066403F" w:rsidRDefault="0066403F" w:rsidP="0066403F">
      <w:pPr>
        <w:jc w:val="both"/>
        <w:rPr>
          <w:rFonts w:ascii="ITC Avant Garde" w:hAnsi="ITC Avant Garde"/>
          <w:b w:val="0"/>
          <w:color w:val="auto"/>
          <w:sz w:val="22"/>
          <w:lang w:val="es-MX"/>
        </w:rPr>
      </w:pPr>
      <w:r>
        <w:rPr>
          <w:rFonts w:ascii="ITC Avant Garde" w:hAnsi="ITC Avant Garde"/>
          <w:b w:val="0"/>
          <w:noProof/>
          <w:color w:val="auto"/>
          <w:sz w:val="22"/>
          <w:lang w:val="es-MX"/>
        </w:rPr>
        <w:lastRenderedPageBreak/>
        <w:drawing>
          <wp:inline distT="0" distB="0" distL="0" distR="0" wp14:anchorId="50F5039C" wp14:editId="62984AD7">
            <wp:extent cx="5876925" cy="2990850"/>
            <wp:effectExtent l="0" t="0" r="9525" b="0"/>
            <wp:docPr id="208271459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B4C6BD" w14:textId="77777777" w:rsidR="0066403F" w:rsidRPr="006E7EC1" w:rsidRDefault="0066403F" w:rsidP="0066403F">
      <w:pPr>
        <w:ind w:firstLine="360"/>
        <w:jc w:val="both"/>
        <w:rPr>
          <w:rFonts w:ascii="ITC Avant Garde" w:hAnsi="ITC Avant Garde"/>
          <w:b w:val="0"/>
          <w:color w:val="auto"/>
          <w:sz w:val="22"/>
        </w:rPr>
      </w:pPr>
    </w:p>
    <w:p w14:paraId="67390DAF" w14:textId="77777777" w:rsidR="0066403F" w:rsidRPr="006E7EC1" w:rsidRDefault="0066403F" w:rsidP="0066403F">
      <w:pPr>
        <w:jc w:val="both"/>
        <w:rPr>
          <w:rFonts w:ascii="ITC Avant Garde" w:hAnsi="ITC Avant Garde"/>
          <w:color w:val="auto"/>
          <w:sz w:val="22"/>
        </w:rPr>
      </w:pPr>
      <w:r w:rsidRPr="006E7EC1">
        <w:rPr>
          <w:rFonts w:ascii="ITC Avant Garde" w:hAnsi="ITC Avant Garde"/>
          <w:color w:val="auto"/>
          <w:sz w:val="22"/>
        </w:rPr>
        <w:t>Marco regulatorio que respalde la estrategia de gobierno electrónico</w:t>
      </w:r>
    </w:p>
    <w:p w14:paraId="12CEE84A" w14:textId="77777777" w:rsidR="0066403F" w:rsidRDefault="0066403F" w:rsidP="0066403F">
      <w:pPr>
        <w:ind w:left="360"/>
        <w:jc w:val="both"/>
        <w:rPr>
          <w:rFonts w:ascii="ITC Avant Garde" w:hAnsi="ITC Avant Garde"/>
          <w:b w:val="0"/>
          <w:bCs/>
          <w:color w:val="auto"/>
          <w:sz w:val="20"/>
          <w:szCs w:val="20"/>
        </w:rPr>
      </w:pPr>
    </w:p>
    <w:p w14:paraId="26B22013" w14:textId="77777777" w:rsidR="0066403F" w:rsidRDefault="0066403F" w:rsidP="0066403F">
      <w:pPr>
        <w:jc w:val="both"/>
        <w:rPr>
          <w:rFonts w:ascii="ITC Avant Garde" w:hAnsi="ITC Avant Garde"/>
          <w:b w:val="0"/>
          <w:bCs/>
          <w:color w:val="auto"/>
          <w:sz w:val="20"/>
          <w:szCs w:val="20"/>
        </w:rPr>
      </w:pPr>
      <w:r>
        <w:rPr>
          <w:rFonts w:ascii="ITC Avant Garde" w:hAnsi="ITC Avant Garde"/>
          <w:b w:val="0"/>
          <w:bCs/>
          <w:color w:val="auto"/>
          <w:sz w:val="20"/>
          <w:szCs w:val="20"/>
        </w:rPr>
        <w:t>La creación de un marco regulatorio que respalde y sustente el diseño, implementación, uso y evaluación de las TIC al interior y en relación con otros actores sociales, resulta ser para la CEPAL</w:t>
      </w:r>
      <w:r>
        <w:rPr>
          <w:rStyle w:val="Refdenotaalpie"/>
          <w:rFonts w:ascii="ITC Avant Garde" w:hAnsi="ITC Avant Garde"/>
          <w:b w:val="0"/>
          <w:bCs/>
          <w:color w:val="auto"/>
          <w:sz w:val="20"/>
          <w:szCs w:val="20"/>
        </w:rPr>
        <w:footnoteReference w:id="18"/>
      </w:r>
      <w:r>
        <w:rPr>
          <w:rFonts w:ascii="ITC Avant Garde" w:hAnsi="ITC Avant Garde"/>
          <w:b w:val="0"/>
          <w:bCs/>
          <w:color w:val="auto"/>
          <w:sz w:val="20"/>
          <w:szCs w:val="20"/>
        </w:rPr>
        <w:t xml:space="preserve"> un beneficio adicional, ya que brinda certeza respecto al uso o creación de información a través de medios electrónicos.</w:t>
      </w:r>
    </w:p>
    <w:p w14:paraId="022C951B" w14:textId="77777777" w:rsidR="0066403F" w:rsidRDefault="0066403F" w:rsidP="0066403F">
      <w:pPr>
        <w:jc w:val="both"/>
        <w:rPr>
          <w:rFonts w:ascii="ITC Avant Garde" w:hAnsi="ITC Avant Garde"/>
          <w:b w:val="0"/>
          <w:bCs/>
          <w:color w:val="auto"/>
          <w:sz w:val="20"/>
          <w:szCs w:val="20"/>
        </w:rPr>
      </w:pPr>
    </w:p>
    <w:p w14:paraId="0360CC82" w14:textId="77777777" w:rsidR="0066403F" w:rsidRDefault="0066403F" w:rsidP="0066403F">
      <w:pPr>
        <w:jc w:val="both"/>
        <w:rPr>
          <w:rFonts w:ascii="ITC Avant Garde" w:hAnsi="ITC Avant Garde"/>
          <w:b w:val="0"/>
          <w:bCs/>
          <w:color w:val="auto"/>
          <w:sz w:val="20"/>
          <w:szCs w:val="20"/>
        </w:rPr>
      </w:pPr>
      <w:r>
        <w:rPr>
          <w:rFonts w:ascii="ITC Avant Garde" w:hAnsi="ITC Avant Garde"/>
          <w:b w:val="0"/>
          <w:bCs/>
          <w:color w:val="auto"/>
          <w:sz w:val="20"/>
          <w:szCs w:val="20"/>
        </w:rPr>
        <w:t>En virtud de ello, se incorporaron reactivos relacionados con la participación de las personas en las consultas públicas sobre la Ventanilla Electrónica, la claridad del marco legal que sustenta la creación, desarrollo y uso de la Ventanilla Electrónica y de aquellas que regulan la presentación de los trámites y/o servicios a cargo del Instituto y finalmente, si se considera que la Ventanilla Electrónica cumple con el marco regulatorio establecido.</w:t>
      </w:r>
    </w:p>
    <w:p w14:paraId="33924456" w14:textId="77777777" w:rsidR="0066403F" w:rsidRDefault="0066403F" w:rsidP="0066403F">
      <w:pPr>
        <w:jc w:val="both"/>
        <w:rPr>
          <w:rFonts w:ascii="ITC Avant Garde" w:hAnsi="ITC Avant Garde"/>
          <w:b w:val="0"/>
          <w:bCs/>
          <w:color w:val="auto"/>
          <w:sz w:val="20"/>
          <w:szCs w:val="20"/>
        </w:rPr>
      </w:pPr>
    </w:p>
    <w:p w14:paraId="0D546F0D" w14:textId="77777777" w:rsidR="0066403F" w:rsidRPr="000B6C14" w:rsidRDefault="0066403F" w:rsidP="0066403F">
      <w:pPr>
        <w:jc w:val="both"/>
        <w:rPr>
          <w:rFonts w:ascii="ITC Avant Garde" w:hAnsi="ITC Avant Garde"/>
          <w:b w:val="0"/>
          <w:bCs/>
          <w:color w:val="auto"/>
          <w:sz w:val="20"/>
          <w:szCs w:val="20"/>
          <w:lang w:val="es-MX"/>
        </w:rPr>
      </w:pPr>
      <w:r>
        <w:rPr>
          <w:rFonts w:ascii="ITC Avant Garde" w:hAnsi="ITC Avant Garde"/>
          <w:b w:val="0"/>
          <w:color w:val="auto"/>
          <w:sz w:val="22"/>
          <w:lang w:val="es-MX"/>
        </w:rPr>
        <w:t xml:space="preserve">En relación con la valoración de la participación de las personas usuarias de la Ventanilla Electrónica en las consultas públicas que regula la herramienta electrónica referida, se obtuvo </w:t>
      </w:r>
      <w:r w:rsidRPr="00220BBE">
        <w:rPr>
          <w:rFonts w:ascii="ITC Avant Garde" w:hAnsi="ITC Avant Garde"/>
          <w:b w:val="0"/>
          <w:color w:val="auto"/>
          <w:sz w:val="22"/>
          <w:lang w:val="es-MX"/>
        </w:rPr>
        <w:t xml:space="preserve">un nivel de satisfacción alto. La mayoría ha tenido una participación </w:t>
      </w:r>
      <w:r>
        <w:rPr>
          <w:rFonts w:ascii="ITC Avant Garde" w:hAnsi="ITC Avant Garde"/>
          <w:b w:val="0"/>
          <w:color w:val="auto"/>
          <w:sz w:val="22"/>
          <w:lang w:val="es-MX"/>
        </w:rPr>
        <w:t xml:space="preserve">activa </w:t>
      </w:r>
      <w:r w:rsidRPr="00220BBE">
        <w:rPr>
          <w:rFonts w:ascii="ITC Avant Garde" w:hAnsi="ITC Avant Garde"/>
          <w:b w:val="0"/>
          <w:color w:val="auto"/>
          <w:sz w:val="22"/>
          <w:lang w:val="es-MX"/>
        </w:rPr>
        <w:t>o muy activa.</w:t>
      </w:r>
      <w:r>
        <w:rPr>
          <w:rFonts w:ascii="ITC Avant Garde" w:hAnsi="ITC Avant Garde"/>
          <w:b w:val="0"/>
          <w:color w:val="auto"/>
          <w:sz w:val="22"/>
          <w:lang w:val="es-MX"/>
        </w:rPr>
        <w:t xml:space="preserve"> </w:t>
      </w:r>
      <w:r>
        <w:rPr>
          <w:rFonts w:ascii="ITC Avant Garde" w:hAnsi="ITC Avant Garde"/>
          <w:b w:val="0"/>
          <w:bCs/>
          <w:color w:val="auto"/>
          <w:sz w:val="20"/>
          <w:szCs w:val="20"/>
          <w:lang w:val="es-MX"/>
        </w:rPr>
        <w:t>(</w:t>
      </w:r>
      <w:r>
        <w:rPr>
          <w:rFonts w:ascii="ITC Avant Garde" w:hAnsi="ITC Avant Garde"/>
          <w:b w:val="0"/>
          <w:bCs/>
          <w:color w:val="auto"/>
          <w:sz w:val="20"/>
          <w:szCs w:val="20"/>
        </w:rPr>
        <w:t>Los datos obtenidos se observan en la Tabla 10</w:t>
      </w:r>
      <w:r>
        <w:rPr>
          <w:rFonts w:ascii="ITC Avant Garde" w:hAnsi="ITC Avant Garde"/>
          <w:b w:val="0"/>
          <w:bCs/>
          <w:color w:val="auto"/>
          <w:sz w:val="20"/>
          <w:szCs w:val="20"/>
          <w:lang w:val="es-MX"/>
        </w:rPr>
        <w:t>)</w:t>
      </w:r>
    </w:p>
    <w:p w14:paraId="7B350BD1" w14:textId="77777777" w:rsidR="0066403F" w:rsidRDefault="0066403F" w:rsidP="0066403F">
      <w:pPr>
        <w:jc w:val="both"/>
        <w:rPr>
          <w:rFonts w:ascii="ITC Avant Garde" w:hAnsi="ITC Avant Garde"/>
          <w:b w:val="0"/>
          <w:bCs/>
          <w:color w:val="auto"/>
          <w:sz w:val="20"/>
          <w:szCs w:val="20"/>
          <w:lang w:val="es-MX"/>
        </w:rPr>
      </w:pPr>
    </w:p>
    <w:p w14:paraId="3D133B10" w14:textId="77777777" w:rsidR="0066403F" w:rsidRDefault="0066403F" w:rsidP="0066403F">
      <w:pPr>
        <w:jc w:val="both"/>
        <w:rPr>
          <w:rFonts w:ascii="ITC Avant Garde" w:hAnsi="ITC Avant Garde"/>
          <w:b w:val="0"/>
          <w:bCs/>
          <w:color w:val="auto"/>
          <w:sz w:val="20"/>
          <w:szCs w:val="20"/>
          <w:lang w:val="es-MX"/>
        </w:rPr>
      </w:pPr>
      <w:r>
        <w:rPr>
          <w:rFonts w:ascii="ITC Avant Garde" w:hAnsi="ITC Avant Garde"/>
          <w:b w:val="0"/>
          <w:bCs/>
          <w:noProof/>
          <w:color w:val="auto"/>
          <w:sz w:val="20"/>
          <w:szCs w:val="20"/>
          <w:lang w:val="es-MX"/>
        </w:rPr>
        <w:lastRenderedPageBreak/>
        <w:drawing>
          <wp:inline distT="0" distB="0" distL="0" distR="0" wp14:anchorId="077C0BC7" wp14:editId="3CDC7376">
            <wp:extent cx="5829300" cy="3000375"/>
            <wp:effectExtent l="0" t="0" r="0" b="9525"/>
            <wp:docPr id="1964321549"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5CDA6DC" w14:textId="77777777" w:rsidR="0066403F" w:rsidRDefault="0066403F" w:rsidP="0066403F">
      <w:pPr>
        <w:jc w:val="both"/>
        <w:rPr>
          <w:rFonts w:ascii="ITC Avant Garde" w:hAnsi="ITC Avant Garde"/>
          <w:b w:val="0"/>
          <w:bCs/>
          <w:color w:val="auto"/>
          <w:sz w:val="20"/>
          <w:szCs w:val="20"/>
          <w:lang w:val="es-MX"/>
        </w:rPr>
      </w:pPr>
    </w:p>
    <w:p w14:paraId="5D871BCA" w14:textId="77777777" w:rsidR="0066403F" w:rsidRPr="00E07F35" w:rsidRDefault="0066403F" w:rsidP="0066403F">
      <w:pPr>
        <w:jc w:val="both"/>
        <w:rPr>
          <w:rFonts w:ascii="ITC Avant Garde" w:hAnsi="ITC Avant Garde"/>
          <w:b w:val="0"/>
          <w:bCs/>
          <w:color w:val="auto"/>
          <w:sz w:val="20"/>
          <w:szCs w:val="20"/>
          <w:lang w:val="es-MX"/>
        </w:rPr>
      </w:pPr>
      <w:r>
        <w:rPr>
          <w:rFonts w:ascii="ITC Avant Garde" w:hAnsi="ITC Avant Garde"/>
          <w:b w:val="0"/>
          <w:bCs/>
          <w:color w:val="auto"/>
          <w:sz w:val="20"/>
          <w:szCs w:val="20"/>
          <w:lang w:val="es-MX"/>
        </w:rPr>
        <w:t>En relación con la c</w:t>
      </w:r>
      <w:r w:rsidRPr="00F3455C">
        <w:rPr>
          <w:rFonts w:ascii="ITC Avant Garde" w:hAnsi="ITC Avant Garde"/>
          <w:b w:val="0"/>
          <w:bCs/>
          <w:color w:val="auto"/>
          <w:sz w:val="20"/>
          <w:szCs w:val="20"/>
          <w:lang w:val="es-MX"/>
        </w:rPr>
        <w:t xml:space="preserve">laridad de los </w:t>
      </w:r>
      <w:r w:rsidRPr="00176004">
        <w:rPr>
          <w:rFonts w:ascii="ITC Avant Garde" w:hAnsi="ITC Avant Garde"/>
          <w:b w:val="0"/>
          <w:bCs/>
          <w:i/>
          <w:iCs/>
          <w:color w:val="auto"/>
          <w:sz w:val="20"/>
          <w:szCs w:val="20"/>
          <w:lang w:val="es-MX"/>
        </w:rPr>
        <w:t>Lineamientos para la sustanciación de los trámites y servicios que se realicen ante el Instituto Federal de Telecomunicaciones, a través de la Ventanilla Electrónica</w:t>
      </w:r>
      <w:r>
        <w:rPr>
          <w:rFonts w:ascii="ITC Avant Garde" w:hAnsi="ITC Avant Garde"/>
          <w:b w:val="0"/>
          <w:bCs/>
          <w:i/>
          <w:iCs/>
          <w:color w:val="auto"/>
          <w:sz w:val="20"/>
          <w:szCs w:val="20"/>
          <w:lang w:val="es-MX"/>
        </w:rPr>
        <w:t>, se</w:t>
      </w:r>
      <w:r>
        <w:rPr>
          <w:rFonts w:ascii="ITC Avant Garde" w:hAnsi="ITC Avant Garde"/>
          <w:b w:val="0"/>
          <w:bCs/>
          <w:color w:val="auto"/>
          <w:sz w:val="20"/>
          <w:szCs w:val="20"/>
          <w:lang w:val="es-MX"/>
        </w:rPr>
        <w:t xml:space="preserve"> obtuvo un nivel de </w:t>
      </w:r>
      <w:r w:rsidRPr="00F3455C">
        <w:rPr>
          <w:rFonts w:ascii="ITC Avant Garde" w:hAnsi="ITC Avant Garde"/>
          <w:b w:val="0"/>
          <w:bCs/>
          <w:color w:val="auto"/>
          <w:sz w:val="20"/>
          <w:szCs w:val="20"/>
          <w:lang w:val="es-MX"/>
        </w:rPr>
        <w:t>satisfacción neutral. Las opiniones están divididas entre claros</w:t>
      </w:r>
      <w:r>
        <w:rPr>
          <w:rFonts w:ascii="ITC Avant Garde" w:hAnsi="ITC Avant Garde"/>
          <w:b w:val="0"/>
          <w:bCs/>
          <w:color w:val="auto"/>
          <w:sz w:val="20"/>
          <w:szCs w:val="20"/>
          <w:lang w:val="es-MX"/>
        </w:rPr>
        <w:t>, neutral</w:t>
      </w:r>
      <w:r w:rsidRPr="00F3455C">
        <w:rPr>
          <w:rFonts w:ascii="ITC Avant Garde" w:hAnsi="ITC Avant Garde"/>
          <w:b w:val="0"/>
          <w:bCs/>
          <w:color w:val="auto"/>
          <w:sz w:val="20"/>
          <w:szCs w:val="20"/>
          <w:lang w:val="es-MX"/>
        </w:rPr>
        <w:t xml:space="preserve"> y poco claros</w:t>
      </w:r>
      <w:r>
        <w:rPr>
          <w:rFonts w:ascii="ITC Avant Garde" w:hAnsi="ITC Avant Garde"/>
          <w:b w:val="0"/>
          <w:bCs/>
          <w:color w:val="auto"/>
          <w:sz w:val="20"/>
          <w:szCs w:val="20"/>
          <w:lang w:val="es-MX"/>
        </w:rPr>
        <w:t>. (</w:t>
      </w:r>
      <w:r>
        <w:rPr>
          <w:rFonts w:ascii="ITC Avant Garde" w:hAnsi="ITC Avant Garde"/>
          <w:b w:val="0"/>
          <w:bCs/>
          <w:color w:val="auto"/>
          <w:sz w:val="20"/>
          <w:szCs w:val="20"/>
        </w:rPr>
        <w:t>Los datos obtenidos se observan en la Tabla 11</w:t>
      </w:r>
      <w:r>
        <w:rPr>
          <w:rFonts w:ascii="ITC Avant Garde" w:hAnsi="ITC Avant Garde"/>
          <w:b w:val="0"/>
          <w:bCs/>
          <w:color w:val="auto"/>
          <w:sz w:val="20"/>
          <w:szCs w:val="20"/>
          <w:lang w:val="es-MX"/>
        </w:rPr>
        <w:t>)</w:t>
      </w:r>
    </w:p>
    <w:p w14:paraId="2341F45E" w14:textId="77777777" w:rsidR="0066403F" w:rsidRDefault="0066403F" w:rsidP="0066403F">
      <w:pPr>
        <w:jc w:val="both"/>
        <w:rPr>
          <w:rFonts w:ascii="ITC Avant Garde" w:hAnsi="ITC Avant Garde"/>
          <w:b w:val="0"/>
          <w:bCs/>
          <w:color w:val="auto"/>
          <w:sz w:val="20"/>
          <w:szCs w:val="20"/>
          <w:lang w:val="es-MX"/>
        </w:rPr>
      </w:pPr>
    </w:p>
    <w:p w14:paraId="344887C6" w14:textId="77777777" w:rsidR="0066403F" w:rsidRDefault="0066403F" w:rsidP="0066403F">
      <w:pPr>
        <w:jc w:val="both"/>
        <w:rPr>
          <w:rFonts w:ascii="ITC Avant Garde" w:hAnsi="ITC Avant Garde"/>
          <w:b w:val="0"/>
          <w:bCs/>
          <w:color w:val="auto"/>
          <w:sz w:val="20"/>
          <w:szCs w:val="20"/>
          <w:lang w:val="es-MX"/>
        </w:rPr>
      </w:pPr>
      <w:r>
        <w:rPr>
          <w:rFonts w:ascii="ITC Avant Garde" w:hAnsi="ITC Avant Garde"/>
          <w:b w:val="0"/>
          <w:bCs/>
          <w:noProof/>
          <w:color w:val="auto"/>
          <w:sz w:val="20"/>
          <w:szCs w:val="20"/>
          <w:lang w:val="es-MX"/>
        </w:rPr>
        <w:drawing>
          <wp:inline distT="0" distB="0" distL="0" distR="0" wp14:anchorId="7046491C" wp14:editId="536FAFCE">
            <wp:extent cx="5886450" cy="2981325"/>
            <wp:effectExtent l="0" t="0" r="0" b="9525"/>
            <wp:docPr id="1241636995"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8D97A9" w14:textId="77777777" w:rsidR="0066403F" w:rsidRDefault="0066403F" w:rsidP="0066403F">
      <w:pPr>
        <w:jc w:val="both"/>
        <w:rPr>
          <w:rFonts w:ascii="ITC Avant Garde" w:hAnsi="ITC Avant Garde"/>
          <w:b w:val="0"/>
          <w:bCs/>
          <w:color w:val="auto"/>
          <w:sz w:val="20"/>
          <w:szCs w:val="20"/>
          <w:lang w:val="es-MX"/>
        </w:rPr>
      </w:pPr>
    </w:p>
    <w:p w14:paraId="1C001B58" w14:textId="77777777" w:rsidR="0066403F" w:rsidRPr="00505EDC" w:rsidRDefault="0066403F" w:rsidP="0066403F">
      <w:pPr>
        <w:jc w:val="both"/>
        <w:rPr>
          <w:rFonts w:ascii="ITC Avant Garde" w:hAnsi="ITC Avant Garde"/>
          <w:b w:val="0"/>
          <w:bCs/>
          <w:color w:val="auto"/>
          <w:sz w:val="20"/>
          <w:szCs w:val="20"/>
          <w:lang w:val="es-MX"/>
        </w:rPr>
      </w:pPr>
      <w:r>
        <w:rPr>
          <w:rFonts w:ascii="ITC Avant Garde" w:hAnsi="ITC Avant Garde"/>
          <w:b w:val="0"/>
          <w:bCs/>
          <w:color w:val="auto"/>
          <w:sz w:val="20"/>
          <w:szCs w:val="20"/>
          <w:lang w:val="es-MX"/>
        </w:rPr>
        <w:t xml:space="preserve">Por su parte, en relación con la claridad de las disposiciones jurídicas que regulan la presentación de los trámites y servicios del Instituto a través de la Ventanilla Electrónica, se obtuvo un nivel de </w:t>
      </w:r>
      <w:r w:rsidRPr="00F3455C">
        <w:rPr>
          <w:rFonts w:ascii="ITC Avant Garde" w:hAnsi="ITC Avant Garde"/>
          <w:b w:val="0"/>
          <w:bCs/>
          <w:color w:val="auto"/>
          <w:sz w:val="20"/>
          <w:szCs w:val="20"/>
          <w:lang w:val="es-MX"/>
        </w:rPr>
        <w:t>satisfacción neutral. Las opiniones están divididas entre claros y poco claros.</w:t>
      </w:r>
      <w:r>
        <w:rPr>
          <w:rFonts w:ascii="ITC Avant Garde" w:hAnsi="ITC Avant Garde"/>
          <w:b w:val="0"/>
          <w:bCs/>
          <w:color w:val="auto"/>
          <w:sz w:val="20"/>
          <w:szCs w:val="20"/>
          <w:lang w:val="es-MX"/>
        </w:rPr>
        <w:t xml:space="preserve"> (</w:t>
      </w:r>
      <w:r>
        <w:rPr>
          <w:rFonts w:ascii="ITC Avant Garde" w:hAnsi="ITC Avant Garde"/>
          <w:b w:val="0"/>
          <w:bCs/>
          <w:color w:val="auto"/>
          <w:sz w:val="20"/>
          <w:szCs w:val="20"/>
        </w:rPr>
        <w:t>Los datos obtenidos se observan en la Tabla 12</w:t>
      </w:r>
      <w:r>
        <w:rPr>
          <w:rFonts w:ascii="ITC Avant Garde" w:hAnsi="ITC Avant Garde"/>
          <w:b w:val="0"/>
          <w:bCs/>
          <w:color w:val="auto"/>
          <w:sz w:val="20"/>
          <w:szCs w:val="20"/>
          <w:lang w:val="es-MX"/>
        </w:rPr>
        <w:t>)</w:t>
      </w:r>
    </w:p>
    <w:p w14:paraId="4B25B67E" w14:textId="77777777" w:rsidR="0066403F" w:rsidRDefault="0066403F" w:rsidP="0066403F">
      <w:pPr>
        <w:jc w:val="both"/>
        <w:rPr>
          <w:rFonts w:ascii="ITC Avant Garde" w:hAnsi="ITC Avant Garde"/>
          <w:b w:val="0"/>
          <w:bCs/>
          <w:color w:val="auto"/>
          <w:sz w:val="20"/>
          <w:szCs w:val="20"/>
          <w:lang w:val="es-MX"/>
        </w:rPr>
      </w:pPr>
    </w:p>
    <w:p w14:paraId="00D6CA1B" w14:textId="77777777" w:rsidR="0066403F" w:rsidRDefault="0066403F" w:rsidP="0066403F">
      <w:pPr>
        <w:jc w:val="both"/>
        <w:rPr>
          <w:rFonts w:ascii="ITC Avant Garde" w:hAnsi="ITC Avant Garde"/>
          <w:b w:val="0"/>
          <w:bCs/>
          <w:color w:val="auto"/>
          <w:sz w:val="20"/>
          <w:szCs w:val="20"/>
          <w:lang w:val="es-MX"/>
        </w:rPr>
      </w:pPr>
      <w:r>
        <w:rPr>
          <w:rFonts w:ascii="ITC Avant Garde" w:hAnsi="ITC Avant Garde"/>
          <w:b w:val="0"/>
          <w:bCs/>
          <w:noProof/>
          <w:color w:val="auto"/>
          <w:sz w:val="20"/>
          <w:szCs w:val="20"/>
          <w:lang w:val="es-MX"/>
        </w:rPr>
        <w:lastRenderedPageBreak/>
        <w:drawing>
          <wp:inline distT="0" distB="0" distL="0" distR="0" wp14:anchorId="7EB85CC1" wp14:editId="01CB600A">
            <wp:extent cx="5800725" cy="2962275"/>
            <wp:effectExtent l="0" t="0" r="9525" b="9525"/>
            <wp:docPr id="1045621737"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14287A" w14:textId="77777777" w:rsidR="0066403F" w:rsidRPr="00F3455C" w:rsidRDefault="0066403F" w:rsidP="0066403F">
      <w:pPr>
        <w:jc w:val="both"/>
        <w:rPr>
          <w:rFonts w:ascii="ITC Avant Garde" w:hAnsi="ITC Avant Garde"/>
          <w:b w:val="0"/>
          <w:bCs/>
          <w:color w:val="auto"/>
          <w:sz w:val="20"/>
          <w:szCs w:val="20"/>
          <w:lang w:val="es-MX"/>
        </w:rPr>
      </w:pPr>
    </w:p>
    <w:p w14:paraId="5F61B2C7" w14:textId="77777777" w:rsidR="0066403F" w:rsidRDefault="0066403F" w:rsidP="0066403F">
      <w:pPr>
        <w:jc w:val="both"/>
        <w:rPr>
          <w:rFonts w:ascii="ITC Avant Garde" w:hAnsi="ITC Avant Garde"/>
          <w:b w:val="0"/>
          <w:bCs/>
          <w:color w:val="auto"/>
          <w:sz w:val="20"/>
          <w:szCs w:val="20"/>
          <w:lang w:val="es-MX"/>
        </w:rPr>
      </w:pPr>
      <w:r>
        <w:rPr>
          <w:rFonts w:ascii="ITC Avant Garde" w:hAnsi="ITC Avant Garde"/>
          <w:b w:val="0"/>
          <w:bCs/>
          <w:color w:val="auto"/>
          <w:sz w:val="20"/>
          <w:szCs w:val="20"/>
          <w:lang w:val="es-MX"/>
        </w:rPr>
        <w:t xml:space="preserve">Respecto al análisis relacionado con la consideración de las personas que la Ventanilla Electrónica y su cumplimiento con </w:t>
      </w:r>
      <w:r w:rsidRPr="00F3455C">
        <w:rPr>
          <w:rFonts w:ascii="ITC Avant Garde" w:hAnsi="ITC Avant Garde"/>
          <w:b w:val="0"/>
          <w:bCs/>
          <w:color w:val="auto"/>
          <w:sz w:val="20"/>
          <w:szCs w:val="20"/>
          <w:lang w:val="es-MX"/>
        </w:rPr>
        <w:t>el marco regulatorio</w:t>
      </w:r>
      <w:r>
        <w:rPr>
          <w:rFonts w:ascii="ITC Avant Garde" w:hAnsi="ITC Avant Garde"/>
          <w:b w:val="0"/>
          <w:bCs/>
          <w:color w:val="auto"/>
          <w:sz w:val="20"/>
          <w:szCs w:val="20"/>
          <w:lang w:val="es-MX"/>
        </w:rPr>
        <w:t xml:space="preserve"> establecido, se obtuvo</w:t>
      </w:r>
      <w:r w:rsidRPr="00F3455C">
        <w:rPr>
          <w:rFonts w:ascii="ITC Avant Garde" w:hAnsi="ITC Avant Garde"/>
          <w:b w:val="0"/>
          <w:bCs/>
          <w:color w:val="auto"/>
          <w:sz w:val="20"/>
          <w:szCs w:val="20"/>
          <w:lang w:val="es-MX"/>
        </w:rPr>
        <w:t xml:space="preserve"> un nivel de satisfacción a</w:t>
      </w:r>
      <w:r>
        <w:rPr>
          <w:rFonts w:ascii="ITC Avant Garde" w:hAnsi="ITC Avant Garde"/>
          <w:b w:val="0"/>
          <w:bCs/>
          <w:color w:val="auto"/>
          <w:sz w:val="20"/>
          <w:szCs w:val="20"/>
          <w:lang w:val="es-MX"/>
        </w:rPr>
        <w:t>lto</w:t>
      </w:r>
      <w:r w:rsidRPr="00F3455C">
        <w:rPr>
          <w:rFonts w:ascii="ITC Avant Garde" w:hAnsi="ITC Avant Garde"/>
          <w:b w:val="0"/>
          <w:bCs/>
          <w:color w:val="auto"/>
          <w:sz w:val="20"/>
          <w:szCs w:val="20"/>
          <w:lang w:val="es-MX"/>
        </w:rPr>
        <w:t>. La mayoría considera que la Ventanilla cumple bien con el marco regulatorio.</w:t>
      </w:r>
      <w:r>
        <w:rPr>
          <w:rFonts w:ascii="ITC Avant Garde" w:hAnsi="ITC Avant Garde"/>
          <w:b w:val="0"/>
          <w:bCs/>
          <w:color w:val="auto"/>
          <w:sz w:val="20"/>
          <w:szCs w:val="20"/>
          <w:lang w:val="es-MX"/>
        </w:rPr>
        <w:t xml:space="preserve"> (</w:t>
      </w:r>
      <w:r>
        <w:rPr>
          <w:rFonts w:ascii="ITC Avant Garde" w:hAnsi="ITC Avant Garde"/>
          <w:b w:val="0"/>
          <w:bCs/>
          <w:color w:val="auto"/>
          <w:sz w:val="20"/>
          <w:szCs w:val="20"/>
        </w:rPr>
        <w:t>Los datos obtenidos se observan en la Tabla 13</w:t>
      </w:r>
      <w:r>
        <w:rPr>
          <w:rFonts w:ascii="ITC Avant Garde" w:hAnsi="ITC Avant Garde"/>
          <w:b w:val="0"/>
          <w:bCs/>
          <w:color w:val="auto"/>
          <w:sz w:val="20"/>
          <w:szCs w:val="20"/>
          <w:lang w:val="es-MX"/>
        </w:rPr>
        <w:t>)</w:t>
      </w:r>
    </w:p>
    <w:p w14:paraId="42145528" w14:textId="77777777" w:rsidR="0066403F" w:rsidRPr="00FF297F" w:rsidRDefault="0066403F" w:rsidP="0066403F">
      <w:pPr>
        <w:jc w:val="both"/>
        <w:rPr>
          <w:rFonts w:ascii="ITC Avant Garde" w:hAnsi="ITC Avant Garde"/>
          <w:b w:val="0"/>
          <w:bCs/>
          <w:color w:val="auto"/>
          <w:sz w:val="20"/>
          <w:szCs w:val="20"/>
          <w:lang w:val="es-MX"/>
        </w:rPr>
      </w:pPr>
    </w:p>
    <w:p w14:paraId="2113C9B5" w14:textId="77777777" w:rsidR="0066403F" w:rsidRDefault="0066403F" w:rsidP="0066403F">
      <w:pPr>
        <w:jc w:val="both"/>
        <w:rPr>
          <w:rFonts w:ascii="ITC Avant Garde" w:hAnsi="ITC Avant Garde"/>
          <w:b w:val="0"/>
          <w:bCs/>
          <w:color w:val="auto"/>
          <w:sz w:val="20"/>
          <w:szCs w:val="20"/>
          <w:lang w:val="es-MX"/>
        </w:rPr>
      </w:pPr>
      <w:r>
        <w:rPr>
          <w:rFonts w:ascii="ITC Avant Garde" w:hAnsi="ITC Avant Garde"/>
          <w:b w:val="0"/>
          <w:bCs/>
          <w:noProof/>
          <w:color w:val="auto"/>
          <w:sz w:val="20"/>
          <w:szCs w:val="20"/>
          <w:lang w:val="es-MX"/>
        </w:rPr>
        <w:drawing>
          <wp:inline distT="0" distB="0" distL="0" distR="0" wp14:anchorId="722FFFED" wp14:editId="367A0BF4">
            <wp:extent cx="5800725" cy="2809875"/>
            <wp:effectExtent l="0" t="0" r="9525" b="9525"/>
            <wp:docPr id="132141732"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F2DE6FE" w14:textId="77777777" w:rsidR="0066403F" w:rsidRPr="00ED18BE" w:rsidRDefault="0066403F" w:rsidP="0066403F">
      <w:pPr>
        <w:jc w:val="both"/>
        <w:rPr>
          <w:rFonts w:ascii="ITC Avant Garde" w:eastAsia="Calibri" w:hAnsi="ITC Avant Garde" w:cs="Times New Roman"/>
          <w:color w:val="auto"/>
          <w:kern w:val="2"/>
          <w:sz w:val="22"/>
          <w:lang w:val="es-MX"/>
          <w14:ligatures w14:val="standardContextual"/>
        </w:rPr>
      </w:pPr>
    </w:p>
    <w:p w14:paraId="6F0367A0" w14:textId="77777777" w:rsidR="0066403F" w:rsidRDefault="0066403F" w:rsidP="0066403F">
      <w:pPr>
        <w:jc w:val="both"/>
        <w:rPr>
          <w:rFonts w:ascii="ITC Avant Garde" w:hAnsi="ITC Avant Garde"/>
          <w:b w:val="0"/>
          <w:color w:val="auto"/>
          <w:sz w:val="20"/>
          <w:szCs w:val="20"/>
          <w:lang w:val="es-MX"/>
        </w:rPr>
      </w:pPr>
      <w:r w:rsidRPr="00D15972">
        <w:rPr>
          <w:rFonts w:ascii="ITC Avant Garde" w:eastAsia="Calibri" w:hAnsi="ITC Avant Garde" w:cs="Times New Roman"/>
          <w:b w:val="0"/>
          <w:bCs/>
          <w:color w:val="auto"/>
          <w:kern w:val="2"/>
          <w:sz w:val="22"/>
          <w:lang w:val="es-MX"/>
          <w14:ligatures w14:val="standardContextual"/>
        </w:rPr>
        <w:t xml:space="preserve">Finalmente, </w:t>
      </w:r>
      <w:r>
        <w:rPr>
          <w:rFonts w:ascii="ITC Avant Garde" w:eastAsia="Calibri" w:hAnsi="ITC Avant Garde" w:cs="Times New Roman"/>
          <w:b w:val="0"/>
          <w:bCs/>
          <w:color w:val="auto"/>
          <w:kern w:val="2"/>
          <w:sz w:val="22"/>
          <w:lang w:val="es-MX"/>
          <w14:ligatures w14:val="standardContextual"/>
        </w:rPr>
        <w:t xml:space="preserve">a efecto de medir el tipo de interacción del Instituto con las personas usuarias de la ventanilla electrónica, se preguntó sobre su percepción sobre el tipo de interacción, obteniendo </w:t>
      </w:r>
      <w:r w:rsidRPr="000F352C">
        <w:rPr>
          <w:rFonts w:ascii="ITC Avant Garde" w:eastAsia="Calibri" w:hAnsi="ITC Avant Garde" w:cs="Times New Roman"/>
          <w:b w:val="0"/>
          <w:bCs/>
          <w:color w:val="auto"/>
          <w:kern w:val="2"/>
          <w:sz w:val="22"/>
          <w:lang w:val="es-MX"/>
          <w14:ligatures w14:val="standardContextual"/>
        </w:rPr>
        <w:t>tiene un nivel de satisfacción neutral. Las opiniones varían entre ofrecer servicios básicos y</w:t>
      </w:r>
      <w:r>
        <w:rPr>
          <w:rFonts w:ascii="ITC Avant Garde" w:eastAsia="Calibri" w:hAnsi="ITC Avant Garde" w:cs="Times New Roman"/>
          <w:b w:val="0"/>
          <w:bCs/>
          <w:color w:val="auto"/>
          <w:kern w:val="2"/>
          <w:sz w:val="22"/>
          <w:lang w:val="es-MX"/>
          <w14:ligatures w14:val="standardContextual"/>
        </w:rPr>
        <w:t xml:space="preserve"> la </w:t>
      </w:r>
      <w:r w:rsidRPr="000F352C">
        <w:rPr>
          <w:rFonts w:ascii="ITC Avant Garde" w:eastAsia="Calibri" w:hAnsi="ITC Avant Garde" w:cs="Times New Roman"/>
          <w:b w:val="0"/>
          <w:bCs/>
          <w:color w:val="auto"/>
          <w:kern w:val="2"/>
          <w:sz w:val="22"/>
          <w:lang w:val="es-MX"/>
          <w14:ligatures w14:val="standardContextual"/>
        </w:rPr>
        <w:t>gestión completa de trámites.</w:t>
      </w:r>
      <w:r>
        <w:rPr>
          <w:rFonts w:ascii="ITC Avant Garde" w:eastAsia="Calibri" w:hAnsi="ITC Avant Garde" w:cs="Times New Roman"/>
          <w:b w:val="0"/>
          <w:bCs/>
          <w:color w:val="auto"/>
          <w:kern w:val="2"/>
          <w:sz w:val="22"/>
          <w:lang w:val="es-MX"/>
          <w14:ligatures w14:val="standardContextual"/>
        </w:rPr>
        <w:t xml:space="preserve"> </w:t>
      </w:r>
      <w:r>
        <w:rPr>
          <w:rFonts w:ascii="ITC Avant Garde" w:hAnsi="ITC Avant Garde"/>
          <w:b w:val="0"/>
          <w:bCs/>
          <w:color w:val="auto"/>
          <w:sz w:val="20"/>
          <w:szCs w:val="20"/>
          <w:lang w:val="es-MX"/>
        </w:rPr>
        <w:t>(</w:t>
      </w:r>
      <w:r>
        <w:rPr>
          <w:rFonts w:ascii="ITC Avant Garde" w:hAnsi="ITC Avant Garde"/>
          <w:b w:val="0"/>
          <w:bCs/>
          <w:color w:val="auto"/>
          <w:sz w:val="20"/>
          <w:szCs w:val="20"/>
        </w:rPr>
        <w:t>Los datos obtenidos se observan en la Tabla 14</w:t>
      </w:r>
      <w:r>
        <w:rPr>
          <w:rFonts w:ascii="ITC Avant Garde" w:hAnsi="ITC Avant Garde"/>
          <w:b w:val="0"/>
          <w:bCs/>
          <w:color w:val="auto"/>
          <w:sz w:val="20"/>
          <w:szCs w:val="20"/>
          <w:lang w:val="es-MX"/>
        </w:rPr>
        <w:t>)</w:t>
      </w:r>
    </w:p>
    <w:p w14:paraId="70AB5EA8" w14:textId="77777777" w:rsidR="0066403F" w:rsidRDefault="0066403F" w:rsidP="0066403F">
      <w:pPr>
        <w:jc w:val="both"/>
        <w:rPr>
          <w:rFonts w:ascii="ITC Avant Garde" w:hAnsi="ITC Avant Garde"/>
          <w:b w:val="0"/>
          <w:bCs/>
          <w:color w:val="auto"/>
          <w:sz w:val="20"/>
          <w:szCs w:val="20"/>
          <w:lang w:val="es-MX"/>
        </w:rPr>
      </w:pPr>
    </w:p>
    <w:p w14:paraId="795B44D8" w14:textId="77777777" w:rsidR="0066403F" w:rsidRPr="00D15972" w:rsidRDefault="0066403F" w:rsidP="0066403F">
      <w:pPr>
        <w:jc w:val="both"/>
        <w:rPr>
          <w:rFonts w:ascii="ITC Avant Garde" w:eastAsia="Calibri" w:hAnsi="ITC Avant Garde" w:cs="Times New Roman"/>
          <w:b w:val="0"/>
          <w:bCs/>
          <w:color w:val="auto"/>
          <w:kern w:val="2"/>
          <w:sz w:val="22"/>
          <w:lang w:val="es-MX"/>
          <w14:ligatures w14:val="standardContextual"/>
        </w:rPr>
      </w:pPr>
      <w:r>
        <w:rPr>
          <w:rFonts w:ascii="ITC Avant Garde" w:eastAsia="Calibri" w:hAnsi="ITC Avant Garde" w:cs="Times New Roman"/>
          <w:b w:val="0"/>
          <w:bCs/>
          <w:noProof/>
          <w:color w:val="auto"/>
          <w:kern w:val="2"/>
          <w:sz w:val="22"/>
          <w:lang w:val="es-MX"/>
        </w:rPr>
        <w:lastRenderedPageBreak/>
        <w:drawing>
          <wp:inline distT="0" distB="0" distL="0" distR="0" wp14:anchorId="03296CEE" wp14:editId="67449F68">
            <wp:extent cx="5800725" cy="3200400"/>
            <wp:effectExtent l="0" t="0" r="9525" b="0"/>
            <wp:docPr id="628377288"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6D0F60" w14:textId="77777777" w:rsidR="0066403F" w:rsidRDefault="0066403F" w:rsidP="0066403F">
      <w:pPr>
        <w:jc w:val="both"/>
        <w:rPr>
          <w:rFonts w:ascii="ITC Avant Garde" w:eastAsia="Calibri" w:hAnsi="ITC Avant Garde" w:cs="Times New Roman"/>
          <w:color w:val="auto"/>
          <w:kern w:val="2"/>
          <w:sz w:val="22"/>
          <w:lang w:val="es-MX"/>
          <w14:ligatures w14:val="standardContextual"/>
        </w:rPr>
      </w:pPr>
    </w:p>
    <w:p w14:paraId="1BF3A7ED" w14:textId="77777777" w:rsidR="0066403F" w:rsidRDefault="0066403F" w:rsidP="0066403F">
      <w:pPr>
        <w:jc w:val="both"/>
        <w:rPr>
          <w:rFonts w:ascii="ITC Avant Garde" w:eastAsia="Calibri" w:hAnsi="ITC Avant Garde" w:cs="Times New Roman"/>
          <w:color w:val="auto"/>
          <w:kern w:val="2"/>
          <w:sz w:val="22"/>
          <w:lang w:val="es-MX"/>
          <w14:ligatures w14:val="standardContextual"/>
        </w:rPr>
      </w:pPr>
      <w:r w:rsidRPr="00DA351C">
        <w:rPr>
          <w:rFonts w:ascii="ITC Avant Garde" w:eastAsia="Calibri" w:hAnsi="ITC Avant Garde" w:cs="Times New Roman"/>
          <w:color w:val="auto"/>
          <w:kern w:val="2"/>
          <w:sz w:val="22"/>
          <w:lang w:val="es-MX"/>
          <w14:ligatures w14:val="standardContextual"/>
        </w:rPr>
        <w:t>Análisis de</w:t>
      </w:r>
      <w:r>
        <w:rPr>
          <w:rFonts w:ascii="ITC Avant Garde" w:eastAsia="Calibri" w:hAnsi="ITC Avant Garde" w:cs="Times New Roman"/>
          <w:color w:val="auto"/>
          <w:kern w:val="2"/>
          <w:sz w:val="22"/>
          <w:lang w:val="es-MX"/>
          <w14:ligatures w14:val="standardContextual"/>
        </w:rPr>
        <w:t xml:space="preserve"> los</w:t>
      </w:r>
      <w:r w:rsidRPr="00DA351C">
        <w:rPr>
          <w:rFonts w:ascii="ITC Avant Garde" w:eastAsia="Calibri" w:hAnsi="ITC Avant Garde" w:cs="Times New Roman"/>
          <w:color w:val="auto"/>
          <w:kern w:val="2"/>
          <w:sz w:val="22"/>
          <w:lang w:val="es-MX"/>
          <w14:ligatures w14:val="standardContextual"/>
        </w:rPr>
        <w:t xml:space="preserve"> comentarios generales </w:t>
      </w:r>
    </w:p>
    <w:p w14:paraId="6D7DDE9A" w14:textId="77777777" w:rsidR="0066403F" w:rsidRDefault="0066403F" w:rsidP="0066403F">
      <w:pPr>
        <w:jc w:val="both"/>
        <w:rPr>
          <w:rFonts w:ascii="ITC Avant Garde" w:eastAsia="Calibri" w:hAnsi="ITC Avant Garde" w:cs="Times New Roman"/>
          <w:color w:val="auto"/>
          <w:kern w:val="2"/>
          <w:sz w:val="22"/>
          <w:lang w:val="es-MX"/>
          <w14:ligatures w14:val="standardContextual"/>
        </w:rPr>
      </w:pPr>
    </w:p>
    <w:p w14:paraId="10D199EF" w14:textId="77777777" w:rsidR="0066403F" w:rsidRPr="00455DA6" w:rsidRDefault="0066403F" w:rsidP="0066403F">
      <w:pPr>
        <w:jc w:val="both"/>
        <w:rPr>
          <w:rFonts w:ascii="ITC Avant Garde" w:eastAsia="Calibri" w:hAnsi="ITC Avant Garde" w:cs="Times New Roman"/>
          <w:b w:val="0"/>
          <w:bCs/>
          <w:color w:val="auto"/>
          <w:kern w:val="2"/>
          <w:sz w:val="20"/>
          <w:szCs w:val="20"/>
          <w:lang w:val="es-MX"/>
          <w14:ligatures w14:val="standardContextual"/>
        </w:rPr>
      </w:pPr>
      <w:r w:rsidRPr="00455DA6">
        <w:rPr>
          <w:rFonts w:ascii="ITC Avant Garde" w:eastAsia="Calibri" w:hAnsi="ITC Avant Garde" w:cs="Times New Roman"/>
          <w:b w:val="0"/>
          <w:bCs/>
          <w:color w:val="auto"/>
          <w:kern w:val="2"/>
          <w:sz w:val="20"/>
          <w:szCs w:val="20"/>
          <w:lang w:val="es-MX"/>
          <w14:ligatures w14:val="standardContextual"/>
        </w:rPr>
        <w:t xml:space="preserve">El proceso consultivo de evaluación a la Ventanilla Electrónica integró un apartado específico para complementar o integrar consideraciones específicas o no incluidas en los reactivos por parte de las personas participantes. </w:t>
      </w:r>
    </w:p>
    <w:p w14:paraId="540B0D29" w14:textId="77777777" w:rsidR="0066403F" w:rsidRPr="00455DA6" w:rsidRDefault="0066403F" w:rsidP="0066403F">
      <w:pPr>
        <w:jc w:val="both"/>
        <w:rPr>
          <w:rFonts w:ascii="ITC Avant Garde" w:eastAsia="Calibri" w:hAnsi="ITC Avant Garde" w:cs="Times New Roman"/>
          <w:b w:val="0"/>
          <w:bCs/>
          <w:color w:val="auto"/>
          <w:kern w:val="2"/>
          <w:sz w:val="20"/>
          <w:szCs w:val="20"/>
          <w:lang w:val="es-MX"/>
          <w14:ligatures w14:val="standardContextual"/>
        </w:rPr>
      </w:pPr>
    </w:p>
    <w:p w14:paraId="4704C598" w14:textId="77777777" w:rsidR="0066403F" w:rsidRPr="00455DA6" w:rsidRDefault="0066403F" w:rsidP="0066403F">
      <w:pPr>
        <w:jc w:val="both"/>
        <w:rPr>
          <w:rFonts w:ascii="ITC Avant Garde" w:eastAsia="Calibri" w:hAnsi="ITC Avant Garde" w:cs="Times New Roman"/>
          <w:b w:val="0"/>
          <w:bCs/>
          <w:color w:val="auto"/>
          <w:kern w:val="2"/>
          <w:sz w:val="20"/>
          <w:szCs w:val="20"/>
          <w:lang w:val="es-MX"/>
          <w14:ligatures w14:val="standardContextual"/>
        </w:rPr>
      </w:pPr>
      <w:r w:rsidRPr="00455DA6">
        <w:rPr>
          <w:rFonts w:ascii="ITC Avant Garde" w:eastAsia="Calibri" w:hAnsi="ITC Avant Garde" w:cs="Times New Roman"/>
          <w:b w:val="0"/>
          <w:bCs/>
          <w:color w:val="auto"/>
          <w:kern w:val="2"/>
          <w:sz w:val="20"/>
          <w:szCs w:val="20"/>
          <w:lang w:val="es-MX"/>
          <w14:ligatures w14:val="standardContextual"/>
        </w:rPr>
        <w:t>En virtud de lo anterior se destaca que, los comentarios generales obtenidos reflejan una mezcla de reconocimiento y crítica constructiva hacia la Ventanilla Electrónica. Se destaca el esfuerzo del IFT en crear la plataforma, pero se señalan varios puntos de mejora, como la necesidad de habilitar el cuestionario en el sistema, mejorar la autenticación, permitir la edición de trámites, y mejorar la comunicación y soporte técnico. También se mencionan problemas con la firma electrónica y la falta de accesibilidad para gestorías.</w:t>
      </w:r>
    </w:p>
    <w:p w14:paraId="1D1D410C" w14:textId="77777777" w:rsidR="0066403F" w:rsidRDefault="0066403F" w:rsidP="0066403F">
      <w:pPr>
        <w:jc w:val="both"/>
        <w:rPr>
          <w:rFonts w:ascii="ITC Avant Garde" w:eastAsia="Calibri" w:hAnsi="ITC Avant Garde" w:cs="Times New Roman"/>
          <w:b w:val="0"/>
          <w:color w:val="auto"/>
          <w:kern w:val="2"/>
          <w:sz w:val="20"/>
          <w:szCs w:val="20"/>
          <w:lang w:val="es-MX"/>
          <w14:ligatures w14:val="standardContextual"/>
        </w:rPr>
      </w:pPr>
    </w:p>
    <w:p w14:paraId="06552142" w14:textId="77777777" w:rsidR="0066403F" w:rsidRDefault="0066403F" w:rsidP="0066403F">
      <w:pPr>
        <w:jc w:val="both"/>
        <w:rPr>
          <w:rFonts w:ascii="ITC Avant Garde" w:eastAsia="Calibri" w:hAnsi="ITC Avant Garde" w:cs="Times New Roman"/>
          <w:color w:val="auto"/>
          <w:kern w:val="2"/>
          <w:sz w:val="22"/>
          <w:lang w:val="es-MX"/>
          <w14:ligatures w14:val="standardContextual"/>
        </w:rPr>
      </w:pPr>
      <w:r w:rsidRPr="00A04422">
        <w:rPr>
          <w:rFonts w:ascii="ITC Avant Garde" w:eastAsia="Calibri" w:hAnsi="ITC Avant Garde" w:cs="Times New Roman"/>
          <w:color w:val="auto"/>
          <w:kern w:val="2"/>
          <w:sz w:val="22"/>
          <w:lang w:val="es-MX"/>
          <w14:ligatures w14:val="standardContextual"/>
        </w:rPr>
        <w:t xml:space="preserve">Análisis </w:t>
      </w:r>
      <w:r>
        <w:rPr>
          <w:rFonts w:ascii="ITC Avant Garde" w:eastAsia="Calibri" w:hAnsi="ITC Avant Garde" w:cs="Times New Roman"/>
          <w:color w:val="auto"/>
          <w:kern w:val="2"/>
          <w:sz w:val="22"/>
          <w:lang w:val="es-MX"/>
          <w14:ligatures w14:val="standardContextual"/>
        </w:rPr>
        <w:t>general de la Estrategia de Gobierno Electrónico en el IFT</w:t>
      </w:r>
    </w:p>
    <w:p w14:paraId="0AE9A7CA" w14:textId="77777777" w:rsidR="0066403F" w:rsidRDefault="0066403F" w:rsidP="0066403F">
      <w:pPr>
        <w:jc w:val="both"/>
        <w:rPr>
          <w:rFonts w:ascii="ITC Avant Garde" w:eastAsia="Calibri" w:hAnsi="ITC Avant Garde" w:cs="Times New Roman"/>
          <w:color w:val="auto"/>
          <w:kern w:val="2"/>
          <w:sz w:val="22"/>
          <w:lang w:val="es-MX"/>
          <w14:ligatures w14:val="standardContextual"/>
        </w:rPr>
      </w:pPr>
    </w:p>
    <w:p w14:paraId="40D69672" w14:textId="77777777" w:rsidR="0066403F" w:rsidRDefault="0066403F" w:rsidP="0066403F">
      <w:pPr>
        <w:jc w:val="both"/>
        <w:rPr>
          <w:rFonts w:ascii="ITC Avant Garde" w:hAnsi="ITC Avant Garde"/>
          <w:b w:val="0"/>
          <w:bCs/>
          <w:color w:val="auto"/>
          <w:sz w:val="20"/>
          <w:szCs w:val="20"/>
          <w:lang w:val="es-MX"/>
        </w:rPr>
      </w:pPr>
      <w:r>
        <w:rPr>
          <w:rFonts w:ascii="ITC Avant Garde" w:eastAsia="Calibri" w:hAnsi="ITC Avant Garde" w:cs="Times New Roman"/>
          <w:b w:val="0"/>
          <w:bCs/>
          <w:color w:val="auto"/>
          <w:kern w:val="2"/>
          <w:sz w:val="22"/>
          <w:lang w:val="es-MX"/>
          <w14:ligatures w14:val="standardContextual"/>
        </w:rPr>
        <w:t xml:space="preserve">El Instituto en el proceso consultivo de evaluación integró un reactivo adicional, a efecto de identificar si las personas participantes conocían de otras herramientas electrónicas administradas por este órgano constitucional autónomo. En virtud de las respuestas, se obtuvo </w:t>
      </w:r>
      <w:r w:rsidRPr="001D626D">
        <w:rPr>
          <w:rFonts w:ascii="ITC Avant Garde" w:eastAsia="Calibri" w:hAnsi="ITC Avant Garde" w:cs="Times New Roman"/>
          <w:b w:val="0"/>
          <w:bCs/>
          <w:color w:val="auto"/>
          <w:kern w:val="2"/>
          <w:sz w:val="22"/>
          <w:lang w:val="es-MX"/>
          <w14:ligatures w14:val="standardContextual"/>
        </w:rPr>
        <w:t>un nivel de satisfacción neutral</w:t>
      </w:r>
      <w:r>
        <w:rPr>
          <w:rFonts w:ascii="ITC Avant Garde" w:eastAsia="Calibri" w:hAnsi="ITC Avant Garde" w:cs="Times New Roman"/>
          <w:b w:val="0"/>
          <w:bCs/>
          <w:color w:val="auto"/>
          <w:kern w:val="2"/>
          <w:sz w:val="22"/>
          <w:lang w:val="es-MX"/>
          <w14:ligatures w14:val="standardContextual"/>
        </w:rPr>
        <w:t>, ya que las</w:t>
      </w:r>
      <w:r w:rsidRPr="001D626D">
        <w:rPr>
          <w:rFonts w:ascii="ITC Avant Garde" w:eastAsia="Calibri" w:hAnsi="ITC Avant Garde" w:cs="Times New Roman"/>
          <w:b w:val="0"/>
          <w:bCs/>
          <w:color w:val="auto"/>
          <w:kern w:val="2"/>
          <w:sz w:val="22"/>
          <w:lang w:val="es-MX"/>
          <w14:ligatures w14:val="standardContextual"/>
        </w:rPr>
        <w:t xml:space="preserve"> opiniones varían entre no tener conocimiento y considerar los sistemas moderadamente eficientes</w:t>
      </w:r>
      <w:r>
        <w:rPr>
          <w:rFonts w:ascii="ITC Avant Garde" w:eastAsia="Calibri" w:hAnsi="ITC Avant Garde" w:cs="Times New Roman"/>
          <w:b w:val="0"/>
          <w:bCs/>
          <w:color w:val="auto"/>
          <w:kern w:val="2"/>
          <w:sz w:val="22"/>
          <w:lang w:val="es-MX"/>
          <w14:ligatures w14:val="standardContextual"/>
        </w:rPr>
        <w:t xml:space="preserve"> o muy eficientes</w:t>
      </w:r>
      <w:r w:rsidRPr="000F352C">
        <w:rPr>
          <w:rFonts w:ascii="ITC Avant Garde" w:eastAsia="Calibri" w:hAnsi="ITC Avant Garde" w:cs="Times New Roman"/>
          <w:b w:val="0"/>
          <w:bCs/>
          <w:color w:val="auto"/>
          <w:kern w:val="2"/>
          <w:sz w:val="22"/>
          <w:lang w:val="es-MX"/>
          <w14:ligatures w14:val="standardContextual"/>
        </w:rPr>
        <w:t>.</w:t>
      </w:r>
      <w:r>
        <w:rPr>
          <w:rFonts w:ascii="ITC Avant Garde" w:eastAsia="Calibri" w:hAnsi="ITC Avant Garde" w:cs="Times New Roman"/>
          <w:b w:val="0"/>
          <w:bCs/>
          <w:color w:val="auto"/>
          <w:kern w:val="2"/>
          <w:sz w:val="22"/>
          <w:lang w:val="es-MX"/>
          <w14:ligatures w14:val="standardContextual"/>
        </w:rPr>
        <w:t xml:space="preserve"> </w:t>
      </w:r>
      <w:r>
        <w:rPr>
          <w:rFonts w:ascii="ITC Avant Garde" w:hAnsi="ITC Avant Garde"/>
          <w:b w:val="0"/>
          <w:bCs/>
          <w:color w:val="auto"/>
          <w:sz w:val="20"/>
          <w:szCs w:val="20"/>
          <w:lang w:val="es-MX"/>
        </w:rPr>
        <w:t>(</w:t>
      </w:r>
      <w:r>
        <w:rPr>
          <w:rFonts w:ascii="ITC Avant Garde" w:hAnsi="ITC Avant Garde"/>
          <w:b w:val="0"/>
          <w:bCs/>
          <w:color w:val="auto"/>
          <w:sz w:val="20"/>
          <w:szCs w:val="20"/>
        </w:rPr>
        <w:t>Los datos obtenidos se observan en la Tabla 15</w:t>
      </w:r>
      <w:r>
        <w:rPr>
          <w:rFonts w:ascii="ITC Avant Garde" w:hAnsi="ITC Avant Garde"/>
          <w:b w:val="0"/>
          <w:bCs/>
          <w:color w:val="auto"/>
          <w:sz w:val="20"/>
          <w:szCs w:val="20"/>
          <w:lang w:val="es-MX"/>
        </w:rPr>
        <w:t>)</w:t>
      </w:r>
    </w:p>
    <w:p w14:paraId="035677BF" w14:textId="77777777" w:rsidR="0066403F" w:rsidRPr="006A2453" w:rsidRDefault="0066403F" w:rsidP="0066403F">
      <w:pPr>
        <w:jc w:val="both"/>
        <w:rPr>
          <w:rFonts w:ascii="ITC Avant Garde" w:eastAsia="Calibri" w:hAnsi="ITC Avant Garde" w:cs="Times New Roman"/>
          <w:b w:val="0"/>
          <w:bCs/>
          <w:color w:val="auto"/>
          <w:kern w:val="2"/>
          <w:sz w:val="22"/>
          <w:lang w:val="es-MX"/>
          <w14:ligatures w14:val="standardContextual"/>
        </w:rPr>
      </w:pPr>
    </w:p>
    <w:p w14:paraId="273C962E" w14:textId="77777777" w:rsidR="0066403F" w:rsidRPr="00A04422" w:rsidRDefault="0066403F" w:rsidP="0066403F">
      <w:pPr>
        <w:jc w:val="both"/>
        <w:rPr>
          <w:rFonts w:ascii="ITC Avant Garde" w:eastAsia="Calibri" w:hAnsi="ITC Avant Garde" w:cs="Times New Roman"/>
          <w:b w:val="0"/>
          <w:bCs/>
          <w:color w:val="auto"/>
          <w:kern w:val="2"/>
          <w:sz w:val="22"/>
          <w:lang w:val="es-MX"/>
          <w14:ligatures w14:val="standardContextual"/>
        </w:rPr>
      </w:pPr>
      <w:r>
        <w:rPr>
          <w:rFonts w:ascii="ITC Avant Garde" w:eastAsia="Calibri" w:hAnsi="ITC Avant Garde" w:cs="Times New Roman"/>
          <w:b w:val="0"/>
          <w:bCs/>
          <w:noProof/>
          <w:color w:val="auto"/>
          <w:kern w:val="2"/>
          <w:sz w:val="22"/>
          <w:lang w:val="es-MX"/>
        </w:rPr>
        <w:lastRenderedPageBreak/>
        <w:drawing>
          <wp:inline distT="0" distB="0" distL="0" distR="0" wp14:anchorId="4EA4346C" wp14:editId="34DFACE9">
            <wp:extent cx="5772150" cy="3095625"/>
            <wp:effectExtent l="0" t="0" r="0" b="9525"/>
            <wp:docPr id="1141546728"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5A3A9A" w14:textId="77777777" w:rsidR="0066403F" w:rsidRPr="00795936" w:rsidRDefault="0066403F" w:rsidP="0066403F">
      <w:pPr>
        <w:pStyle w:val="Prrafodelista"/>
        <w:keepNext/>
        <w:keepLines/>
        <w:numPr>
          <w:ilvl w:val="1"/>
          <w:numId w:val="41"/>
        </w:numPr>
        <w:spacing w:before="240" w:after="240" w:line="278" w:lineRule="auto"/>
        <w:jc w:val="both"/>
        <w:outlineLvl w:val="0"/>
        <w:rPr>
          <w:rFonts w:ascii="ITC Avant Garde" w:eastAsia="Times New Roman" w:hAnsi="ITC Avant Garde" w:cs="Times New Roman"/>
          <w:color w:val="auto"/>
          <w:kern w:val="2"/>
          <w:sz w:val="24"/>
          <w:szCs w:val="32"/>
          <w:lang w:val="es-MX"/>
          <w14:ligatures w14:val="standardContextual"/>
        </w:rPr>
      </w:pPr>
      <w:bookmarkStart w:id="38" w:name="_Toc185357320"/>
      <w:bookmarkStart w:id="39" w:name="_Toc185358248"/>
      <w:bookmarkStart w:id="40" w:name="_Toc185358502"/>
      <w:r>
        <w:rPr>
          <w:rFonts w:ascii="ITC Avant Garde" w:eastAsia="Times New Roman" w:hAnsi="ITC Avant Garde" w:cs="Times New Roman"/>
          <w:color w:val="auto"/>
          <w:kern w:val="2"/>
          <w:sz w:val="24"/>
          <w:szCs w:val="32"/>
          <w:lang w:val="es-MX"/>
          <w14:ligatures w14:val="standardContextual"/>
        </w:rPr>
        <w:t>Encuesta de satisfacción de la Ventanilla Electrónica</w:t>
      </w:r>
      <w:bookmarkEnd w:id="38"/>
      <w:bookmarkEnd w:id="39"/>
      <w:bookmarkEnd w:id="40"/>
      <w:r>
        <w:rPr>
          <w:rFonts w:ascii="ITC Avant Garde" w:eastAsia="Times New Roman" w:hAnsi="ITC Avant Garde" w:cs="Times New Roman"/>
          <w:color w:val="auto"/>
          <w:kern w:val="2"/>
          <w:sz w:val="24"/>
          <w:szCs w:val="32"/>
          <w:lang w:val="es-MX"/>
          <w14:ligatures w14:val="standardContextual"/>
        </w:rPr>
        <w:t xml:space="preserve"> </w:t>
      </w:r>
    </w:p>
    <w:p w14:paraId="52870242" w14:textId="77777777" w:rsidR="0066403F" w:rsidRPr="006E7EC1" w:rsidRDefault="0066403F" w:rsidP="0066403F">
      <w:pPr>
        <w:rPr>
          <w:rFonts w:ascii="ITC Avant Garde" w:eastAsia="Calibri" w:hAnsi="ITC Avant Garde" w:cs="Times New Roman"/>
          <w:color w:val="auto"/>
          <w:kern w:val="2"/>
          <w:sz w:val="22"/>
          <w:lang w:val="es-MX"/>
          <w14:ligatures w14:val="standardContextual"/>
        </w:rPr>
      </w:pPr>
      <w:bookmarkStart w:id="41" w:name="_Toc183000926"/>
      <w:r w:rsidRPr="006E7EC1">
        <w:rPr>
          <w:rFonts w:ascii="ITC Avant Garde" w:eastAsia="Calibri" w:hAnsi="ITC Avant Garde" w:cs="Times New Roman"/>
          <w:color w:val="auto"/>
          <w:kern w:val="2"/>
          <w:sz w:val="22"/>
          <w:lang w:val="es-MX"/>
          <w14:ligatures w14:val="standardContextual"/>
        </w:rPr>
        <w:t xml:space="preserve">Distribución de la </w:t>
      </w:r>
      <w:r>
        <w:rPr>
          <w:rFonts w:ascii="ITC Avant Garde" w:eastAsia="Calibri" w:hAnsi="ITC Avant Garde" w:cs="Times New Roman"/>
          <w:color w:val="auto"/>
          <w:kern w:val="2"/>
          <w:sz w:val="22"/>
          <w:lang w:val="es-MX"/>
          <w14:ligatures w14:val="standardContextual"/>
        </w:rPr>
        <w:t>s</w:t>
      </w:r>
      <w:r w:rsidRPr="006E7EC1">
        <w:rPr>
          <w:rFonts w:ascii="ITC Avant Garde" w:eastAsia="Calibri" w:hAnsi="ITC Avant Garde" w:cs="Times New Roman"/>
          <w:color w:val="auto"/>
          <w:kern w:val="2"/>
          <w:sz w:val="22"/>
          <w:lang w:val="es-MX"/>
          <w14:ligatures w14:val="standardContextual"/>
        </w:rPr>
        <w:t xml:space="preserve">atisfacción </w:t>
      </w:r>
      <w:r>
        <w:rPr>
          <w:rFonts w:ascii="ITC Avant Garde" w:eastAsia="Calibri" w:hAnsi="ITC Avant Garde" w:cs="Times New Roman"/>
          <w:color w:val="auto"/>
          <w:kern w:val="2"/>
          <w:sz w:val="22"/>
          <w:lang w:val="es-MX"/>
          <w14:ligatures w14:val="standardContextual"/>
        </w:rPr>
        <w:t>g</w:t>
      </w:r>
      <w:r w:rsidRPr="006E7EC1">
        <w:rPr>
          <w:rFonts w:ascii="ITC Avant Garde" w:eastAsia="Calibri" w:hAnsi="ITC Avant Garde" w:cs="Times New Roman"/>
          <w:color w:val="auto"/>
          <w:kern w:val="2"/>
          <w:sz w:val="22"/>
          <w:lang w:val="es-MX"/>
          <w14:ligatures w14:val="standardContextual"/>
        </w:rPr>
        <w:t xml:space="preserve">eneral en el </w:t>
      </w:r>
      <w:r>
        <w:rPr>
          <w:rFonts w:ascii="ITC Avant Garde" w:eastAsia="Calibri" w:hAnsi="ITC Avant Garde" w:cs="Times New Roman"/>
          <w:color w:val="auto"/>
          <w:kern w:val="2"/>
          <w:sz w:val="22"/>
          <w:lang w:val="es-MX"/>
          <w14:ligatures w14:val="standardContextual"/>
        </w:rPr>
        <w:t>u</w:t>
      </w:r>
      <w:r w:rsidRPr="006E7EC1">
        <w:rPr>
          <w:rFonts w:ascii="ITC Avant Garde" w:eastAsia="Calibri" w:hAnsi="ITC Avant Garde" w:cs="Times New Roman"/>
          <w:color w:val="auto"/>
          <w:kern w:val="2"/>
          <w:sz w:val="22"/>
          <w:lang w:val="es-MX"/>
          <w14:ligatures w14:val="standardContextual"/>
        </w:rPr>
        <w:t>so de la Ventanilla Electrónica</w:t>
      </w:r>
      <w:bookmarkEnd w:id="41"/>
    </w:p>
    <w:p w14:paraId="206E6F6D" w14:textId="77777777" w:rsidR="0066403F" w:rsidRPr="00795936" w:rsidRDefault="0066403F" w:rsidP="0066403F">
      <w:pPr>
        <w:rPr>
          <w:rFonts w:ascii="ITC Avant Garde" w:eastAsia="Calibri" w:hAnsi="ITC Avant Garde" w:cs="Times New Roman"/>
          <w:color w:val="auto"/>
          <w:kern w:val="2"/>
          <w:sz w:val="20"/>
          <w:szCs w:val="20"/>
          <w:lang w:val="es-MX"/>
          <w14:ligatures w14:val="standardContextual"/>
        </w:rPr>
      </w:pPr>
    </w:p>
    <w:p w14:paraId="47B56D15" w14:textId="77777777" w:rsidR="0066403F" w:rsidRPr="00F418BD"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F418BD">
        <w:rPr>
          <w:rFonts w:ascii="ITC Avant Garde" w:eastAsia="Calibri" w:hAnsi="ITC Avant Garde" w:cs="Times New Roman"/>
          <w:b w:val="0"/>
          <w:color w:val="auto"/>
          <w:kern w:val="2"/>
          <w:sz w:val="20"/>
          <w:szCs w:val="20"/>
          <w:lang w:val="es-MX"/>
          <w14:ligatures w14:val="standardContextual"/>
        </w:rPr>
        <w:t xml:space="preserve">Los cuestionarios implementados en la Ventanilla Electrónica del Instituto, son herramientas que nos permiten evaluar y mejorar continuamente la experiencia del usuario, dichos cuestionarios se presentan a </w:t>
      </w:r>
      <w:r>
        <w:rPr>
          <w:rFonts w:ascii="ITC Avant Garde" w:eastAsia="Calibri" w:hAnsi="ITC Avant Garde" w:cs="Times New Roman"/>
          <w:b w:val="0"/>
          <w:color w:val="auto"/>
          <w:kern w:val="2"/>
          <w:sz w:val="20"/>
          <w:szCs w:val="20"/>
          <w:lang w:val="es-MX"/>
          <w14:ligatures w14:val="standardContextual"/>
        </w:rPr>
        <w:t xml:space="preserve">las personas usuarias </w:t>
      </w:r>
      <w:r w:rsidRPr="00F418BD">
        <w:rPr>
          <w:rFonts w:ascii="ITC Avant Garde" w:eastAsia="Calibri" w:hAnsi="ITC Avant Garde" w:cs="Times New Roman"/>
          <w:b w:val="0"/>
          <w:color w:val="auto"/>
          <w:kern w:val="2"/>
          <w:sz w:val="20"/>
          <w:szCs w:val="20"/>
          <w:lang w:val="es-MX"/>
          <w14:ligatures w14:val="standardContextual"/>
        </w:rPr>
        <w:t xml:space="preserve">después de completar sus trámites, solicitando su opinión sobre diversos aspectos del servicio, como la facilidad de uso, tiempos de respuesta, claridad de las instrucciones y seguridad de la plataforma, la información recopilada se analiza para identificar patrones y tendencias en la experiencia del usuario, lo que permite al Instituto realizar ajustes y mejoras en dicha Ventanilla Electrónica, el proceso de retroalimentación continua asegura que la plataforma evolucione de acuerdo con las necesidades y expectativas de los </w:t>
      </w:r>
      <w:r>
        <w:rPr>
          <w:rFonts w:ascii="ITC Avant Garde" w:eastAsia="Calibri" w:hAnsi="ITC Avant Garde" w:cs="Times New Roman"/>
          <w:b w:val="0"/>
          <w:color w:val="auto"/>
          <w:kern w:val="2"/>
          <w:sz w:val="20"/>
          <w:szCs w:val="20"/>
          <w:lang w:val="es-MX"/>
          <w14:ligatures w14:val="standardContextual"/>
        </w:rPr>
        <w:t>personas usuarias</w:t>
      </w:r>
      <w:r w:rsidRPr="00F418BD">
        <w:rPr>
          <w:rFonts w:ascii="ITC Avant Garde" w:eastAsia="Calibri" w:hAnsi="ITC Avant Garde" w:cs="Times New Roman"/>
          <w:b w:val="0"/>
          <w:color w:val="auto"/>
          <w:kern w:val="2"/>
          <w:sz w:val="20"/>
          <w:szCs w:val="20"/>
          <w:lang w:val="es-MX"/>
          <w14:ligatures w14:val="standardContextual"/>
        </w:rPr>
        <w:t xml:space="preserve">, los cuestionarios no solo ayudan a mejorar la usabilidad y eficiencia de la Ventanilla Electrónica, sino que también aumentan la satisfacción del usuario al medirla de manera constante y detectar rápidamente cualquier problema que pueda surgir. </w:t>
      </w:r>
    </w:p>
    <w:p w14:paraId="16269938" w14:textId="77777777" w:rsidR="0066403F" w:rsidRPr="00F418BD"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F418BD">
        <w:rPr>
          <w:rFonts w:ascii="ITC Avant Garde" w:eastAsia="Calibri" w:hAnsi="ITC Avant Garde" w:cs="Times New Roman"/>
          <w:b w:val="0"/>
          <w:color w:val="auto"/>
          <w:kern w:val="2"/>
          <w:sz w:val="20"/>
          <w:szCs w:val="20"/>
          <w:lang w:val="es-MX"/>
          <w14:ligatures w14:val="standardContextual"/>
        </w:rPr>
        <w:t>Además, al mostrar que se toma en cuenta la opinión de l</w:t>
      </w:r>
      <w:r>
        <w:rPr>
          <w:rFonts w:ascii="ITC Avant Garde" w:eastAsia="Calibri" w:hAnsi="ITC Avant Garde" w:cs="Times New Roman"/>
          <w:b w:val="0"/>
          <w:color w:val="auto"/>
          <w:kern w:val="2"/>
          <w:sz w:val="20"/>
          <w:szCs w:val="20"/>
          <w:lang w:val="es-MX"/>
          <w14:ligatures w14:val="standardContextual"/>
        </w:rPr>
        <w:t>a</w:t>
      </w:r>
      <w:r w:rsidRPr="00F418BD">
        <w:rPr>
          <w:rFonts w:ascii="ITC Avant Garde" w:eastAsia="Calibri" w:hAnsi="ITC Avant Garde" w:cs="Times New Roman"/>
          <w:b w:val="0"/>
          <w:color w:val="auto"/>
          <w:kern w:val="2"/>
          <w:sz w:val="20"/>
          <w:szCs w:val="20"/>
          <w:lang w:val="es-MX"/>
          <w14:ligatures w14:val="standardContextual"/>
        </w:rPr>
        <w:t xml:space="preserve">s </w:t>
      </w:r>
      <w:r>
        <w:rPr>
          <w:rFonts w:ascii="ITC Avant Garde" w:eastAsia="Calibri" w:hAnsi="ITC Avant Garde" w:cs="Times New Roman"/>
          <w:b w:val="0"/>
          <w:color w:val="auto"/>
          <w:kern w:val="2"/>
          <w:sz w:val="20"/>
          <w:szCs w:val="20"/>
          <w:lang w:val="es-MX"/>
          <w14:ligatures w14:val="standardContextual"/>
        </w:rPr>
        <w:t>personas usuarias</w:t>
      </w:r>
      <w:r w:rsidRPr="00F418BD">
        <w:rPr>
          <w:rFonts w:ascii="ITC Avant Garde" w:eastAsia="Calibri" w:hAnsi="ITC Avant Garde" w:cs="Times New Roman"/>
          <w:b w:val="0"/>
          <w:color w:val="auto"/>
          <w:kern w:val="2"/>
          <w:sz w:val="20"/>
          <w:szCs w:val="20"/>
          <w:lang w:val="es-MX"/>
          <w14:ligatures w14:val="standardContextual"/>
        </w:rPr>
        <w:t xml:space="preserve">, se fomenta la transparencia y se incrementa la confianza en la plataforma, ya que la retroalimentación constante asegura que la Ventanilla Electrónica se mantenga actualizada y relevante, adaptándose a las nuevas demandas y tecnologías. En resumen, los cuestionarios son una herramienta fundamental para evaluar y mejorar el uso constante de la Ventanilla Electrónica, garantizando que </w:t>
      </w:r>
      <w:r>
        <w:rPr>
          <w:rFonts w:ascii="ITC Avant Garde" w:eastAsia="Calibri" w:hAnsi="ITC Avant Garde" w:cs="Times New Roman"/>
          <w:b w:val="0"/>
          <w:color w:val="auto"/>
          <w:kern w:val="2"/>
          <w:sz w:val="20"/>
          <w:szCs w:val="20"/>
          <w:lang w:val="es-MX"/>
          <w14:ligatures w14:val="standardContextual"/>
        </w:rPr>
        <w:t xml:space="preserve">las personas usuarias </w:t>
      </w:r>
      <w:r w:rsidRPr="00F418BD">
        <w:rPr>
          <w:rFonts w:ascii="ITC Avant Garde" w:eastAsia="Calibri" w:hAnsi="ITC Avant Garde" w:cs="Times New Roman"/>
          <w:b w:val="0"/>
          <w:color w:val="auto"/>
          <w:kern w:val="2"/>
          <w:sz w:val="20"/>
          <w:szCs w:val="20"/>
          <w:lang w:val="es-MX"/>
          <w14:ligatures w14:val="standardContextual"/>
        </w:rPr>
        <w:t>tengan una experiencia positiva y eficiente.</w:t>
      </w:r>
    </w:p>
    <w:p w14:paraId="61D0C3F8" w14:textId="77777777" w:rsidR="0066403F" w:rsidRPr="006E7EC1" w:rsidRDefault="0066403F" w:rsidP="0066403F">
      <w:pPr>
        <w:rPr>
          <w:rFonts w:ascii="ITC Avant Garde" w:eastAsia="Calibri" w:hAnsi="ITC Avant Garde" w:cs="Times New Roman"/>
          <w:color w:val="auto"/>
          <w:kern w:val="2"/>
          <w:sz w:val="22"/>
          <w:lang w:val="es-MX"/>
          <w14:ligatures w14:val="standardContextual"/>
        </w:rPr>
      </w:pPr>
      <w:bookmarkStart w:id="42" w:name="_Toc183000927"/>
      <w:r w:rsidRPr="006E7EC1">
        <w:rPr>
          <w:rFonts w:ascii="ITC Avant Garde" w:eastAsia="Calibri" w:hAnsi="ITC Avant Garde" w:cs="Times New Roman"/>
          <w:color w:val="auto"/>
          <w:kern w:val="2"/>
          <w:sz w:val="22"/>
          <w:lang w:val="es-MX"/>
          <w14:ligatures w14:val="standardContextual"/>
        </w:rPr>
        <w:t xml:space="preserve">Comparación de </w:t>
      </w:r>
      <w:r>
        <w:rPr>
          <w:rFonts w:ascii="ITC Avant Garde" w:eastAsia="Calibri" w:hAnsi="ITC Avant Garde" w:cs="Times New Roman"/>
          <w:color w:val="auto"/>
          <w:kern w:val="2"/>
          <w:sz w:val="22"/>
          <w:lang w:val="es-MX"/>
          <w14:ligatures w14:val="standardContextual"/>
        </w:rPr>
        <w:t>s</w:t>
      </w:r>
      <w:r w:rsidRPr="006E7EC1">
        <w:rPr>
          <w:rFonts w:ascii="ITC Avant Garde" w:eastAsia="Calibri" w:hAnsi="ITC Avant Garde" w:cs="Times New Roman"/>
          <w:color w:val="auto"/>
          <w:kern w:val="2"/>
          <w:sz w:val="22"/>
          <w:lang w:val="es-MX"/>
          <w14:ligatures w14:val="standardContextual"/>
        </w:rPr>
        <w:t xml:space="preserve">atisfacción </w:t>
      </w:r>
      <w:r>
        <w:rPr>
          <w:rFonts w:ascii="ITC Avant Garde" w:eastAsia="Calibri" w:hAnsi="ITC Avant Garde" w:cs="Times New Roman"/>
          <w:color w:val="auto"/>
          <w:kern w:val="2"/>
          <w:sz w:val="22"/>
          <w:lang w:val="es-MX"/>
          <w14:ligatures w14:val="standardContextual"/>
        </w:rPr>
        <w:t xml:space="preserve">de las personas usuarias de la Ventanilla Electrónica </w:t>
      </w:r>
      <w:r w:rsidRPr="006E7EC1">
        <w:rPr>
          <w:rFonts w:ascii="ITC Avant Garde" w:eastAsia="Calibri" w:hAnsi="ITC Avant Garde" w:cs="Times New Roman"/>
          <w:color w:val="auto"/>
          <w:kern w:val="2"/>
          <w:sz w:val="22"/>
          <w:lang w:val="es-MX"/>
          <w14:ligatures w14:val="standardContextual"/>
        </w:rPr>
        <w:t>entre Años (2023 vs. 2024)</w:t>
      </w:r>
      <w:bookmarkEnd w:id="42"/>
    </w:p>
    <w:p w14:paraId="20FAFE00" w14:textId="77777777" w:rsidR="0066403F" w:rsidRPr="00795936" w:rsidRDefault="0066403F" w:rsidP="0066403F">
      <w:pPr>
        <w:rPr>
          <w:rFonts w:ascii="ITC Avant Garde" w:eastAsia="Calibri" w:hAnsi="ITC Avant Garde" w:cs="Times New Roman"/>
          <w:color w:val="auto"/>
          <w:kern w:val="2"/>
          <w:sz w:val="20"/>
          <w:szCs w:val="20"/>
          <w:lang w:val="es-MX"/>
          <w14:ligatures w14:val="standardContextual"/>
        </w:rPr>
      </w:pPr>
    </w:p>
    <w:p w14:paraId="57EF17F8"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lastRenderedPageBreak/>
        <w:t>Comparando los resultados de satisfacción entre los años 2023 y 2024, se observan ciertas variaciones que reflejan el impacto de las mejoras implementadas por el IFT. Las principales diferencias son:</w:t>
      </w:r>
    </w:p>
    <w:p w14:paraId="0A777A5C" w14:textId="77777777" w:rsidR="0066403F" w:rsidRDefault="0066403F" w:rsidP="0066403F">
      <w:pPr>
        <w:numPr>
          <w:ilvl w:val="0"/>
          <w:numId w:val="12"/>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Incremento en la satisfacción general</w:t>
      </w:r>
      <w:r w:rsidRPr="001C22B9">
        <w:rPr>
          <w:rFonts w:ascii="ITC Avant Garde" w:eastAsia="Calibri" w:hAnsi="ITC Avant Garde" w:cs="Times New Roman"/>
          <w:b w:val="0"/>
          <w:color w:val="auto"/>
          <w:kern w:val="2"/>
          <w:sz w:val="20"/>
          <w:szCs w:val="20"/>
          <w:lang w:val="es-MX"/>
          <w14:ligatures w14:val="standardContextual"/>
        </w:rPr>
        <w:t xml:space="preserve">: La proporción de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xml:space="preserve"> satisfechos o muy satisfechos aumentó del 55% en 2023 al 65% en 2024. Este incremento sugiere que las mejoras aplicadas, como la incorporación de nuevos trámites y el aumento en la capacidad de procesamiento, han tenido un impacto positivo en la percepción del usuario</w:t>
      </w:r>
      <w:r>
        <w:rPr>
          <w:rFonts w:ascii="ITC Avant Garde" w:eastAsia="Calibri" w:hAnsi="ITC Avant Garde" w:cs="Times New Roman"/>
          <w:b w:val="0"/>
          <w:color w:val="auto"/>
          <w:kern w:val="2"/>
          <w:sz w:val="20"/>
          <w:szCs w:val="20"/>
          <w:lang w:val="es-MX"/>
          <w14:ligatures w14:val="standardContextual"/>
        </w:rPr>
        <w:t xml:space="preserve">. </w:t>
      </w:r>
      <w:r>
        <w:rPr>
          <w:rFonts w:ascii="ITC Avant Garde" w:hAnsi="ITC Avant Garde"/>
          <w:b w:val="0"/>
          <w:bCs/>
          <w:color w:val="auto"/>
          <w:sz w:val="20"/>
          <w:szCs w:val="20"/>
          <w:lang w:val="es-MX"/>
        </w:rPr>
        <w:t>(</w:t>
      </w:r>
      <w:r>
        <w:rPr>
          <w:rFonts w:ascii="ITC Avant Garde" w:hAnsi="ITC Avant Garde"/>
          <w:b w:val="0"/>
          <w:bCs/>
          <w:color w:val="auto"/>
          <w:sz w:val="20"/>
          <w:szCs w:val="20"/>
        </w:rPr>
        <w:t>Los datos obtenidos se observan en la Tabla 16</w:t>
      </w:r>
      <w:r>
        <w:rPr>
          <w:rFonts w:ascii="ITC Avant Garde" w:hAnsi="ITC Avant Garde"/>
          <w:b w:val="0"/>
          <w:bCs/>
          <w:color w:val="auto"/>
          <w:sz w:val="20"/>
          <w:szCs w:val="20"/>
          <w:lang w:val="es-MX"/>
        </w:rPr>
        <w:t>)</w:t>
      </w:r>
    </w:p>
    <w:p w14:paraId="249DD92A" w14:textId="77777777" w:rsidR="0066403F" w:rsidRPr="001C22B9" w:rsidRDefault="0066403F" w:rsidP="0066403F">
      <w:pPr>
        <w:spacing w:after="160" w:line="278" w:lineRule="auto"/>
        <w:ind w:left="720"/>
        <w:jc w:val="both"/>
        <w:rPr>
          <w:rFonts w:ascii="ITC Avant Garde" w:eastAsia="Calibri" w:hAnsi="ITC Avant Garde" w:cs="Times New Roman"/>
          <w:b w:val="0"/>
          <w:color w:val="auto"/>
          <w:kern w:val="2"/>
          <w:sz w:val="20"/>
          <w:szCs w:val="20"/>
          <w:lang w:val="es-MX"/>
          <w14:ligatures w14:val="standardContextual"/>
        </w:rPr>
      </w:pPr>
      <w:r w:rsidRPr="00B977DE">
        <w:rPr>
          <w:noProof/>
          <w:color w:val="auto"/>
        </w:rPr>
        <w:drawing>
          <wp:inline distT="0" distB="0" distL="0" distR="0" wp14:anchorId="07CD1464" wp14:editId="6193F201">
            <wp:extent cx="5343525" cy="2590800"/>
            <wp:effectExtent l="0" t="0" r="9525" b="0"/>
            <wp:docPr id="5" name="Gráfico 5">
              <a:extLst xmlns:a="http://schemas.openxmlformats.org/drawingml/2006/main">
                <a:ext uri="{FF2B5EF4-FFF2-40B4-BE49-F238E27FC236}">
                  <a16:creationId xmlns:a16="http://schemas.microsoft.com/office/drawing/2014/main" id="{64502D71-A883-4ED6-857D-9E736344D5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A0ED82" w14:textId="77777777" w:rsidR="0066403F" w:rsidRDefault="0066403F" w:rsidP="0066403F">
      <w:pPr>
        <w:numPr>
          <w:ilvl w:val="0"/>
          <w:numId w:val="12"/>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Reducción de tiempos de respuesta</w:t>
      </w:r>
      <w:r w:rsidRPr="001C22B9">
        <w:rPr>
          <w:rFonts w:ascii="ITC Avant Garde" w:eastAsia="Calibri" w:hAnsi="ITC Avant Garde" w:cs="Times New Roman"/>
          <w:b w:val="0"/>
          <w:color w:val="auto"/>
          <w:kern w:val="2"/>
          <w:sz w:val="20"/>
          <w:szCs w:val="20"/>
          <w:lang w:val="es-MX"/>
          <w14:ligatures w14:val="standardContextual"/>
        </w:rPr>
        <w:t xml:space="preserve">: Durante 2024, los tiempos de respuesta mejoraron notablemente en comparación con el año anterior, lo cual es un factor clave en el aumento de la satisfacción. En 2023, el tiempo promedio para completar un trámite era de entre 10 a 20 minutos, </w:t>
      </w:r>
      <w:r w:rsidRPr="00E55288">
        <w:rPr>
          <w:rFonts w:ascii="ITC Avant Garde" w:eastAsia="Calibri" w:hAnsi="ITC Avant Garde" w:cs="Times New Roman"/>
          <w:b w:val="0"/>
          <w:color w:val="auto"/>
          <w:kern w:val="2"/>
          <w:sz w:val="20"/>
          <w:szCs w:val="20"/>
          <w:lang w:val="es-MX"/>
          <w14:ligatures w14:val="standardContextual"/>
        </w:rPr>
        <w:t xml:space="preserve">mientras </w:t>
      </w:r>
      <w:r w:rsidRPr="00B977DE">
        <w:rPr>
          <w:rFonts w:ascii="ITC Avant Garde" w:eastAsia="Calibri" w:hAnsi="ITC Avant Garde" w:cs="Times New Roman"/>
          <w:b w:val="0"/>
          <w:color w:val="auto"/>
          <w:kern w:val="2"/>
          <w:sz w:val="20"/>
          <w:szCs w:val="20"/>
          <w:lang w:val="es-MX"/>
          <w14:ligatures w14:val="standardContextual"/>
        </w:rPr>
        <w:t>que</w:t>
      </w:r>
      <w:r w:rsidRPr="00E55288">
        <w:rPr>
          <w:rFonts w:ascii="ITC Avant Garde" w:eastAsia="Calibri" w:hAnsi="ITC Avant Garde" w:cs="Times New Roman"/>
          <w:b w:val="0"/>
          <w:color w:val="auto"/>
          <w:kern w:val="2"/>
          <w:sz w:val="20"/>
          <w:szCs w:val="20"/>
          <w:lang w:val="es-MX"/>
          <w14:ligatures w14:val="standardContextual"/>
        </w:rPr>
        <w:t xml:space="preserve"> en 2024, la mayoría de los trámites se </w:t>
      </w:r>
      <w:r w:rsidRPr="00B977DE">
        <w:rPr>
          <w:rFonts w:ascii="ITC Avant Garde" w:eastAsia="Calibri" w:hAnsi="ITC Avant Garde" w:cs="Times New Roman"/>
          <w:b w:val="0"/>
          <w:color w:val="auto"/>
          <w:kern w:val="2"/>
          <w:sz w:val="20"/>
          <w:szCs w:val="20"/>
          <w:lang w:val="es-MX"/>
          <w14:ligatures w14:val="standardContextual"/>
        </w:rPr>
        <w:t>resolvieron e</w:t>
      </w:r>
      <w:r w:rsidRPr="00E55288">
        <w:rPr>
          <w:rFonts w:ascii="ITC Avant Garde" w:eastAsia="Calibri" w:hAnsi="ITC Avant Garde" w:cs="Times New Roman"/>
          <w:b w:val="0"/>
          <w:color w:val="auto"/>
          <w:kern w:val="2"/>
          <w:sz w:val="20"/>
          <w:szCs w:val="20"/>
          <w:lang w:val="es-MX"/>
          <w14:ligatures w14:val="standardContextual"/>
        </w:rPr>
        <w:t>n menos de 10 minutos.</w:t>
      </w:r>
      <w:r>
        <w:rPr>
          <w:rFonts w:ascii="ITC Avant Garde" w:eastAsia="Calibri" w:hAnsi="ITC Avant Garde" w:cs="Times New Roman"/>
          <w:b w:val="0"/>
          <w:color w:val="auto"/>
          <w:kern w:val="2"/>
          <w:sz w:val="20"/>
          <w:szCs w:val="20"/>
          <w:lang w:val="es-MX"/>
          <w14:ligatures w14:val="standardContextual"/>
        </w:rPr>
        <w:t xml:space="preserve"> </w:t>
      </w:r>
      <w:r>
        <w:rPr>
          <w:rFonts w:ascii="ITC Avant Garde" w:hAnsi="ITC Avant Garde"/>
          <w:b w:val="0"/>
          <w:bCs/>
          <w:color w:val="auto"/>
          <w:sz w:val="20"/>
          <w:szCs w:val="20"/>
          <w:lang w:val="es-MX"/>
        </w:rPr>
        <w:t>(</w:t>
      </w:r>
      <w:r>
        <w:rPr>
          <w:rFonts w:ascii="ITC Avant Garde" w:hAnsi="ITC Avant Garde"/>
          <w:b w:val="0"/>
          <w:bCs/>
          <w:color w:val="auto"/>
          <w:sz w:val="20"/>
          <w:szCs w:val="20"/>
        </w:rPr>
        <w:t>Los datos obtenidos se observan en la Tabla 17</w:t>
      </w:r>
      <w:r>
        <w:rPr>
          <w:rFonts w:ascii="ITC Avant Garde" w:hAnsi="ITC Avant Garde"/>
          <w:b w:val="0"/>
          <w:bCs/>
          <w:color w:val="auto"/>
          <w:sz w:val="20"/>
          <w:szCs w:val="20"/>
          <w:lang w:val="es-MX"/>
        </w:rPr>
        <w:t>)</w:t>
      </w:r>
    </w:p>
    <w:p w14:paraId="76C4787A" w14:textId="77777777" w:rsidR="0066403F" w:rsidRPr="001C22B9" w:rsidRDefault="0066403F" w:rsidP="0066403F">
      <w:pPr>
        <w:spacing w:after="160" w:line="278" w:lineRule="auto"/>
        <w:ind w:left="720"/>
        <w:jc w:val="both"/>
        <w:rPr>
          <w:rFonts w:ascii="ITC Avant Garde" w:eastAsia="Calibri" w:hAnsi="ITC Avant Garde" w:cs="Times New Roman"/>
          <w:b w:val="0"/>
          <w:color w:val="auto"/>
          <w:kern w:val="2"/>
          <w:sz w:val="20"/>
          <w:szCs w:val="20"/>
          <w:lang w:val="es-MX"/>
          <w14:ligatures w14:val="standardContextual"/>
        </w:rPr>
      </w:pPr>
      <w:r>
        <w:rPr>
          <w:noProof/>
        </w:rPr>
        <w:drawing>
          <wp:inline distT="0" distB="0" distL="0" distR="0" wp14:anchorId="03B7FA9E" wp14:editId="547903BE">
            <wp:extent cx="5286375" cy="2590800"/>
            <wp:effectExtent l="0" t="0" r="9525" b="0"/>
            <wp:docPr id="10" name="Gráfico 10">
              <a:extLst xmlns:a="http://schemas.openxmlformats.org/drawingml/2006/main">
                <a:ext uri="{FF2B5EF4-FFF2-40B4-BE49-F238E27FC236}">
                  <a16:creationId xmlns:a16="http://schemas.microsoft.com/office/drawing/2014/main" id="{EAD64CD0-A34E-43F3-85F6-AAAD0A775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A4EE1DE" w14:textId="77777777" w:rsidR="0066403F" w:rsidRPr="00B73592" w:rsidRDefault="0066403F" w:rsidP="0066403F">
      <w:pPr>
        <w:spacing w:after="160" w:line="278" w:lineRule="auto"/>
        <w:jc w:val="both"/>
        <w:rPr>
          <w:rFonts w:ascii="ITC Avant Garde" w:eastAsia="Calibri" w:hAnsi="ITC Avant Garde" w:cs="Times New Roman"/>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lastRenderedPageBreak/>
        <w:t>Estos resultados muestran una tendencia positiva en la satisfacción general, aunque persisten áreas de oportunidad para continuar mejorando la experiencia del usuario.</w:t>
      </w:r>
    </w:p>
    <w:p w14:paraId="6F3C0419"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Pr>
          <w:rFonts w:ascii="ITC Avant Garde" w:eastAsia="Calibri" w:hAnsi="ITC Avant Garde" w:cs="Times New Roman"/>
          <w:b w:val="0"/>
          <w:color w:val="auto"/>
          <w:kern w:val="2"/>
          <w:sz w:val="20"/>
          <w:szCs w:val="20"/>
          <w:lang w:val="es-MX"/>
          <w14:ligatures w14:val="standardContextual"/>
        </w:rPr>
        <w:t>El</w:t>
      </w:r>
      <w:r w:rsidRPr="001C22B9">
        <w:rPr>
          <w:rFonts w:ascii="ITC Avant Garde" w:eastAsia="Calibri" w:hAnsi="ITC Avant Garde" w:cs="Times New Roman"/>
          <w:b w:val="0"/>
          <w:color w:val="auto"/>
          <w:kern w:val="2"/>
          <w:sz w:val="20"/>
          <w:szCs w:val="20"/>
          <w:lang w:val="es-MX"/>
          <w14:ligatures w14:val="standardContextual"/>
        </w:rPr>
        <w:t xml:space="preserve"> análisis trimestral de la satisfacción general revela patrones y tendencias que ayudan a identificar los períodos de mayor y menor satisfacción</w:t>
      </w:r>
      <w:r>
        <w:rPr>
          <w:rFonts w:ascii="ITC Avant Garde" w:eastAsia="Calibri" w:hAnsi="ITC Avant Garde" w:cs="Times New Roman"/>
          <w:b w:val="0"/>
          <w:color w:val="auto"/>
          <w:kern w:val="2"/>
          <w:sz w:val="20"/>
          <w:szCs w:val="20"/>
          <w:lang w:val="es-MX"/>
          <w14:ligatures w14:val="standardContextual"/>
        </w:rPr>
        <w:t>, como se detalla a continuación:</w:t>
      </w:r>
    </w:p>
    <w:p w14:paraId="6C7615FC" w14:textId="77777777" w:rsidR="0066403F" w:rsidRPr="001C22B9" w:rsidRDefault="0066403F" w:rsidP="0066403F">
      <w:pPr>
        <w:numPr>
          <w:ilvl w:val="0"/>
          <w:numId w:val="13"/>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Primer Trimestre</w:t>
      </w:r>
      <w:r w:rsidRPr="001C22B9">
        <w:rPr>
          <w:rFonts w:ascii="ITC Avant Garde" w:eastAsia="Calibri" w:hAnsi="ITC Avant Garde" w:cs="Times New Roman"/>
          <w:b w:val="0"/>
          <w:color w:val="auto"/>
          <w:kern w:val="2"/>
          <w:sz w:val="20"/>
          <w:szCs w:val="20"/>
          <w:lang w:val="es-MX"/>
          <w14:ligatures w14:val="standardContextual"/>
        </w:rPr>
        <w:t>: Los niveles de satisfacción son altos al inicio de cada año, coincidiendo con la renovación de servicios y la integración de mejoras planificadas en la plataforma. Los primeros tres meses de 2024, en particular, mostraron un incremento en la satisfacción del 10% en comparación con el mismo período de 2023, lo que sugiere que las actualizaciones aplicadas recientemente fueron bien recibidas por las personas usuarias.</w:t>
      </w:r>
    </w:p>
    <w:p w14:paraId="09365BC3" w14:textId="77777777" w:rsidR="0066403F" w:rsidRPr="001C22B9" w:rsidRDefault="0066403F" w:rsidP="0066403F">
      <w:pPr>
        <w:numPr>
          <w:ilvl w:val="0"/>
          <w:numId w:val="13"/>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Segundo y Tercer Trimestre</w:t>
      </w:r>
      <w:r w:rsidRPr="001C22B9">
        <w:rPr>
          <w:rFonts w:ascii="ITC Avant Garde" w:eastAsia="Calibri" w:hAnsi="ITC Avant Garde" w:cs="Times New Roman"/>
          <w:b w:val="0"/>
          <w:color w:val="auto"/>
          <w:kern w:val="2"/>
          <w:sz w:val="20"/>
          <w:szCs w:val="20"/>
          <w:lang w:val="es-MX"/>
          <w14:ligatures w14:val="standardContextual"/>
        </w:rPr>
        <w:t xml:space="preserve">: En estos períodos, la satisfacción tiende a estabilizarse.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valoran la consistencia en el servicio, aunque las demandas de capacidad de la plataforma suelen ser mayores, lo que puede aumentar los tiempos de espera. Sin embargo, los resultados indican que el IFT ha sido eficaz en mantener la satisfacción en estos trimestres críticos.</w:t>
      </w:r>
    </w:p>
    <w:p w14:paraId="056AFB05" w14:textId="77777777" w:rsidR="0066403F" w:rsidRPr="001C22B9" w:rsidRDefault="0066403F" w:rsidP="0066403F">
      <w:pPr>
        <w:numPr>
          <w:ilvl w:val="0"/>
          <w:numId w:val="13"/>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Cuarto Trimestre</w:t>
      </w:r>
      <w:r w:rsidRPr="001C22B9">
        <w:rPr>
          <w:rFonts w:ascii="ITC Avant Garde" w:eastAsia="Calibri" w:hAnsi="ITC Avant Garde" w:cs="Times New Roman"/>
          <w:b w:val="0"/>
          <w:color w:val="auto"/>
          <w:kern w:val="2"/>
          <w:sz w:val="20"/>
          <w:szCs w:val="20"/>
          <w:lang w:val="es-MX"/>
          <w14:ligatures w14:val="standardContextual"/>
        </w:rPr>
        <w:t>: La satisfacción tiende a disminuir ligeramente en el último trimestre de cada año, probablemente debido a la carga administrativa que aumenta al cierre de ciclos anuales. En este período, algunas personas usuarias mencionaron problemas de acceso y lentitud en la plataforma. Para mitigar estas caídas de satisfacción, es recomendable que el IFT refuerce sus recursos y optimice la capacidad de la plataforma en estos momentos de alta demanda.</w:t>
      </w:r>
    </w:p>
    <w:p w14:paraId="742CA49D"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Pr>
          <w:rFonts w:ascii="ITC Avant Garde" w:eastAsia="Calibri" w:hAnsi="ITC Avant Garde" w:cs="Times New Roman"/>
          <w:b w:val="0"/>
          <w:color w:val="auto"/>
          <w:kern w:val="2"/>
          <w:sz w:val="20"/>
          <w:szCs w:val="20"/>
          <w:lang w:val="es-MX"/>
          <w14:ligatures w14:val="standardContextual"/>
        </w:rPr>
        <w:t>Esta</w:t>
      </w:r>
      <w:r w:rsidRPr="001C22B9">
        <w:rPr>
          <w:rFonts w:ascii="ITC Avant Garde" w:eastAsia="Calibri" w:hAnsi="ITC Avant Garde" w:cs="Times New Roman"/>
          <w:b w:val="0"/>
          <w:color w:val="auto"/>
          <w:kern w:val="2"/>
          <w:sz w:val="20"/>
          <w:szCs w:val="20"/>
          <w:lang w:val="es-MX"/>
          <w14:ligatures w14:val="standardContextual"/>
        </w:rPr>
        <w:t xml:space="preserve"> evaluación trimestral</w:t>
      </w:r>
      <w:r>
        <w:rPr>
          <w:rFonts w:ascii="ITC Avant Garde" w:eastAsia="Calibri" w:hAnsi="ITC Avant Garde" w:cs="Times New Roman"/>
          <w:b w:val="0"/>
          <w:color w:val="auto"/>
          <w:kern w:val="2"/>
          <w:sz w:val="20"/>
          <w:szCs w:val="20"/>
          <w:lang w:val="es-MX"/>
          <w14:ligatures w14:val="standardContextual"/>
        </w:rPr>
        <w:t>,</w:t>
      </w:r>
      <w:r w:rsidRPr="001C22B9">
        <w:rPr>
          <w:rFonts w:ascii="ITC Avant Garde" w:eastAsia="Calibri" w:hAnsi="ITC Avant Garde" w:cs="Times New Roman"/>
          <w:b w:val="0"/>
          <w:color w:val="auto"/>
          <w:kern w:val="2"/>
          <w:sz w:val="20"/>
          <w:szCs w:val="20"/>
          <w:lang w:val="es-MX"/>
          <w14:ligatures w14:val="standardContextual"/>
        </w:rPr>
        <w:t xml:space="preserve"> permite al I</w:t>
      </w:r>
      <w:r>
        <w:rPr>
          <w:rFonts w:ascii="ITC Avant Garde" w:eastAsia="Calibri" w:hAnsi="ITC Avant Garde" w:cs="Times New Roman"/>
          <w:b w:val="0"/>
          <w:color w:val="auto"/>
          <w:kern w:val="2"/>
          <w:sz w:val="20"/>
          <w:szCs w:val="20"/>
          <w:lang w:val="es-MX"/>
          <w14:ligatures w14:val="standardContextual"/>
        </w:rPr>
        <w:t xml:space="preserve">nstituto </w:t>
      </w:r>
      <w:r w:rsidRPr="001C22B9">
        <w:rPr>
          <w:rFonts w:ascii="ITC Avant Garde" w:eastAsia="Calibri" w:hAnsi="ITC Avant Garde" w:cs="Times New Roman"/>
          <w:b w:val="0"/>
          <w:color w:val="auto"/>
          <w:kern w:val="2"/>
          <w:sz w:val="20"/>
          <w:szCs w:val="20"/>
          <w:lang w:val="es-MX"/>
          <w14:ligatures w14:val="standardContextual"/>
        </w:rPr>
        <w:t>ajustar y planificar mejoras continuas en momentos clave, maximizando la satisfacción del usuario en cada etapa del año.</w:t>
      </w:r>
    </w:p>
    <w:p w14:paraId="6FB404E8" w14:textId="77777777" w:rsidR="0066403F" w:rsidRPr="002E1AB7" w:rsidRDefault="0066403F" w:rsidP="0066403F">
      <w:pPr>
        <w:rPr>
          <w:rFonts w:ascii="ITC Avant Garde" w:eastAsia="Calibri" w:hAnsi="ITC Avant Garde" w:cs="Times New Roman"/>
          <w:color w:val="auto"/>
          <w:kern w:val="2"/>
          <w:sz w:val="22"/>
          <w:lang w:val="es-MX"/>
          <w14:ligatures w14:val="standardContextual"/>
        </w:rPr>
      </w:pPr>
      <w:bookmarkStart w:id="43" w:name="_Toc183000929"/>
      <w:r w:rsidRPr="002E1AB7">
        <w:rPr>
          <w:rFonts w:ascii="ITC Avant Garde" w:eastAsia="Calibri" w:hAnsi="ITC Avant Garde" w:cs="Times New Roman"/>
          <w:color w:val="auto"/>
          <w:kern w:val="2"/>
          <w:sz w:val="22"/>
          <w:lang w:val="es-MX"/>
          <w14:ligatures w14:val="standardContextual"/>
        </w:rPr>
        <w:t xml:space="preserve">Factores </w:t>
      </w:r>
      <w:r>
        <w:rPr>
          <w:rFonts w:ascii="ITC Avant Garde" w:eastAsia="Calibri" w:hAnsi="ITC Avant Garde" w:cs="Times New Roman"/>
          <w:color w:val="auto"/>
          <w:kern w:val="2"/>
          <w:sz w:val="22"/>
          <w:lang w:val="es-MX"/>
          <w14:ligatures w14:val="standardContextual"/>
        </w:rPr>
        <w:t>c</w:t>
      </w:r>
      <w:r w:rsidRPr="002E1AB7">
        <w:rPr>
          <w:rFonts w:ascii="ITC Avant Garde" w:eastAsia="Calibri" w:hAnsi="ITC Avant Garde" w:cs="Times New Roman"/>
          <w:color w:val="auto"/>
          <w:kern w:val="2"/>
          <w:sz w:val="22"/>
          <w:lang w:val="es-MX"/>
          <w14:ligatures w14:val="standardContextual"/>
        </w:rPr>
        <w:t xml:space="preserve">lave de </w:t>
      </w:r>
      <w:r>
        <w:rPr>
          <w:rFonts w:ascii="ITC Avant Garde" w:eastAsia="Calibri" w:hAnsi="ITC Avant Garde" w:cs="Times New Roman"/>
          <w:color w:val="auto"/>
          <w:kern w:val="2"/>
          <w:sz w:val="22"/>
          <w:lang w:val="es-MX"/>
          <w14:ligatures w14:val="standardContextual"/>
        </w:rPr>
        <w:t>s</w:t>
      </w:r>
      <w:r w:rsidRPr="002E1AB7">
        <w:rPr>
          <w:rFonts w:ascii="ITC Avant Garde" w:eastAsia="Calibri" w:hAnsi="ITC Avant Garde" w:cs="Times New Roman"/>
          <w:color w:val="auto"/>
          <w:kern w:val="2"/>
          <w:sz w:val="22"/>
          <w:lang w:val="es-MX"/>
          <w14:ligatures w14:val="standardContextual"/>
        </w:rPr>
        <w:t>atisfacción</w:t>
      </w:r>
      <w:bookmarkEnd w:id="43"/>
    </w:p>
    <w:p w14:paraId="682D2B72" w14:textId="77777777" w:rsidR="0066403F" w:rsidRPr="00B73592" w:rsidRDefault="0066403F" w:rsidP="0066403F">
      <w:pPr>
        <w:rPr>
          <w:rFonts w:ascii="ITC Avant Garde" w:eastAsia="Calibri" w:hAnsi="ITC Avant Garde" w:cs="Times New Roman"/>
          <w:color w:val="auto"/>
          <w:kern w:val="2"/>
          <w:sz w:val="20"/>
          <w:szCs w:val="20"/>
          <w:lang w:val="es-MX"/>
          <w14:ligatures w14:val="standardContextual"/>
        </w:rPr>
      </w:pPr>
    </w:p>
    <w:p w14:paraId="27E8954C"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El análisis también identificó factores específicos que contribuyen al nivel de satisfacción general. Estos factores incluyen:</w:t>
      </w:r>
    </w:p>
    <w:p w14:paraId="20B45921" w14:textId="77777777" w:rsidR="0066403F" w:rsidRPr="001C22B9" w:rsidRDefault="0066403F" w:rsidP="0066403F">
      <w:pPr>
        <w:numPr>
          <w:ilvl w:val="0"/>
          <w:numId w:val="14"/>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Facilidad de Uso</w:t>
      </w:r>
      <w:r w:rsidRPr="001C22B9">
        <w:rPr>
          <w:rFonts w:ascii="ITC Avant Garde" w:eastAsia="Calibri" w:hAnsi="ITC Avant Garde" w:cs="Times New Roman"/>
          <w:b w:val="0"/>
          <w:color w:val="auto"/>
          <w:kern w:val="2"/>
          <w:sz w:val="20"/>
          <w:szCs w:val="20"/>
          <w:lang w:val="es-MX"/>
          <w14:ligatures w14:val="standardContextual"/>
        </w:rPr>
        <w:t>: La mayoría de l</w:t>
      </w:r>
      <w:r>
        <w:rPr>
          <w:rFonts w:ascii="ITC Avant Garde" w:eastAsia="Calibri" w:hAnsi="ITC Avant Garde" w:cs="Times New Roman"/>
          <w:b w:val="0"/>
          <w:color w:val="auto"/>
          <w:kern w:val="2"/>
          <w:sz w:val="20"/>
          <w:szCs w:val="20"/>
          <w:lang w:val="es-MX"/>
          <w14:ligatures w14:val="standardContextual"/>
        </w:rPr>
        <w:t>a</w:t>
      </w:r>
      <w:r w:rsidRPr="001C22B9">
        <w:rPr>
          <w:rFonts w:ascii="ITC Avant Garde" w:eastAsia="Calibri" w:hAnsi="ITC Avant Garde" w:cs="Times New Roman"/>
          <w:b w:val="0"/>
          <w:color w:val="auto"/>
          <w:kern w:val="2"/>
          <w:sz w:val="20"/>
          <w:szCs w:val="20"/>
          <w:lang w:val="es-MX"/>
          <w14:ligatures w14:val="standardContextual"/>
        </w:rPr>
        <w:t xml:space="preserve">s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xml:space="preserve"> encuentran la plataforma fácil de utilizar, lo cual es un indicador positivo de usabilida</w:t>
      </w:r>
      <w:r>
        <w:rPr>
          <w:rFonts w:ascii="ITC Avant Garde" w:eastAsia="Calibri" w:hAnsi="ITC Avant Garde" w:cs="Times New Roman"/>
          <w:b w:val="0"/>
          <w:color w:val="auto"/>
          <w:kern w:val="2"/>
          <w:sz w:val="20"/>
          <w:szCs w:val="20"/>
          <w:lang w:val="es-MX"/>
          <w14:ligatures w14:val="standardContextual"/>
        </w:rPr>
        <w:t>d, s</w:t>
      </w:r>
      <w:r w:rsidRPr="001C22B9">
        <w:rPr>
          <w:rFonts w:ascii="ITC Avant Garde" w:eastAsia="Calibri" w:hAnsi="ITC Avant Garde" w:cs="Times New Roman"/>
          <w:b w:val="0"/>
          <w:color w:val="auto"/>
          <w:kern w:val="2"/>
          <w:sz w:val="20"/>
          <w:szCs w:val="20"/>
          <w:lang w:val="es-MX"/>
          <w14:ligatures w14:val="standardContextual"/>
        </w:rPr>
        <w:t xml:space="preserve">in embargo, un grupo de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xml:space="preserve"> mencionó que ciertas funcionalidades podrían ser más intuitivas</w:t>
      </w:r>
      <w:r>
        <w:rPr>
          <w:rFonts w:ascii="ITC Avant Garde" w:eastAsia="Calibri" w:hAnsi="ITC Avant Garde" w:cs="Times New Roman"/>
          <w:b w:val="0"/>
          <w:color w:val="auto"/>
          <w:kern w:val="2"/>
          <w:sz w:val="20"/>
          <w:szCs w:val="20"/>
          <w:lang w:val="es-MX"/>
          <w14:ligatures w14:val="standardContextual"/>
        </w:rPr>
        <w:t>, l</w:t>
      </w:r>
      <w:r w:rsidRPr="001C22B9">
        <w:rPr>
          <w:rFonts w:ascii="ITC Avant Garde" w:eastAsia="Calibri" w:hAnsi="ITC Avant Garde" w:cs="Times New Roman"/>
          <w:b w:val="0"/>
          <w:color w:val="auto"/>
          <w:kern w:val="2"/>
          <w:sz w:val="20"/>
          <w:szCs w:val="20"/>
          <w:lang w:val="es-MX"/>
          <w14:ligatures w14:val="standardContextual"/>
        </w:rPr>
        <w:t xml:space="preserve">a facilidad de uso es fundamental para fomentar la adopción de la plataforma, especialmente entre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xml:space="preserve"> menos familiarizad</w:t>
      </w:r>
      <w:r>
        <w:rPr>
          <w:rFonts w:ascii="ITC Avant Garde" w:eastAsia="Calibri" w:hAnsi="ITC Avant Garde" w:cs="Times New Roman"/>
          <w:b w:val="0"/>
          <w:color w:val="auto"/>
          <w:kern w:val="2"/>
          <w:sz w:val="20"/>
          <w:szCs w:val="20"/>
          <w:lang w:val="es-MX"/>
          <w14:ligatures w14:val="standardContextual"/>
        </w:rPr>
        <w:t>a</w:t>
      </w:r>
      <w:r w:rsidRPr="001C22B9">
        <w:rPr>
          <w:rFonts w:ascii="ITC Avant Garde" w:eastAsia="Calibri" w:hAnsi="ITC Avant Garde" w:cs="Times New Roman"/>
          <w:b w:val="0"/>
          <w:color w:val="auto"/>
          <w:kern w:val="2"/>
          <w:sz w:val="20"/>
          <w:szCs w:val="20"/>
          <w:lang w:val="es-MX"/>
          <w14:ligatures w14:val="standardContextual"/>
        </w:rPr>
        <w:t>s con herramientas digitales.</w:t>
      </w:r>
    </w:p>
    <w:p w14:paraId="41CC1CA2" w14:textId="77777777" w:rsidR="0066403F" w:rsidRPr="001C22B9" w:rsidRDefault="0066403F" w:rsidP="0066403F">
      <w:pPr>
        <w:numPr>
          <w:ilvl w:val="0"/>
          <w:numId w:val="14"/>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Tiempo de Respuesta</w:t>
      </w:r>
      <w:r w:rsidRPr="001C22B9">
        <w:rPr>
          <w:rFonts w:ascii="ITC Avant Garde" w:eastAsia="Calibri" w:hAnsi="ITC Avant Garde" w:cs="Times New Roman"/>
          <w:b w:val="0"/>
          <w:color w:val="auto"/>
          <w:kern w:val="2"/>
          <w:sz w:val="20"/>
          <w:szCs w:val="20"/>
          <w:lang w:val="es-MX"/>
          <w14:ligatures w14:val="standardContextual"/>
        </w:rPr>
        <w:t>: La rapidez en la resolución de trámites es uno de los aspectos mejor valorados. L</w:t>
      </w:r>
      <w:r>
        <w:rPr>
          <w:rFonts w:ascii="ITC Avant Garde" w:eastAsia="Calibri" w:hAnsi="ITC Avant Garde" w:cs="Times New Roman"/>
          <w:b w:val="0"/>
          <w:color w:val="auto"/>
          <w:kern w:val="2"/>
          <w:sz w:val="20"/>
          <w:szCs w:val="20"/>
          <w:lang w:val="es-MX"/>
          <w14:ligatures w14:val="standardContextual"/>
        </w:rPr>
        <w:t>a</w:t>
      </w:r>
      <w:r w:rsidRPr="001C22B9">
        <w:rPr>
          <w:rFonts w:ascii="ITC Avant Garde" w:eastAsia="Calibri" w:hAnsi="ITC Avant Garde" w:cs="Times New Roman"/>
          <w:b w:val="0"/>
          <w:color w:val="auto"/>
          <w:kern w:val="2"/>
          <w:sz w:val="20"/>
          <w:szCs w:val="20"/>
          <w:lang w:val="es-MX"/>
          <w14:ligatures w14:val="standardContextual"/>
        </w:rPr>
        <w:t xml:space="preserve">s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xml:space="preserve"> aprecian la agilidad que les permite evitar trámites presenciales y resolver sus gestiones en minutos</w:t>
      </w:r>
      <w:r>
        <w:rPr>
          <w:rFonts w:ascii="ITC Avant Garde" w:eastAsia="Calibri" w:hAnsi="ITC Avant Garde" w:cs="Times New Roman"/>
          <w:b w:val="0"/>
          <w:color w:val="auto"/>
          <w:kern w:val="2"/>
          <w:sz w:val="20"/>
          <w:szCs w:val="20"/>
          <w:lang w:val="es-MX"/>
          <w14:ligatures w14:val="standardContextual"/>
        </w:rPr>
        <w:t>, el m</w:t>
      </w:r>
      <w:r w:rsidRPr="001C22B9">
        <w:rPr>
          <w:rFonts w:ascii="ITC Avant Garde" w:eastAsia="Calibri" w:hAnsi="ITC Avant Garde" w:cs="Times New Roman"/>
          <w:b w:val="0"/>
          <w:color w:val="auto"/>
          <w:kern w:val="2"/>
          <w:sz w:val="20"/>
          <w:szCs w:val="20"/>
          <w:lang w:val="es-MX"/>
          <w14:ligatures w14:val="standardContextual"/>
        </w:rPr>
        <w:t>ejorar aún más este aspecto puede consolidar la Ventanilla Electrónica como una plataforma de preferencia entre l</w:t>
      </w:r>
      <w:r>
        <w:rPr>
          <w:rFonts w:ascii="ITC Avant Garde" w:eastAsia="Calibri" w:hAnsi="ITC Avant Garde" w:cs="Times New Roman"/>
          <w:b w:val="0"/>
          <w:color w:val="auto"/>
          <w:kern w:val="2"/>
          <w:sz w:val="20"/>
          <w:szCs w:val="20"/>
          <w:lang w:val="es-MX"/>
          <w14:ligatures w14:val="standardContextual"/>
        </w:rPr>
        <w:t>as</w:t>
      </w:r>
      <w:r w:rsidRPr="001C22B9">
        <w:rPr>
          <w:rFonts w:ascii="ITC Avant Garde" w:eastAsia="Calibri" w:hAnsi="ITC Avant Garde" w:cs="Times New Roman"/>
          <w:b w:val="0"/>
          <w:color w:val="auto"/>
          <w:kern w:val="2"/>
          <w:sz w:val="20"/>
          <w:szCs w:val="20"/>
          <w:lang w:val="es-MX"/>
          <w14:ligatures w14:val="standardContextual"/>
        </w:rPr>
        <w:t xml:space="preserve">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w:t>
      </w:r>
    </w:p>
    <w:p w14:paraId="4E733DEE" w14:textId="77777777" w:rsidR="0066403F" w:rsidRPr="001C22B9" w:rsidRDefault="0066403F" w:rsidP="0066403F">
      <w:pPr>
        <w:numPr>
          <w:ilvl w:val="0"/>
          <w:numId w:val="14"/>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Seguridad y Privacidad de Datos</w:t>
      </w:r>
      <w:r w:rsidRPr="001C22B9">
        <w:rPr>
          <w:rFonts w:ascii="ITC Avant Garde" w:eastAsia="Calibri" w:hAnsi="ITC Avant Garde" w:cs="Times New Roman"/>
          <w:b w:val="0"/>
          <w:color w:val="auto"/>
          <w:kern w:val="2"/>
          <w:sz w:val="20"/>
          <w:szCs w:val="20"/>
          <w:lang w:val="es-MX"/>
          <w14:ligatures w14:val="standardContextual"/>
        </w:rPr>
        <w:t>: La confianza en la protección de datos personales es esencial para el uso de cualquier plataforma digital</w:t>
      </w:r>
      <w:r>
        <w:rPr>
          <w:rFonts w:ascii="ITC Avant Garde" w:eastAsia="Calibri" w:hAnsi="ITC Avant Garde" w:cs="Times New Roman"/>
          <w:b w:val="0"/>
          <w:color w:val="auto"/>
          <w:kern w:val="2"/>
          <w:sz w:val="20"/>
          <w:szCs w:val="20"/>
          <w:lang w:val="es-MX"/>
          <w14:ligatures w14:val="standardContextual"/>
        </w:rPr>
        <w:t>, la</w:t>
      </w:r>
      <w:r w:rsidRPr="001C22B9">
        <w:rPr>
          <w:rFonts w:ascii="ITC Avant Garde" w:eastAsia="Calibri" w:hAnsi="ITC Avant Garde" w:cs="Times New Roman"/>
          <w:b w:val="0"/>
          <w:color w:val="auto"/>
          <w:kern w:val="2"/>
          <w:sz w:val="20"/>
          <w:szCs w:val="20"/>
          <w:lang w:val="es-MX"/>
          <w14:ligatures w14:val="standardContextual"/>
        </w:rPr>
        <w:t xml:space="preserve">s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xml:space="preserve"> expresaron satisfacción con las medidas de seguridad de la Ventanilla Electrónica, y </w:t>
      </w:r>
      <w:r>
        <w:rPr>
          <w:rFonts w:ascii="ITC Avant Garde" w:eastAsia="Calibri" w:hAnsi="ITC Avant Garde" w:cs="Times New Roman"/>
          <w:b w:val="0"/>
          <w:color w:val="auto"/>
          <w:kern w:val="2"/>
          <w:sz w:val="20"/>
          <w:szCs w:val="20"/>
          <w:lang w:val="es-MX"/>
          <w14:ligatures w14:val="standardContextual"/>
        </w:rPr>
        <w:t xml:space="preserve">al igual </w:t>
      </w:r>
      <w:r w:rsidRPr="001C22B9">
        <w:rPr>
          <w:rFonts w:ascii="ITC Avant Garde" w:eastAsia="Calibri" w:hAnsi="ITC Avant Garde" w:cs="Times New Roman"/>
          <w:b w:val="0"/>
          <w:color w:val="auto"/>
          <w:kern w:val="2"/>
          <w:sz w:val="20"/>
          <w:szCs w:val="20"/>
          <w:lang w:val="es-MX"/>
          <w14:ligatures w14:val="standardContextual"/>
        </w:rPr>
        <w:t>consideran la</w:t>
      </w:r>
      <w:r>
        <w:rPr>
          <w:rFonts w:ascii="ITC Avant Garde" w:eastAsia="Calibri" w:hAnsi="ITC Avant Garde" w:cs="Times New Roman"/>
          <w:b w:val="0"/>
          <w:color w:val="auto"/>
          <w:kern w:val="2"/>
          <w:sz w:val="20"/>
          <w:szCs w:val="20"/>
          <w:lang w:val="es-MX"/>
          <w14:ligatures w14:val="standardContextual"/>
        </w:rPr>
        <w:t xml:space="preserve"> Ventanilla Electrónica como una</w:t>
      </w:r>
      <w:r w:rsidRPr="001C22B9">
        <w:rPr>
          <w:rFonts w:ascii="ITC Avant Garde" w:eastAsia="Calibri" w:hAnsi="ITC Avant Garde" w:cs="Times New Roman"/>
          <w:b w:val="0"/>
          <w:color w:val="auto"/>
          <w:kern w:val="2"/>
          <w:sz w:val="20"/>
          <w:szCs w:val="20"/>
          <w:lang w:val="es-MX"/>
          <w14:ligatures w14:val="standardContextual"/>
        </w:rPr>
        <w:t xml:space="preserve"> plataforma segura</w:t>
      </w:r>
      <w:r>
        <w:rPr>
          <w:rFonts w:ascii="ITC Avant Garde" w:eastAsia="Calibri" w:hAnsi="ITC Avant Garde" w:cs="Times New Roman"/>
          <w:b w:val="0"/>
          <w:color w:val="auto"/>
          <w:kern w:val="2"/>
          <w:sz w:val="20"/>
          <w:szCs w:val="20"/>
          <w:lang w:val="es-MX"/>
          <w14:ligatures w14:val="standardContextual"/>
        </w:rPr>
        <w:t>, ya que las</w:t>
      </w:r>
      <w:r w:rsidRPr="001C22B9">
        <w:rPr>
          <w:rFonts w:ascii="ITC Avant Garde" w:eastAsia="Calibri" w:hAnsi="ITC Avant Garde" w:cs="Times New Roman"/>
          <w:b w:val="0"/>
          <w:color w:val="auto"/>
          <w:kern w:val="2"/>
          <w:sz w:val="20"/>
          <w:szCs w:val="20"/>
          <w:lang w:val="es-MX"/>
          <w14:ligatures w14:val="standardContextual"/>
        </w:rPr>
        <w:t xml:space="preserve"> mejoras </w:t>
      </w:r>
      <w:r w:rsidRPr="001C22B9">
        <w:rPr>
          <w:rFonts w:ascii="ITC Avant Garde" w:eastAsia="Calibri" w:hAnsi="ITC Avant Garde" w:cs="Times New Roman"/>
          <w:b w:val="0"/>
          <w:color w:val="auto"/>
          <w:kern w:val="2"/>
          <w:sz w:val="20"/>
          <w:szCs w:val="20"/>
          <w:lang w:val="es-MX"/>
          <w14:ligatures w14:val="standardContextual"/>
        </w:rPr>
        <w:lastRenderedPageBreak/>
        <w:t>en la autenticación y en la protección contra software malicioso han contribuido positivamente a esta percepción.</w:t>
      </w:r>
    </w:p>
    <w:p w14:paraId="361BAD73"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En conclusión, el análisis de satisfacción general destaca la efectividad de la Ventanilla Electrónica del IFT como una herramienta funcional y eficiente para la realización de trámites digitales</w:t>
      </w:r>
      <w:r>
        <w:rPr>
          <w:rFonts w:ascii="ITC Avant Garde" w:eastAsia="Calibri" w:hAnsi="ITC Avant Garde" w:cs="Times New Roman"/>
          <w:b w:val="0"/>
          <w:color w:val="auto"/>
          <w:kern w:val="2"/>
          <w:sz w:val="20"/>
          <w:szCs w:val="20"/>
          <w:lang w:val="es-MX"/>
          <w14:ligatures w14:val="standardContextual"/>
        </w:rPr>
        <w:t>, l</w:t>
      </w:r>
      <w:r w:rsidRPr="001C22B9">
        <w:rPr>
          <w:rFonts w:ascii="ITC Avant Garde" w:eastAsia="Calibri" w:hAnsi="ITC Avant Garde" w:cs="Times New Roman"/>
          <w:b w:val="0"/>
          <w:color w:val="auto"/>
          <w:kern w:val="2"/>
          <w:sz w:val="20"/>
          <w:szCs w:val="20"/>
          <w:lang w:val="es-MX"/>
          <w14:ligatures w14:val="standardContextual"/>
        </w:rPr>
        <w:t xml:space="preserve">a plataforma ha logrado captar una proporción mayoritaria de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xml:space="preserve"> satisfech</w:t>
      </w:r>
      <w:r>
        <w:rPr>
          <w:rFonts w:ascii="ITC Avant Garde" w:eastAsia="Calibri" w:hAnsi="ITC Avant Garde" w:cs="Times New Roman"/>
          <w:b w:val="0"/>
          <w:color w:val="auto"/>
          <w:kern w:val="2"/>
          <w:sz w:val="20"/>
          <w:szCs w:val="20"/>
          <w:lang w:val="es-MX"/>
          <w14:ligatures w14:val="standardContextual"/>
        </w:rPr>
        <w:t>a</w:t>
      </w:r>
      <w:r w:rsidRPr="001C22B9">
        <w:rPr>
          <w:rFonts w:ascii="ITC Avant Garde" w:eastAsia="Calibri" w:hAnsi="ITC Avant Garde" w:cs="Times New Roman"/>
          <w:b w:val="0"/>
          <w:color w:val="auto"/>
          <w:kern w:val="2"/>
          <w:sz w:val="20"/>
          <w:szCs w:val="20"/>
          <w:lang w:val="es-MX"/>
          <w14:ligatures w14:val="standardContextual"/>
        </w:rPr>
        <w:t>s y mantiene una tendencia positiva en la percepción de</w:t>
      </w:r>
      <w:r>
        <w:rPr>
          <w:rFonts w:ascii="ITC Avant Garde" w:eastAsia="Calibri" w:hAnsi="ITC Avant Garde" w:cs="Times New Roman"/>
          <w:b w:val="0"/>
          <w:color w:val="auto"/>
          <w:kern w:val="2"/>
          <w:sz w:val="20"/>
          <w:szCs w:val="20"/>
          <w:lang w:val="es-MX"/>
          <w14:ligatures w14:val="standardContextual"/>
        </w:rPr>
        <w:t xml:space="preserve"> las mismas, ya que l</w:t>
      </w:r>
      <w:r w:rsidRPr="001C22B9">
        <w:rPr>
          <w:rFonts w:ascii="ITC Avant Garde" w:eastAsia="Calibri" w:hAnsi="ITC Avant Garde" w:cs="Times New Roman"/>
          <w:b w:val="0"/>
          <w:color w:val="auto"/>
          <w:kern w:val="2"/>
          <w:sz w:val="20"/>
          <w:szCs w:val="20"/>
          <w:lang w:val="es-MX"/>
          <w14:ligatures w14:val="standardContextual"/>
        </w:rPr>
        <w:t>as mejoras en tiempos de respuesta, seguridad y facilidad de uso son aspectos clave que han contribuido al aumento en la satisfacción general.</w:t>
      </w:r>
    </w:p>
    <w:p w14:paraId="5ED9F462" w14:textId="77777777" w:rsidR="0066403F" w:rsidRPr="00B73592" w:rsidRDefault="0066403F" w:rsidP="0066403F">
      <w:pPr>
        <w:pStyle w:val="Prrafodelista"/>
        <w:keepNext/>
        <w:keepLines/>
        <w:numPr>
          <w:ilvl w:val="0"/>
          <w:numId w:val="41"/>
        </w:numPr>
        <w:spacing w:before="240" w:after="240" w:line="278" w:lineRule="auto"/>
        <w:jc w:val="both"/>
        <w:outlineLvl w:val="0"/>
        <w:rPr>
          <w:rFonts w:ascii="ITC Avant Garde" w:eastAsia="Times New Roman" w:hAnsi="ITC Avant Garde" w:cs="Times New Roman"/>
          <w:color w:val="auto"/>
          <w:kern w:val="2"/>
          <w:sz w:val="24"/>
          <w:szCs w:val="32"/>
          <w:lang w:val="es-MX"/>
          <w14:ligatures w14:val="standardContextual"/>
        </w:rPr>
      </w:pPr>
      <w:bookmarkStart w:id="44" w:name="_Toc183000931"/>
      <w:bookmarkStart w:id="45" w:name="_Toc185357321"/>
      <w:bookmarkStart w:id="46" w:name="_Toc185358249"/>
      <w:bookmarkStart w:id="47" w:name="_Toc185358503"/>
      <w:r w:rsidRPr="00B73592">
        <w:rPr>
          <w:rFonts w:ascii="ITC Avant Garde" w:eastAsia="Times New Roman" w:hAnsi="ITC Avant Garde" w:cs="Times New Roman"/>
          <w:color w:val="auto"/>
          <w:kern w:val="2"/>
          <w:sz w:val="24"/>
          <w:szCs w:val="32"/>
          <w:lang w:val="es-MX"/>
          <w14:ligatures w14:val="standardContextual"/>
        </w:rPr>
        <w:t>Facilidad de Uso y Accesibilidad</w:t>
      </w:r>
      <w:bookmarkEnd w:id="44"/>
      <w:r>
        <w:rPr>
          <w:rFonts w:ascii="ITC Avant Garde" w:eastAsia="Times New Roman" w:hAnsi="ITC Avant Garde" w:cs="Times New Roman"/>
          <w:color w:val="auto"/>
          <w:kern w:val="2"/>
          <w:sz w:val="24"/>
          <w:szCs w:val="32"/>
          <w:lang w:val="es-MX"/>
          <w14:ligatures w14:val="standardContextual"/>
        </w:rPr>
        <w:t xml:space="preserve"> de la Ventanilla Electrónica</w:t>
      </w:r>
      <w:bookmarkEnd w:id="45"/>
      <w:bookmarkEnd w:id="46"/>
      <w:bookmarkEnd w:id="47"/>
    </w:p>
    <w:p w14:paraId="6A814B1C" w14:textId="77777777" w:rsidR="0066403F" w:rsidRPr="002E1AB7" w:rsidRDefault="0066403F" w:rsidP="0066403F">
      <w:pPr>
        <w:rPr>
          <w:rFonts w:ascii="ITC Avant Garde" w:eastAsia="Calibri" w:hAnsi="ITC Avant Garde" w:cs="Times New Roman"/>
          <w:color w:val="auto"/>
          <w:kern w:val="2"/>
          <w:sz w:val="22"/>
          <w:lang w:val="es-MX"/>
          <w14:ligatures w14:val="standardContextual"/>
        </w:rPr>
      </w:pPr>
      <w:bookmarkStart w:id="48" w:name="_Toc183000932"/>
      <w:r w:rsidRPr="002E1AB7">
        <w:rPr>
          <w:rFonts w:ascii="ITC Avant Garde" w:eastAsia="Calibri" w:hAnsi="ITC Avant Garde" w:cs="Times New Roman"/>
          <w:color w:val="auto"/>
          <w:kern w:val="2"/>
          <w:sz w:val="22"/>
          <w:lang w:val="es-MX"/>
          <w14:ligatures w14:val="standardContextual"/>
        </w:rPr>
        <w:t>Evaluación de la Facilidad de Uso de la Ventanilla Electrónica</w:t>
      </w:r>
      <w:bookmarkEnd w:id="48"/>
    </w:p>
    <w:p w14:paraId="7D2B6682" w14:textId="77777777" w:rsidR="0066403F" w:rsidRPr="00B73592" w:rsidRDefault="0066403F" w:rsidP="0066403F">
      <w:pPr>
        <w:rPr>
          <w:rFonts w:ascii="ITC Avant Garde" w:eastAsia="Calibri" w:hAnsi="ITC Avant Garde" w:cs="Times New Roman"/>
          <w:color w:val="auto"/>
          <w:kern w:val="2"/>
          <w:sz w:val="20"/>
          <w:szCs w:val="20"/>
          <w:lang w:val="es-MX"/>
          <w14:ligatures w14:val="standardContextual"/>
        </w:rPr>
      </w:pPr>
    </w:p>
    <w:p w14:paraId="0508744E"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La facilidad de uso es un aspecto clave en la evaluación de cualquier plataforma digital, especialmente en servicios públicos como la Ventanilla Electrónica del</w:t>
      </w:r>
      <w:r>
        <w:rPr>
          <w:rFonts w:ascii="ITC Avant Garde" w:eastAsia="Calibri" w:hAnsi="ITC Avant Garde" w:cs="Times New Roman"/>
          <w:b w:val="0"/>
          <w:color w:val="auto"/>
          <w:kern w:val="2"/>
          <w:sz w:val="20"/>
          <w:szCs w:val="20"/>
          <w:lang w:val="es-MX"/>
          <w14:ligatures w14:val="standardContextual"/>
        </w:rPr>
        <w:t xml:space="preserve"> Instituto, s</w:t>
      </w:r>
      <w:r w:rsidRPr="001C22B9">
        <w:rPr>
          <w:rFonts w:ascii="ITC Avant Garde" w:eastAsia="Calibri" w:hAnsi="ITC Avant Garde" w:cs="Times New Roman"/>
          <w:b w:val="0"/>
          <w:color w:val="auto"/>
          <w:kern w:val="2"/>
          <w:sz w:val="20"/>
          <w:szCs w:val="20"/>
          <w:lang w:val="es-MX"/>
          <w14:ligatures w14:val="standardContextual"/>
        </w:rPr>
        <w:t>egún los resultados de la encuesta de satisfacción, una gran mayoría de l</w:t>
      </w:r>
      <w:r>
        <w:rPr>
          <w:rFonts w:ascii="ITC Avant Garde" w:eastAsia="Calibri" w:hAnsi="ITC Avant Garde" w:cs="Times New Roman"/>
          <w:b w:val="0"/>
          <w:color w:val="auto"/>
          <w:kern w:val="2"/>
          <w:sz w:val="20"/>
          <w:szCs w:val="20"/>
          <w:lang w:val="es-MX"/>
          <w14:ligatures w14:val="standardContextual"/>
        </w:rPr>
        <w:t>a</w:t>
      </w:r>
      <w:r w:rsidRPr="001C22B9">
        <w:rPr>
          <w:rFonts w:ascii="ITC Avant Garde" w:eastAsia="Calibri" w:hAnsi="ITC Avant Garde" w:cs="Times New Roman"/>
          <w:b w:val="0"/>
          <w:color w:val="auto"/>
          <w:kern w:val="2"/>
          <w:sz w:val="20"/>
          <w:szCs w:val="20"/>
          <w:lang w:val="es-MX"/>
          <w14:ligatures w14:val="standardContextual"/>
        </w:rPr>
        <w:t xml:space="preserve">s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xml:space="preserve"> considera que la Ventanilla Electrónica es “fácil” o “muy fácil” de utilizar, lo que destaca la efectividad de su diseño de interfaz en la realización de trámites en línea</w:t>
      </w:r>
      <w:r>
        <w:rPr>
          <w:rFonts w:ascii="ITC Avant Garde" w:eastAsia="Calibri" w:hAnsi="ITC Avant Garde" w:cs="Times New Roman"/>
          <w:b w:val="0"/>
          <w:color w:val="auto"/>
          <w:kern w:val="2"/>
          <w:sz w:val="20"/>
          <w:szCs w:val="20"/>
          <w:lang w:val="es-MX"/>
          <w14:ligatures w14:val="standardContextual"/>
        </w:rPr>
        <w:t>, s</w:t>
      </w:r>
      <w:r w:rsidRPr="001C22B9">
        <w:rPr>
          <w:rFonts w:ascii="ITC Avant Garde" w:eastAsia="Calibri" w:hAnsi="ITC Avant Garde" w:cs="Times New Roman"/>
          <w:b w:val="0"/>
          <w:color w:val="auto"/>
          <w:kern w:val="2"/>
          <w:sz w:val="20"/>
          <w:szCs w:val="20"/>
          <w:lang w:val="es-MX"/>
          <w14:ligatures w14:val="standardContextual"/>
        </w:rPr>
        <w:t>in embargo, un porcentaje menor señaló algunas dificultades en funciones específicas, lo cual plantea oportunidades de mejora para optimizar aún más la experiencia del usuario.</w:t>
      </w:r>
    </w:p>
    <w:p w14:paraId="3062772E"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bookmarkStart w:id="49" w:name="_Toc183000933"/>
      <w:r w:rsidRPr="002E1AB7">
        <w:rPr>
          <w:rFonts w:ascii="ITC Avant Garde" w:eastAsia="Times New Roman" w:hAnsi="ITC Avant Garde" w:cs="Times New Roman"/>
          <w:color w:val="auto"/>
          <w:kern w:val="2"/>
          <w:sz w:val="20"/>
          <w:szCs w:val="20"/>
          <w:lang w:val="es-MX"/>
          <w14:ligatures w14:val="standardContextual"/>
        </w:rPr>
        <w:t>Principales características de la experiencia de uso</w:t>
      </w:r>
      <w:bookmarkEnd w:id="49"/>
      <w:r w:rsidRPr="001C22B9">
        <w:rPr>
          <w:rFonts w:ascii="ITC Avant Garde" w:eastAsia="Calibri" w:hAnsi="ITC Avant Garde" w:cs="Times New Roman"/>
          <w:b w:val="0"/>
          <w:color w:val="auto"/>
          <w:kern w:val="2"/>
          <w:sz w:val="20"/>
          <w:szCs w:val="20"/>
          <w:lang w:val="es-MX"/>
          <w14:ligatures w14:val="standardContextual"/>
        </w:rPr>
        <w:t>:</w:t>
      </w:r>
    </w:p>
    <w:p w14:paraId="4C82E4F2" w14:textId="77777777" w:rsidR="0066403F" w:rsidRPr="001C22B9" w:rsidRDefault="0066403F" w:rsidP="0066403F">
      <w:pPr>
        <w:numPr>
          <w:ilvl w:val="0"/>
          <w:numId w:val="16"/>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Interfaz Intuitiva</w:t>
      </w:r>
      <w:r w:rsidRPr="001C22B9">
        <w:rPr>
          <w:rFonts w:ascii="ITC Avant Garde" w:eastAsia="Calibri" w:hAnsi="ITC Avant Garde" w:cs="Times New Roman"/>
          <w:b w:val="0"/>
          <w:color w:val="auto"/>
          <w:kern w:val="2"/>
          <w:sz w:val="20"/>
          <w:szCs w:val="20"/>
          <w:lang w:val="es-MX"/>
          <w14:ligatures w14:val="standardContextual"/>
        </w:rPr>
        <w:t>: La mayoría de l</w:t>
      </w:r>
      <w:r>
        <w:rPr>
          <w:rFonts w:ascii="ITC Avant Garde" w:eastAsia="Calibri" w:hAnsi="ITC Avant Garde" w:cs="Times New Roman"/>
          <w:b w:val="0"/>
          <w:color w:val="auto"/>
          <w:kern w:val="2"/>
          <w:sz w:val="20"/>
          <w:szCs w:val="20"/>
          <w:lang w:val="es-MX"/>
          <w14:ligatures w14:val="standardContextual"/>
        </w:rPr>
        <w:t>a</w:t>
      </w:r>
      <w:r w:rsidRPr="001C22B9">
        <w:rPr>
          <w:rFonts w:ascii="ITC Avant Garde" w:eastAsia="Calibri" w:hAnsi="ITC Avant Garde" w:cs="Times New Roman"/>
          <w:b w:val="0"/>
          <w:color w:val="auto"/>
          <w:kern w:val="2"/>
          <w:sz w:val="20"/>
          <w:szCs w:val="20"/>
          <w:lang w:val="es-MX"/>
          <w14:ligatures w14:val="standardContextual"/>
        </w:rPr>
        <w:t>s</w:t>
      </w:r>
      <w:r>
        <w:rPr>
          <w:rFonts w:ascii="ITC Avant Garde" w:eastAsia="Calibri" w:hAnsi="ITC Avant Garde" w:cs="Times New Roman"/>
          <w:b w:val="0"/>
          <w:color w:val="auto"/>
          <w:kern w:val="2"/>
          <w:sz w:val="20"/>
          <w:szCs w:val="20"/>
          <w:lang w:val="es-MX"/>
          <w14:ligatures w14:val="standardContextual"/>
        </w:rPr>
        <w:t xml:space="preserve"> personas usuarias</w:t>
      </w:r>
      <w:r w:rsidRPr="001C22B9">
        <w:rPr>
          <w:rFonts w:ascii="ITC Avant Garde" w:eastAsia="Calibri" w:hAnsi="ITC Avant Garde" w:cs="Times New Roman"/>
          <w:b w:val="0"/>
          <w:color w:val="auto"/>
          <w:kern w:val="2"/>
          <w:sz w:val="20"/>
          <w:szCs w:val="20"/>
          <w:lang w:val="es-MX"/>
          <w14:ligatures w14:val="standardContextual"/>
        </w:rPr>
        <w:t xml:space="preserve"> describen la Ventanilla Electrónica como intuitiva, con un diseño que facilita la navegación y el acceso rápido a trámites frecuentes</w:t>
      </w:r>
      <w:r>
        <w:rPr>
          <w:rFonts w:ascii="ITC Avant Garde" w:eastAsia="Calibri" w:hAnsi="ITC Avant Garde" w:cs="Times New Roman"/>
          <w:b w:val="0"/>
          <w:color w:val="auto"/>
          <w:kern w:val="2"/>
          <w:sz w:val="20"/>
          <w:szCs w:val="20"/>
          <w:lang w:val="es-MX"/>
          <w14:ligatures w14:val="standardContextual"/>
        </w:rPr>
        <w:t>, l</w:t>
      </w:r>
      <w:r w:rsidRPr="001C22B9">
        <w:rPr>
          <w:rFonts w:ascii="ITC Avant Garde" w:eastAsia="Calibri" w:hAnsi="ITC Avant Garde" w:cs="Times New Roman"/>
          <w:b w:val="0"/>
          <w:color w:val="auto"/>
          <w:kern w:val="2"/>
          <w:sz w:val="20"/>
          <w:szCs w:val="20"/>
          <w:lang w:val="es-MX"/>
          <w14:ligatures w14:val="standardContextual"/>
        </w:rPr>
        <w:t>os formularios están organizados de manera clara, permitiendo que l</w:t>
      </w:r>
      <w:r>
        <w:rPr>
          <w:rFonts w:ascii="ITC Avant Garde" w:eastAsia="Calibri" w:hAnsi="ITC Avant Garde" w:cs="Times New Roman"/>
          <w:b w:val="0"/>
          <w:color w:val="auto"/>
          <w:kern w:val="2"/>
          <w:sz w:val="20"/>
          <w:szCs w:val="20"/>
          <w:lang w:val="es-MX"/>
          <w14:ligatures w14:val="standardContextual"/>
        </w:rPr>
        <w:t>a</w:t>
      </w:r>
      <w:r w:rsidRPr="001C22B9">
        <w:rPr>
          <w:rFonts w:ascii="ITC Avant Garde" w:eastAsia="Calibri" w:hAnsi="ITC Avant Garde" w:cs="Times New Roman"/>
          <w:b w:val="0"/>
          <w:color w:val="auto"/>
          <w:kern w:val="2"/>
          <w:sz w:val="20"/>
          <w:szCs w:val="20"/>
          <w:lang w:val="es-MX"/>
          <w14:ligatures w14:val="standardContextual"/>
        </w:rPr>
        <w:t xml:space="preserve">s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xml:space="preserve"> localicen fácilmente la información necesaria.</w:t>
      </w:r>
    </w:p>
    <w:p w14:paraId="5495EB75" w14:textId="77777777" w:rsidR="0066403F" w:rsidRPr="001C22B9" w:rsidRDefault="0066403F" w:rsidP="0066403F">
      <w:pPr>
        <w:numPr>
          <w:ilvl w:val="0"/>
          <w:numId w:val="16"/>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Proceso Guiado</w:t>
      </w:r>
      <w:r w:rsidRPr="001C22B9">
        <w:rPr>
          <w:rFonts w:ascii="ITC Avant Garde" w:eastAsia="Calibri" w:hAnsi="ITC Avant Garde" w:cs="Times New Roman"/>
          <w:b w:val="0"/>
          <w:color w:val="auto"/>
          <w:kern w:val="2"/>
          <w:sz w:val="20"/>
          <w:szCs w:val="20"/>
          <w:lang w:val="es-MX"/>
          <w14:ligatures w14:val="standardContextual"/>
        </w:rPr>
        <w:t>: La Ventanilla Electrónica incluye instrucciones paso a paso para completar trámites, lo cual es percibido positivamente por aquellas</w:t>
      </w:r>
      <w:r>
        <w:rPr>
          <w:rFonts w:ascii="ITC Avant Garde" w:eastAsia="Calibri" w:hAnsi="ITC Avant Garde" w:cs="Times New Roman"/>
          <w:b w:val="0"/>
          <w:color w:val="auto"/>
          <w:kern w:val="2"/>
          <w:sz w:val="20"/>
          <w:szCs w:val="20"/>
          <w:lang w:val="es-MX"/>
          <w14:ligatures w14:val="standardContextual"/>
        </w:rPr>
        <w:t xml:space="preserve"> personas usuarias</w:t>
      </w:r>
      <w:r w:rsidRPr="001C22B9">
        <w:rPr>
          <w:rFonts w:ascii="ITC Avant Garde" w:eastAsia="Calibri" w:hAnsi="ITC Avant Garde" w:cs="Times New Roman"/>
          <w:b w:val="0"/>
          <w:color w:val="auto"/>
          <w:kern w:val="2"/>
          <w:sz w:val="20"/>
          <w:szCs w:val="20"/>
          <w:lang w:val="es-MX"/>
          <w14:ligatures w14:val="standardContextual"/>
        </w:rPr>
        <w:t xml:space="preserve"> que no tienen experiencia en plataformas digitales</w:t>
      </w:r>
      <w:r>
        <w:rPr>
          <w:rFonts w:ascii="ITC Avant Garde" w:eastAsia="Calibri" w:hAnsi="ITC Avant Garde" w:cs="Times New Roman"/>
          <w:b w:val="0"/>
          <w:color w:val="auto"/>
          <w:kern w:val="2"/>
          <w:sz w:val="20"/>
          <w:szCs w:val="20"/>
          <w:lang w:val="es-MX"/>
          <w14:ligatures w14:val="standardContextual"/>
        </w:rPr>
        <w:t>, dicho</w:t>
      </w:r>
      <w:r w:rsidRPr="001C22B9">
        <w:rPr>
          <w:rFonts w:ascii="ITC Avant Garde" w:eastAsia="Calibri" w:hAnsi="ITC Avant Garde" w:cs="Times New Roman"/>
          <w:b w:val="0"/>
          <w:color w:val="auto"/>
          <w:kern w:val="2"/>
          <w:sz w:val="20"/>
          <w:szCs w:val="20"/>
          <w:lang w:val="es-MX"/>
          <w14:ligatures w14:val="standardContextual"/>
        </w:rPr>
        <w:t xml:space="preserve"> proceso guiado minimiza errores y reduce el tiempo necesario para la conclusión de trámites.</w:t>
      </w:r>
    </w:p>
    <w:p w14:paraId="1676D5A7" w14:textId="77777777" w:rsidR="0066403F" w:rsidRPr="001C22B9" w:rsidRDefault="0066403F" w:rsidP="0066403F">
      <w:pPr>
        <w:numPr>
          <w:ilvl w:val="0"/>
          <w:numId w:val="16"/>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Acceso a Servicios Comunes</w:t>
      </w:r>
      <w:r w:rsidRPr="001C22B9">
        <w:rPr>
          <w:rFonts w:ascii="ITC Avant Garde" w:eastAsia="Calibri" w:hAnsi="ITC Avant Garde" w:cs="Times New Roman"/>
          <w:b w:val="0"/>
          <w:color w:val="auto"/>
          <w:kern w:val="2"/>
          <w:sz w:val="20"/>
          <w:szCs w:val="20"/>
          <w:lang w:val="es-MX"/>
          <w14:ligatures w14:val="standardContextual"/>
        </w:rPr>
        <w:t xml:space="preserve">: Los trámites más utilizados por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están destacados en la página principal, lo cual facilita su acceso</w:t>
      </w:r>
      <w:r>
        <w:rPr>
          <w:rFonts w:ascii="ITC Avant Garde" w:eastAsia="Calibri" w:hAnsi="ITC Avant Garde" w:cs="Times New Roman"/>
          <w:b w:val="0"/>
          <w:color w:val="auto"/>
          <w:kern w:val="2"/>
          <w:sz w:val="20"/>
          <w:szCs w:val="20"/>
          <w:lang w:val="es-MX"/>
          <w14:ligatures w14:val="standardContextual"/>
        </w:rPr>
        <w:t>, lo cual</w:t>
      </w:r>
      <w:r w:rsidRPr="001C22B9">
        <w:rPr>
          <w:rFonts w:ascii="ITC Avant Garde" w:eastAsia="Calibri" w:hAnsi="ITC Avant Garde" w:cs="Times New Roman"/>
          <w:b w:val="0"/>
          <w:color w:val="auto"/>
          <w:kern w:val="2"/>
          <w:sz w:val="20"/>
          <w:szCs w:val="20"/>
          <w:lang w:val="es-MX"/>
          <w14:ligatures w14:val="standardContextual"/>
        </w:rPr>
        <w:t xml:space="preserve"> es especialmente útil para quienes realizan trámites recurrentes, como la presentación de notificaciones o el registro de contratos de adhesión.</w:t>
      </w:r>
    </w:p>
    <w:p w14:paraId="67EF1B97" w14:textId="77777777" w:rsidR="0066403F"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No obstante, la encuesta de satisfacción revela que algun</w:t>
      </w:r>
      <w:r>
        <w:rPr>
          <w:rFonts w:ascii="ITC Avant Garde" w:eastAsia="Calibri" w:hAnsi="ITC Avant Garde" w:cs="Times New Roman"/>
          <w:b w:val="0"/>
          <w:color w:val="auto"/>
          <w:kern w:val="2"/>
          <w:sz w:val="20"/>
          <w:szCs w:val="20"/>
          <w:lang w:val="es-MX"/>
          <w14:ligatures w14:val="standardContextual"/>
        </w:rPr>
        <w:t>a</w:t>
      </w:r>
      <w:r w:rsidRPr="001C22B9">
        <w:rPr>
          <w:rFonts w:ascii="ITC Avant Garde" w:eastAsia="Calibri" w:hAnsi="ITC Avant Garde" w:cs="Times New Roman"/>
          <w:b w:val="0"/>
          <w:color w:val="auto"/>
          <w:kern w:val="2"/>
          <w:sz w:val="20"/>
          <w:szCs w:val="20"/>
          <w:lang w:val="es-MX"/>
          <w14:ligatures w14:val="standardContextual"/>
        </w:rPr>
        <w:t xml:space="preserve">s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xml:space="preserve"> enfrentaron dificultades técnicas o encontraron ciertas funcionalidades menos intuitivas, especialmente cuando se trata de trámites más complejos o menos comunes</w:t>
      </w:r>
      <w:r>
        <w:rPr>
          <w:rFonts w:ascii="ITC Avant Garde" w:eastAsia="Calibri" w:hAnsi="ITC Avant Garde" w:cs="Times New Roman"/>
          <w:b w:val="0"/>
          <w:color w:val="auto"/>
          <w:kern w:val="2"/>
          <w:sz w:val="20"/>
          <w:szCs w:val="20"/>
          <w:lang w:val="es-MX"/>
          <w14:ligatures w14:val="standardContextual"/>
        </w:rPr>
        <w:t>, lo que</w:t>
      </w:r>
      <w:r w:rsidRPr="001C22B9">
        <w:rPr>
          <w:rFonts w:ascii="ITC Avant Garde" w:eastAsia="Calibri" w:hAnsi="ITC Avant Garde" w:cs="Times New Roman"/>
          <w:b w:val="0"/>
          <w:color w:val="auto"/>
          <w:kern w:val="2"/>
          <w:sz w:val="20"/>
          <w:szCs w:val="20"/>
          <w:lang w:val="es-MX"/>
          <w14:ligatures w14:val="standardContextual"/>
        </w:rPr>
        <w:t xml:space="preserve"> sugiere que el IFT podría mejorar la accesibilidad de funciones avanzadas y simplificar aún más ciertos procesos para garantizar una experiencia de usuario más uniforme.</w:t>
      </w:r>
    </w:p>
    <w:p w14:paraId="5B026B56" w14:textId="77777777" w:rsidR="0066403F"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p>
    <w:p w14:paraId="06DCA946" w14:textId="77777777" w:rsidR="0066403F"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p>
    <w:p w14:paraId="5A568C8A"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p>
    <w:p w14:paraId="455A671E" w14:textId="77777777" w:rsidR="0066403F" w:rsidRPr="002E1AB7" w:rsidRDefault="0066403F" w:rsidP="0066403F">
      <w:pPr>
        <w:rPr>
          <w:rFonts w:ascii="ITC Avant Garde" w:eastAsia="Calibri" w:hAnsi="ITC Avant Garde" w:cs="Times New Roman"/>
          <w:color w:val="auto"/>
          <w:kern w:val="2"/>
          <w:sz w:val="22"/>
          <w:lang w:val="es-MX"/>
          <w14:ligatures w14:val="standardContextual"/>
        </w:rPr>
      </w:pPr>
      <w:bookmarkStart w:id="50" w:name="_Toc183000934"/>
      <w:r w:rsidRPr="002E1AB7">
        <w:rPr>
          <w:rFonts w:ascii="ITC Avant Garde" w:eastAsia="Calibri" w:hAnsi="ITC Avant Garde" w:cs="Times New Roman"/>
          <w:color w:val="auto"/>
          <w:kern w:val="2"/>
          <w:sz w:val="22"/>
          <w:lang w:val="es-MX"/>
          <w14:ligatures w14:val="standardContextual"/>
        </w:rPr>
        <w:lastRenderedPageBreak/>
        <w:t xml:space="preserve">Dificultad en el </w:t>
      </w:r>
      <w:r>
        <w:rPr>
          <w:rFonts w:ascii="ITC Avant Garde" w:eastAsia="Calibri" w:hAnsi="ITC Avant Garde" w:cs="Times New Roman"/>
          <w:color w:val="auto"/>
          <w:kern w:val="2"/>
          <w:sz w:val="22"/>
          <w:lang w:val="es-MX"/>
          <w14:ligatures w14:val="standardContextual"/>
        </w:rPr>
        <w:t>u</w:t>
      </w:r>
      <w:r w:rsidRPr="002E1AB7">
        <w:rPr>
          <w:rFonts w:ascii="ITC Avant Garde" w:eastAsia="Calibri" w:hAnsi="ITC Avant Garde" w:cs="Times New Roman"/>
          <w:color w:val="auto"/>
          <w:kern w:val="2"/>
          <w:sz w:val="22"/>
          <w:lang w:val="es-MX"/>
          <w14:ligatures w14:val="standardContextual"/>
        </w:rPr>
        <w:t xml:space="preserve">so de la </w:t>
      </w:r>
      <w:r>
        <w:rPr>
          <w:rFonts w:ascii="ITC Avant Garde" w:eastAsia="Calibri" w:hAnsi="ITC Avant Garde" w:cs="Times New Roman"/>
          <w:color w:val="auto"/>
          <w:kern w:val="2"/>
          <w:sz w:val="22"/>
          <w:lang w:val="es-MX"/>
          <w14:ligatures w14:val="standardContextual"/>
        </w:rPr>
        <w:t>p</w:t>
      </w:r>
      <w:r w:rsidRPr="002E1AB7">
        <w:rPr>
          <w:rFonts w:ascii="ITC Avant Garde" w:eastAsia="Calibri" w:hAnsi="ITC Avant Garde" w:cs="Times New Roman"/>
          <w:color w:val="auto"/>
          <w:kern w:val="2"/>
          <w:sz w:val="22"/>
          <w:lang w:val="es-MX"/>
          <w14:ligatures w14:val="standardContextual"/>
        </w:rPr>
        <w:t>lataforma</w:t>
      </w:r>
      <w:bookmarkEnd w:id="50"/>
    </w:p>
    <w:p w14:paraId="3832D3B3" w14:textId="77777777" w:rsidR="0066403F" w:rsidRPr="00B73592" w:rsidRDefault="0066403F" w:rsidP="0066403F">
      <w:pPr>
        <w:rPr>
          <w:rFonts w:ascii="ITC Avant Garde" w:eastAsia="Calibri" w:hAnsi="ITC Avant Garde" w:cs="Times New Roman"/>
          <w:color w:val="auto"/>
          <w:kern w:val="2"/>
          <w:sz w:val="20"/>
          <w:szCs w:val="20"/>
          <w:lang w:val="es-MX"/>
          <w14:ligatures w14:val="standardContextual"/>
        </w:rPr>
      </w:pPr>
    </w:p>
    <w:p w14:paraId="10F03FCA"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Para entender mejor las áreas de oportunidad, se analizaron las respuestas de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respecto a la facilidad de uso en una escala que va de “muy fácil” a “muy difícil”. La distribución de respuestas es la siguiente:</w:t>
      </w:r>
    </w:p>
    <w:p w14:paraId="6BCBDFFA" w14:textId="77777777" w:rsidR="0066403F" w:rsidRPr="001C22B9" w:rsidRDefault="0066403F" w:rsidP="0066403F">
      <w:pPr>
        <w:numPr>
          <w:ilvl w:val="0"/>
          <w:numId w:val="17"/>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Muy Fácil (40%)</w:t>
      </w:r>
      <w:r w:rsidRPr="001C22B9">
        <w:rPr>
          <w:rFonts w:ascii="ITC Avant Garde" w:eastAsia="Calibri" w:hAnsi="ITC Avant Garde" w:cs="Times New Roman"/>
          <w:b w:val="0"/>
          <w:color w:val="auto"/>
          <w:kern w:val="2"/>
          <w:sz w:val="20"/>
          <w:szCs w:val="20"/>
          <w:lang w:val="es-MX"/>
          <w14:ligatures w14:val="standardContextual"/>
        </w:rPr>
        <w:t xml:space="preserve">: Este grupo de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xml:space="preserve"> describe la plataforma como altamente accesible y valoran la simplicidad de los trámites comunes.</w:t>
      </w:r>
    </w:p>
    <w:p w14:paraId="075C717C" w14:textId="77777777" w:rsidR="0066403F" w:rsidRPr="001C22B9" w:rsidRDefault="0066403F" w:rsidP="0066403F">
      <w:pPr>
        <w:numPr>
          <w:ilvl w:val="0"/>
          <w:numId w:val="17"/>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Fácil (35%)</w:t>
      </w:r>
      <w:r w:rsidRPr="001C22B9">
        <w:rPr>
          <w:rFonts w:ascii="ITC Avant Garde" w:eastAsia="Calibri" w:hAnsi="ITC Avant Garde" w:cs="Times New Roman"/>
          <w:b w:val="0"/>
          <w:color w:val="auto"/>
          <w:kern w:val="2"/>
          <w:sz w:val="20"/>
          <w:szCs w:val="20"/>
          <w:lang w:val="es-MX"/>
          <w14:ligatures w14:val="standardContextual"/>
        </w:rPr>
        <w:t xml:space="preserve">: Un porcentaje significativo de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xml:space="preserve"> indica que la plataforma es fácil de usar, aunque ocasionalmente enfrentan problemas menores que requieren mayor orientación.</w:t>
      </w:r>
    </w:p>
    <w:p w14:paraId="007A58AC" w14:textId="77777777" w:rsidR="0066403F" w:rsidRPr="001C22B9" w:rsidRDefault="0066403F" w:rsidP="0066403F">
      <w:pPr>
        <w:numPr>
          <w:ilvl w:val="0"/>
          <w:numId w:val="17"/>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Neutral (15%)</w:t>
      </w:r>
      <w:r w:rsidRPr="001C22B9">
        <w:rPr>
          <w:rFonts w:ascii="ITC Avant Garde" w:eastAsia="Calibri" w:hAnsi="ITC Avant Garde" w:cs="Times New Roman"/>
          <w:b w:val="0"/>
          <w:color w:val="auto"/>
          <w:kern w:val="2"/>
          <w:sz w:val="20"/>
          <w:szCs w:val="20"/>
          <w:lang w:val="es-MX"/>
          <w14:ligatures w14:val="standardContextual"/>
        </w:rPr>
        <w:t>: Este grupo considera que la Ventanilla Electrónica es funcional, aunque mencionan algunas áreas que podrían mejorar en términos de claridad y orientación.</w:t>
      </w:r>
    </w:p>
    <w:p w14:paraId="70A881EB" w14:textId="77777777" w:rsidR="0066403F" w:rsidRPr="001C22B9" w:rsidRDefault="0066403F" w:rsidP="0066403F">
      <w:pPr>
        <w:numPr>
          <w:ilvl w:val="0"/>
          <w:numId w:val="17"/>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Difícil (7%)</w:t>
      </w:r>
      <w:r w:rsidRPr="001C22B9">
        <w:rPr>
          <w:rFonts w:ascii="ITC Avant Garde" w:eastAsia="Calibri" w:hAnsi="ITC Avant Garde" w:cs="Times New Roman"/>
          <w:b w:val="0"/>
          <w:color w:val="auto"/>
          <w:kern w:val="2"/>
          <w:sz w:val="20"/>
          <w:szCs w:val="20"/>
          <w:lang w:val="es-MX"/>
          <w14:ligatures w14:val="standardContextual"/>
        </w:rPr>
        <w:t>: Estas personas usuarias reportan dificultades en ciertos trámites específicos, especialmente aquellos que requieren la carga de documentos en formatos específicos o que dependen de compatibilidad con navegadores.</w:t>
      </w:r>
    </w:p>
    <w:p w14:paraId="0B8D007F" w14:textId="77777777" w:rsidR="0066403F" w:rsidRPr="001C22B9" w:rsidRDefault="0066403F" w:rsidP="0066403F">
      <w:pPr>
        <w:numPr>
          <w:ilvl w:val="0"/>
          <w:numId w:val="17"/>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Muy Difícil (3%)</w:t>
      </w:r>
      <w:r w:rsidRPr="001C22B9">
        <w:rPr>
          <w:rFonts w:ascii="ITC Avant Garde" w:eastAsia="Calibri" w:hAnsi="ITC Avant Garde" w:cs="Times New Roman"/>
          <w:b w:val="0"/>
          <w:color w:val="auto"/>
          <w:kern w:val="2"/>
          <w:sz w:val="20"/>
          <w:szCs w:val="20"/>
          <w:lang w:val="es-MX"/>
          <w14:ligatures w14:val="standardContextual"/>
        </w:rPr>
        <w:t xml:space="preserve">: Un pequeño grupo de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xml:space="preserve"> experimentó dificultades significativas, lo cual podría estar relacionado con limitaciones en sus conocimientos tecnológicos o con barreras de accesibilidad en el diseño.</w:t>
      </w:r>
    </w:p>
    <w:p w14:paraId="3B58CB59"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La mayoría de la</w:t>
      </w:r>
      <w:r>
        <w:rPr>
          <w:rFonts w:ascii="ITC Avant Garde" w:eastAsia="Calibri" w:hAnsi="ITC Avant Garde" w:cs="Times New Roman"/>
          <w:b w:val="0"/>
          <w:color w:val="auto"/>
          <w:kern w:val="2"/>
          <w:sz w:val="20"/>
          <w:szCs w:val="20"/>
          <w:lang w:val="es-MX"/>
          <w14:ligatures w14:val="standardContextual"/>
        </w:rPr>
        <w:t>s personas usuarias</w:t>
      </w:r>
      <w:r w:rsidRPr="001C22B9">
        <w:rPr>
          <w:rFonts w:ascii="ITC Avant Garde" w:eastAsia="Calibri" w:hAnsi="ITC Avant Garde" w:cs="Times New Roman"/>
          <w:b w:val="0"/>
          <w:color w:val="auto"/>
          <w:kern w:val="2"/>
          <w:sz w:val="20"/>
          <w:szCs w:val="20"/>
          <w:lang w:val="es-MX"/>
          <w14:ligatures w14:val="standardContextual"/>
        </w:rPr>
        <w:t xml:space="preserve"> encuentra</w:t>
      </w:r>
      <w:r>
        <w:rPr>
          <w:rFonts w:ascii="ITC Avant Garde" w:eastAsia="Calibri" w:hAnsi="ITC Avant Garde" w:cs="Times New Roman"/>
          <w:b w:val="0"/>
          <w:color w:val="auto"/>
          <w:kern w:val="2"/>
          <w:sz w:val="20"/>
          <w:szCs w:val="20"/>
          <w:lang w:val="es-MX"/>
          <w14:ligatures w14:val="standardContextual"/>
        </w:rPr>
        <w:t>n</w:t>
      </w:r>
      <w:r w:rsidRPr="001C22B9">
        <w:rPr>
          <w:rFonts w:ascii="ITC Avant Garde" w:eastAsia="Calibri" w:hAnsi="ITC Avant Garde" w:cs="Times New Roman"/>
          <w:b w:val="0"/>
          <w:color w:val="auto"/>
          <w:kern w:val="2"/>
          <w:sz w:val="20"/>
          <w:szCs w:val="20"/>
          <w:lang w:val="es-MX"/>
          <w14:ligatures w14:val="standardContextual"/>
        </w:rPr>
        <w:t xml:space="preserve"> la plataforma fácil de utilizar, pero el análisis muestra que existe una proporción de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xml:space="preserve"> con necesidades adicionales en cuanto a orientación y accesibilidad.</w:t>
      </w:r>
      <w:r w:rsidRPr="00571413">
        <w:t xml:space="preserve"> </w:t>
      </w:r>
    </w:p>
    <w:p w14:paraId="587DEC8C" w14:textId="77777777" w:rsidR="0066403F" w:rsidRPr="002E1AB7" w:rsidRDefault="0066403F" w:rsidP="0066403F">
      <w:pPr>
        <w:rPr>
          <w:rFonts w:ascii="ITC Avant Garde" w:eastAsia="Calibri" w:hAnsi="ITC Avant Garde" w:cs="Times New Roman"/>
          <w:color w:val="auto"/>
          <w:kern w:val="2"/>
          <w:sz w:val="22"/>
          <w:lang w:val="es-MX"/>
          <w14:ligatures w14:val="standardContextual"/>
        </w:rPr>
      </w:pPr>
      <w:bookmarkStart w:id="51" w:name="_Toc183000935"/>
      <w:r w:rsidRPr="002E1AB7">
        <w:rPr>
          <w:rFonts w:ascii="ITC Avant Garde" w:eastAsia="Calibri" w:hAnsi="ITC Avant Garde" w:cs="Times New Roman"/>
          <w:color w:val="auto"/>
          <w:kern w:val="2"/>
          <w:sz w:val="22"/>
          <w:lang w:val="es-MX"/>
          <w14:ligatures w14:val="standardContextual"/>
        </w:rPr>
        <w:t xml:space="preserve">Comparativa entre Tipos de </w:t>
      </w:r>
      <w:r>
        <w:rPr>
          <w:rFonts w:ascii="ITC Avant Garde" w:eastAsia="Calibri" w:hAnsi="ITC Avant Garde" w:cs="Times New Roman"/>
          <w:color w:val="auto"/>
          <w:kern w:val="2"/>
          <w:sz w:val="22"/>
          <w:lang w:val="es-MX"/>
          <w14:ligatures w14:val="standardContextual"/>
        </w:rPr>
        <w:t>Personas usuarias</w:t>
      </w:r>
      <w:r w:rsidRPr="002E1AB7">
        <w:rPr>
          <w:rFonts w:ascii="ITC Avant Garde" w:eastAsia="Calibri" w:hAnsi="ITC Avant Garde" w:cs="Times New Roman"/>
          <w:color w:val="auto"/>
          <w:kern w:val="2"/>
          <w:sz w:val="22"/>
          <w:lang w:val="es-MX"/>
          <w14:ligatures w14:val="standardContextual"/>
        </w:rPr>
        <w:t xml:space="preserve"> y Servicios en Accesibilidad</w:t>
      </w:r>
      <w:bookmarkEnd w:id="51"/>
    </w:p>
    <w:p w14:paraId="71E8A12E" w14:textId="77777777" w:rsidR="0066403F" w:rsidRPr="00B73592" w:rsidRDefault="0066403F" w:rsidP="0066403F">
      <w:pPr>
        <w:rPr>
          <w:rFonts w:ascii="ITC Avant Garde" w:eastAsia="Calibri" w:hAnsi="ITC Avant Garde" w:cs="Times New Roman"/>
          <w:color w:val="auto"/>
          <w:kern w:val="2"/>
          <w:sz w:val="20"/>
          <w:szCs w:val="20"/>
          <w:lang w:val="es-MX"/>
          <w14:ligatures w14:val="standardContextual"/>
        </w:rPr>
      </w:pPr>
    </w:p>
    <w:p w14:paraId="047C5840"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El análisis de accesibilidad también toma en cuenta las diferencias entre los tipos de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xml:space="preserve"> de la Ventanilla Electrónica, que incluyen ciudadanos y representantes de empresas en sectores de telecomunicaciones y radiodifusión. Los resultados de la encuesta indican variaciones en la percepción de facilidad de uso entre estos grupos:</w:t>
      </w:r>
    </w:p>
    <w:p w14:paraId="31525084" w14:textId="77777777" w:rsidR="0066403F" w:rsidRPr="001C22B9" w:rsidRDefault="0066403F" w:rsidP="0066403F">
      <w:pPr>
        <w:numPr>
          <w:ilvl w:val="0"/>
          <w:numId w:val="18"/>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Pr>
          <w:rFonts w:ascii="ITC Avant Garde" w:eastAsia="Calibri" w:hAnsi="ITC Avant Garde" w:cs="Times New Roman"/>
          <w:bCs/>
          <w:color w:val="auto"/>
          <w:kern w:val="2"/>
          <w:sz w:val="20"/>
          <w:szCs w:val="20"/>
          <w:lang w:val="es-MX"/>
          <w14:ligatures w14:val="standardContextual"/>
        </w:rPr>
        <w:t>Personas usuarias</w:t>
      </w:r>
      <w:r w:rsidRPr="001C22B9">
        <w:rPr>
          <w:rFonts w:ascii="ITC Avant Garde" w:eastAsia="Calibri" w:hAnsi="ITC Avant Garde" w:cs="Times New Roman"/>
          <w:bCs/>
          <w:color w:val="auto"/>
          <w:kern w:val="2"/>
          <w:sz w:val="20"/>
          <w:szCs w:val="20"/>
          <w:lang w:val="es-MX"/>
          <w14:ligatures w14:val="standardContextual"/>
        </w:rPr>
        <w:t xml:space="preserve"> Ciudadanos</w:t>
      </w:r>
      <w:r w:rsidRPr="001C22B9">
        <w:rPr>
          <w:rFonts w:ascii="ITC Avant Garde" w:eastAsia="Calibri" w:hAnsi="ITC Avant Garde" w:cs="Times New Roman"/>
          <w:b w:val="0"/>
          <w:color w:val="auto"/>
          <w:kern w:val="2"/>
          <w:sz w:val="20"/>
          <w:szCs w:val="20"/>
          <w:lang w:val="es-MX"/>
          <w14:ligatures w14:val="standardContextual"/>
        </w:rPr>
        <w:t xml:space="preserv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individuales o ciudadanos que utilizan la plataforma para trámites personales suelen tener menos experiencia en el manejo de trámites electrónicos. Por lo tanto, aunque encuentran fácil el uso de la plataforma para funciones básicas, tienen una mayor probabilidad de enfrentar dificultades en la carga de documentos y en trámites complejos.</w:t>
      </w:r>
    </w:p>
    <w:p w14:paraId="3DE79372" w14:textId="77777777" w:rsidR="0066403F" w:rsidRPr="001C22B9" w:rsidRDefault="0066403F" w:rsidP="0066403F">
      <w:pPr>
        <w:numPr>
          <w:ilvl w:val="0"/>
          <w:numId w:val="18"/>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Representantes de Empresas</w:t>
      </w:r>
      <w:r w:rsidRPr="001C22B9">
        <w:rPr>
          <w:rFonts w:ascii="ITC Avant Garde" w:eastAsia="Calibri" w:hAnsi="ITC Avant Garde" w:cs="Times New Roman"/>
          <w:b w:val="0"/>
          <w:color w:val="auto"/>
          <w:kern w:val="2"/>
          <w:sz w:val="20"/>
          <w:szCs w:val="20"/>
          <w:lang w:val="es-MX"/>
          <w14:ligatures w14:val="standardContextual"/>
        </w:rPr>
        <w:t>: Este grupo utiliza la Ventanilla Electrónica frecuentemente y suele tener mayor familiaridad con sus funcionalidades. Los representantes de empresas encuentran que la plataforma facilita la gestión de trámites recurrentes, aunque también señalaron que ciertos trámites especializados, como el registro de interconexiones o de contratos, podrían optimizarse para reducir la carga operativa.</w:t>
      </w:r>
    </w:p>
    <w:p w14:paraId="78105ECB" w14:textId="77777777" w:rsidR="0066403F" w:rsidRPr="001C22B9" w:rsidRDefault="0066403F" w:rsidP="0066403F">
      <w:pPr>
        <w:numPr>
          <w:ilvl w:val="0"/>
          <w:numId w:val="18"/>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Pr>
          <w:rFonts w:ascii="ITC Avant Garde" w:eastAsia="Calibri" w:hAnsi="ITC Avant Garde" w:cs="Times New Roman"/>
          <w:bCs/>
          <w:color w:val="auto"/>
          <w:kern w:val="2"/>
          <w:sz w:val="20"/>
          <w:szCs w:val="20"/>
          <w:lang w:val="es-MX"/>
          <w14:ligatures w14:val="standardContextual"/>
        </w:rPr>
        <w:t>Personas usuarias</w:t>
      </w:r>
      <w:r w:rsidRPr="001C22B9">
        <w:rPr>
          <w:rFonts w:ascii="ITC Avant Garde" w:eastAsia="Calibri" w:hAnsi="ITC Avant Garde" w:cs="Times New Roman"/>
          <w:bCs/>
          <w:color w:val="auto"/>
          <w:kern w:val="2"/>
          <w:sz w:val="20"/>
          <w:szCs w:val="20"/>
          <w:lang w:val="es-MX"/>
          <w14:ligatures w14:val="standardContextual"/>
        </w:rPr>
        <w:t xml:space="preserve"> con Necesidades Especiales</w:t>
      </w:r>
      <w:r w:rsidRPr="001C22B9">
        <w:rPr>
          <w:rFonts w:ascii="ITC Avant Garde" w:eastAsia="Calibri" w:hAnsi="ITC Avant Garde" w:cs="Times New Roman"/>
          <w:b w:val="0"/>
          <w:color w:val="auto"/>
          <w:kern w:val="2"/>
          <w:sz w:val="20"/>
          <w:szCs w:val="20"/>
          <w:lang w:val="es-MX"/>
          <w14:ligatures w14:val="standardContextual"/>
        </w:rPr>
        <w:t xml:space="preserve">: Algunas personas usuarias expresaron que la plataforma podría mejorar en términos de accesibilidad para personas con discapacidades. En este sentido, se ha identificado la oportunidad de incluir funciones </w:t>
      </w:r>
      <w:r w:rsidRPr="001C22B9">
        <w:rPr>
          <w:rFonts w:ascii="ITC Avant Garde" w:eastAsia="Calibri" w:hAnsi="ITC Avant Garde" w:cs="Times New Roman"/>
          <w:b w:val="0"/>
          <w:color w:val="auto"/>
          <w:kern w:val="2"/>
          <w:sz w:val="20"/>
          <w:szCs w:val="20"/>
          <w:lang w:val="es-MX"/>
          <w14:ligatures w14:val="standardContextual"/>
        </w:rPr>
        <w:lastRenderedPageBreak/>
        <w:t>de accesibilidad como compatibilidad con lectores de pantalla y opciones de contraste para personas con discapacidades visuales.</w:t>
      </w:r>
    </w:p>
    <w:p w14:paraId="27117E8B" w14:textId="77777777" w:rsidR="0066403F"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Estos resultados subrayan la importancia de ajustar las funcionalidades de la Ventanilla Electrónica a las diversas necesidades de las personas usuarias, brindando una experiencia de uso inclusiva y accesible para todos.</w:t>
      </w:r>
    </w:p>
    <w:p w14:paraId="65306A71" w14:textId="77777777" w:rsidR="0066403F" w:rsidRDefault="0066403F" w:rsidP="0066403F">
      <w:pPr>
        <w:rPr>
          <w:rFonts w:ascii="ITC Avant Garde" w:eastAsia="Calibri" w:hAnsi="ITC Avant Garde" w:cs="Times New Roman"/>
          <w:color w:val="auto"/>
          <w:kern w:val="2"/>
          <w:sz w:val="22"/>
          <w:lang w:val="es-MX"/>
          <w14:ligatures w14:val="standardContextual"/>
        </w:rPr>
      </w:pPr>
      <w:bookmarkStart w:id="52" w:name="_Toc183000936"/>
      <w:r w:rsidRPr="002E1AB7">
        <w:rPr>
          <w:rFonts w:ascii="ITC Avant Garde" w:eastAsia="Calibri" w:hAnsi="ITC Avant Garde" w:cs="Times New Roman"/>
          <w:color w:val="auto"/>
          <w:kern w:val="2"/>
          <w:sz w:val="22"/>
          <w:lang w:val="es-MX"/>
          <w14:ligatures w14:val="standardContextual"/>
        </w:rPr>
        <w:t>Retos y Oportunidades para Mejorar la Accesibilidad</w:t>
      </w:r>
      <w:bookmarkEnd w:id="52"/>
    </w:p>
    <w:p w14:paraId="0D7069FD" w14:textId="77777777" w:rsidR="0066403F" w:rsidRPr="002E1AB7" w:rsidRDefault="0066403F" w:rsidP="0066403F">
      <w:pPr>
        <w:rPr>
          <w:rFonts w:ascii="ITC Avant Garde" w:eastAsia="Calibri" w:hAnsi="ITC Avant Garde" w:cs="Times New Roman"/>
          <w:color w:val="auto"/>
          <w:kern w:val="2"/>
          <w:sz w:val="22"/>
          <w:lang w:val="es-MX"/>
          <w14:ligatures w14:val="standardContextual"/>
        </w:rPr>
      </w:pPr>
    </w:p>
    <w:p w14:paraId="2C9EC8D5"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El análisis de accesibilidad ha identificado algunos desafíos clave que el IFT podría abordar para mejorar la experiencia del usuario en la Ventanilla Electrónica:</w:t>
      </w:r>
    </w:p>
    <w:p w14:paraId="628B5683" w14:textId="77777777" w:rsidR="0066403F" w:rsidRPr="001C22B9" w:rsidRDefault="0066403F" w:rsidP="0066403F">
      <w:pPr>
        <w:numPr>
          <w:ilvl w:val="0"/>
          <w:numId w:val="19"/>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 xml:space="preserve">Compatibilidad </w:t>
      </w:r>
      <w:proofErr w:type="spellStart"/>
      <w:r w:rsidRPr="001C22B9">
        <w:rPr>
          <w:rFonts w:ascii="ITC Avant Garde" w:eastAsia="Calibri" w:hAnsi="ITC Avant Garde" w:cs="Times New Roman"/>
          <w:bCs/>
          <w:color w:val="auto"/>
          <w:kern w:val="2"/>
          <w:sz w:val="20"/>
          <w:szCs w:val="20"/>
          <w:lang w:val="es-MX"/>
          <w14:ligatures w14:val="standardContextual"/>
        </w:rPr>
        <w:t>Multinavegador</w:t>
      </w:r>
      <w:proofErr w:type="spellEnd"/>
      <w:r w:rsidRPr="001C22B9">
        <w:rPr>
          <w:rFonts w:ascii="ITC Avant Garde" w:eastAsia="Calibri" w:hAnsi="ITC Avant Garde" w:cs="Times New Roman"/>
          <w:bCs/>
          <w:color w:val="auto"/>
          <w:kern w:val="2"/>
          <w:sz w:val="20"/>
          <w:szCs w:val="20"/>
          <w:lang w:val="es-MX"/>
          <w14:ligatures w14:val="standardContextual"/>
        </w:rPr>
        <w:t xml:space="preserve"> y Dispositivos</w:t>
      </w:r>
      <w:r w:rsidRPr="001C22B9">
        <w:rPr>
          <w:rFonts w:ascii="ITC Avant Garde" w:eastAsia="Calibri" w:hAnsi="ITC Avant Garde" w:cs="Times New Roman"/>
          <w:b w:val="0"/>
          <w:color w:val="auto"/>
          <w:kern w:val="2"/>
          <w:sz w:val="20"/>
          <w:szCs w:val="20"/>
          <w:lang w:val="es-MX"/>
          <w14:ligatures w14:val="standardContextual"/>
        </w:rPr>
        <w:t>: Algunas personas usuarias reportaron dificultades al acceder a la plataforma desde ciertos navegadores o dispositivos móviles. La ampliación de la compatibilidad de la plataforma permitiría un acceso más amplio y eliminaría barreras para quienes utilizan dispositivos menos convencionales.</w:t>
      </w:r>
    </w:p>
    <w:p w14:paraId="1682D634" w14:textId="77777777" w:rsidR="0066403F" w:rsidRPr="001C22B9" w:rsidRDefault="0066403F" w:rsidP="0066403F">
      <w:pPr>
        <w:numPr>
          <w:ilvl w:val="0"/>
          <w:numId w:val="19"/>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Funcionalidades de Accesibilidad</w:t>
      </w:r>
      <w:r w:rsidRPr="001C22B9">
        <w:rPr>
          <w:rFonts w:ascii="ITC Avant Garde" w:eastAsia="Calibri" w:hAnsi="ITC Avant Garde" w:cs="Times New Roman"/>
          <w:b w:val="0"/>
          <w:color w:val="auto"/>
          <w:kern w:val="2"/>
          <w:sz w:val="20"/>
          <w:szCs w:val="20"/>
          <w:lang w:val="es-MX"/>
          <w14:ligatures w14:val="standardContextual"/>
        </w:rPr>
        <w:t>: La inclusión de opciones de accesibilidad adicionales, como compatibilidad con lectores de pantalla, teclas de navegación y ajustes de tamaño de fuente, mejoraría la experiencia de personas con discapacidades, haciendo de la plataforma una herramienta inclusiva y conforme a los principios de accesibilidad digital.</w:t>
      </w:r>
    </w:p>
    <w:p w14:paraId="346050F9" w14:textId="77777777" w:rsidR="0066403F" w:rsidRPr="001C22B9" w:rsidRDefault="0066403F" w:rsidP="0066403F">
      <w:pPr>
        <w:numPr>
          <w:ilvl w:val="0"/>
          <w:numId w:val="19"/>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Simplificación de Trámites Complejos</w:t>
      </w:r>
      <w:r w:rsidRPr="001C22B9">
        <w:rPr>
          <w:rFonts w:ascii="ITC Avant Garde" w:eastAsia="Calibri" w:hAnsi="ITC Avant Garde" w:cs="Times New Roman"/>
          <w:b w:val="0"/>
          <w:color w:val="auto"/>
          <w:kern w:val="2"/>
          <w:sz w:val="20"/>
          <w:szCs w:val="20"/>
          <w:lang w:val="es-MX"/>
          <w14:ligatures w14:val="standardContextual"/>
        </w:rPr>
        <w:t>: Los trámites más complejos requieren pasos adicionales que pueden resultar confusos para las personas usuarias. Simplificar estos procedimientos y brindar orientación adicional en forma de videos tutoriales o guías paso a paso podría ayudar a reducir la carga cognitiva en estos trámites.</w:t>
      </w:r>
    </w:p>
    <w:p w14:paraId="6E0F3041" w14:textId="77777777" w:rsidR="0066403F" w:rsidRPr="001C22B9" w:rsidRDefault="0066403F" w:rsidP="0066403F">
      <w:pPr>
        <w:numPr>
          <w:ilvl w:val="0"/>
          <w:numId w:val="19"/>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Mejoras en la Carga de Documentos</w:t>
      </w:r>
      <w:r w:rsidRPr="001C22B9">
        <w:rPr>
          <w:rFonts w:ascii="ITC Avant Garde" w:eastAsia="Calibri" w:hAnsi="ITC Avant Garde" w:cs="Times New Roman"/>
          <w:b w:val="0"/>
          <w:color w:val="auto"/>
          <w:kern w:val="2"/>
          <w:sz w:val="20"/>
          <w:szCs w:val="20"/>
          <w:lang w:val="es-MX"/>
          <w14:ligatures w14:val="standardContextual"/>
        </w:rPr>
        <w:t>: Algunas personas usuarias reportaron dificultades para cargar documentos en ciertos formatos o con requisitos de tamaño específicos. Implementar un sistema de verificación automática de documentos al momento de la carga podría reducir los errores y facilitar la gestión de trámites.</w:t>
      </w:r>
    </w:p>
    <w:p w14:paraId="57BB189C" w14:textId="77777777" w:rsidR="0066403F" w:rsidRPr="001C22B9" w:rsidRDefault="0066403F" w:rsidP="0066403F">
      <w:pPr>
        <w:numPr>
          <w:ilvl w:val="0"/>
          <w:numId w:val="19"/>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Soporte Técnico y Asistencia en Línea</w:t>
      </w:r>
      <w:r w:rsidRPr="001C22B9">
        <w:rPr>
          <w:rFonts w:ascii="ITC Avant Garde" w:eastAsia="Calibri" w:hAnsi="ITC Avant Garde" w:cs="Times New Roman"/>
          <w:b w:val="0"/>
          <w:color w:val="auto"/>
          <w:kern w:val="2"/>
          <w:sz w:val="20"/>
          <w:szCs w:val="20"/>
          <w:lang w:val="es-MX"/>
          <w14:ligatures w14:val="standardContextual"/>
        </w:rPr>
        <w:t>: Una mejora en el soporte técnico ayudaría a resolver problemas que enfrentan algunas personas usuarias al intentar completar trámites específicos. La incorporación de un servicio de asistencia en tiempo real mediante chat o llamada podría ofrecer una solución rápida y efectiva a los problemas comunes.</w:t>
      </w:r>
    </w:p>
    <w:p w14:paraId="3FAC0132" w14:textId="77777777" w:rsidR="0066403F" w:rsidRDefault="0066403F" w:rsidP="0066403F">
      <w:pPr>
        <w:rPr>
          <w:rFonts w:ascii="ITC Avant Garde" w:eastAsia="Calibri" w:hAnsi="ITC Avant Garde" w:cs="Times New Roman"/>
          <w:color w:val="auto"/>
          <w:kern w:val="2"/>
          <w:sz w:val="22"/>
          <w:lang w:val="es-MX"/>
          <w14:ligatures w14:val="standardContextual"/>
        </w:rPr>
      </w:pPr>
      <w:bookmarkStart w:id="53" w:name="_Toc183000937"/>
      <w:r w:rsidRPr="00F41601">
        <w:rPr>
          <w:rFonts w:ascii="ITC Avant Garde" w:eastAsia="Calibri" w:hAnsi="ITC Avant Garde" w:cs="Times New Roman"/>
          <w:color w:val="auto"/>
          <w:kern w:val="2"/>
          <w:sz w:val="22"/>
          <w:lang w:val="es-MX"/>
          <w14:ligatures w14:val="standardContextual"/>
        </w:rPr>
        <w:t>Análisis de Facilidad de Uso y Accesibilidad</w:t>
      </w:r>
      <w:bookmarkEnd w:id="53"/>
    </w:p>
    <w:p w14:paraId="44B6C3EA" w14:textId="77777777" w:rsidR="0066403F" w:rsidRPr="00F41601" w:rsidRDefault="0066403F" w:rsidP="0066403F">
      <w:pPr>
        <w:rPr>
          <w:rFonts w:ascii="ITC Avant Garde" w:eastAsia="Calibri" w:hAnsi="ITC Avant Garde" w:cs="Times New Roman"/>
          <w:color w:val="auto"/>
          <w:kern w:val="2"/>
          <w:sz w:val="22"/>
          <w:lang w:val="es-MX"/>
          <w14:ligatures w14:val="standardContextual"/>
        </w:rPr>
      </w:pPr>
    </w:p>
    <w:p w14:paraId="3286BF4D"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La evaluación de la facilidad de uso y accesibilidad de la Ventanilla Electrónica muestra que la plataforma cumple en gran medida con las expectativas de las personas usuarias, brindando un servicio accesible y fácil de utilizar para la mayoría. Sin embargo, existen áreas de oportunidad que el IFT podría considerar para mejorar la experiencia de todas las personas usuarias y fortalecer la accesibilidad digital:</w:t>
      </w:r>
    </w:p>
    <w:p w14:paraId="7665B7E6" w14:textId="77777777" w:rsidR="0066403F" w:rsidRPr="001C22B9" w:rsidRDefault="0066403F" w:rsidP="0066403F">
      <w:pPr>
        <w:numPr>
          <w:ilvl w:val="0"/>
          <w:numId w:val="20"/>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Ajustes de Interfaz</w:t>
      </w:r>
      <w:r w:rsidRPr="001C22B9">
        <w:rPr>
          <w:rFonts w:ascii="ITC Avant Garde" w:eastAsia="Calibri" w:hAnsi="ITC Avant Garde" w:cs="Times New Roman"/>
          <w:b w:val="0"/>
          <w:color w:val="auto"/>
          <w:kern w:val="2"/>
          <w:sz w:val="20"/>
          <w:szCs w:val="20"/>
          <w:lang w:val="es-MX"/>
          <w14:ligatures w14:val="standardContextual"/>
        </w:rPr>
        <w:t>: Simplificar la interfaz para trámites complejos y añadir opciones de accesibilidad avanzada ayudaría a que la plataforma sea más inclusiva.</w:t>
      </w:r>
    </w:p>
    <w:p w14:paraId="374CE4F9" w14:textId="77777777" w:rsidR="0066403F" w:rsidRPr="001C22B9" w:rsidRDefault="0066403F" w:rsidP="0066403F">
      <w:pPr>
        <w:numPr>
          <w:ilvl w:val="0"/>
          <w:numId w:val="20"/>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lastRenderedPageBreak/>
        <w:t>Ampliación de Compatibilidad</w:t>
      </w:r>
      <w:r w:rsidRPr="001C22B9">
        <w:rPr>
          <w:rFonts w:ascii="ITC Avant Garde" w:eastAsia="Calibri" w:hAnsi="ITC Avant Garde" w:cs="Times New Roman"/>
          <w:b w:val="0"/>
          <w:color w:val="auto"/>
          <w:kern w:val="2"/>
          <w:sz w:val="20"/>
          <w:szCs w:val="20"/>
          <w:lang w:val="es-MX"/>
          <w14:ligatures w14:val="standardContextual"/>
        </w:rPr>
        <w:t>: Asegurar que la Ventanilla Electrónica funcione correctamente en una mayor variedad de dispositivos y navegadores incrementaría la accesibilidad y el alcance de los servicios.</w:t>
      </w:r>
    </w:p>
    <w:p w14:paraId="1BF8E606" w14:textId="77777777" w:rsidR="0066403F" w:rsidRPr="001C22B9" w:rsidRDefault="0066403F" w:rsidP="0066403F">
      <w:pPr>
        <w:numPr>
          <w:ilvl w:val="0"/>
          <w:numId w:val="20"/>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Mejora en la Carga de Documentos</w:t>
      </w:r>
      <w:r w:rsidRPr="001C22B9">
        <w:rPr>
          <w:rFonts w:ascii="ITC Avant Garde" w:eastAsia="Calibri" w:hAnsi="ITC Avant Garde" w:cs="Times New Roman"/>
          <w:b w:val="0"/>
          <w:color w:val="auto"/>
          <w:kern w:val="2"/>
          <w:sz w:val="20"/>
          <w:szCs w:val="20"/>
          <w:lang w:val="es-MX"/>
          <w14:ligatures w14:val="standardContextual"/>
        </w:rPr>
        <w:t xml:space="preserve">: Implementar verificaciones automáticas de documentos al momento de la carga y flexibilizar los requisitos de formato facilitaría el proceso para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que gestionan múltiples documentos.</w:t>
      </w:r>
    </w:p>
    <w:p w14:paraId="369D252F" w14:textId="77777777" w:rsidR="0066403F" w:rsidRPr="001C22B9" w:rsidRDefault="0066403F" w:rsidP="0066403F">
      <w:pPr>
        <w:numPr>
          <w:ilvl w:val="0"/>
          <w:numId w:val="20"/>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Soporte Técnico Proactivo</w:t>
      </w:r>
      <w:r w:rsidRPr="001C22B9">
        <w:rPr>
          <w:rFonts w:ascii="ITC Avant Garde" w:eastAsia="Calibri" w:hAnsi="ITC Avant Garde" w:cs="Times New Roman"/>
          <w:b w:val="0"/>
          <w:color w:val="auto"/>
          <w:kern w:val="2"/>
          <w:sz w:val="20"/>
          <w:szCs w:val="20"/>
          <w:lang w:val="es-MX"/>
          <w14:ligatures w14:val="standardContextual"/>
        </w:rPr>
        <w:t xml:space="preserve">: Mejorar el servicio de soporte técnico mediante un sistema de asistencia en línea aumentaría la satisfacción de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que enfrentan problemas técnicos, brindando una solución oportuna.</w:t>
      </w:r>
    </w:p>
    <w:p w14:paraId="45A84DF9" w14:textId="77777777" w:rsidR="0066403F"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Estos hallazgos proporcionan al IFT una guía clara para la implementación de mejoras orientadas a aumentar la facilidad de uso y accesibilidad de la Ventanilla Electrónica, asegurando una plataforma digital que responda a las necesidades de todas las personas usuarias y que esté alineada con estándares internacionales de accesibilidad.</w:t>
      </w:r>
    </w:p>
    <w:p w14:paraId="64C41163" w14:textId="77777777" w:rsidR="0066403F" w:rsidRPr="001C22B9" w:rsidRDefault="0066403F" w:rsidP="0066403F">
      <w:pPr>
        <w:pStyle w:val="Prrafodelista"/>
        <w:keepNext/>
        <w:keepLines/>
        <w:numPr>
          <w:ilvl w:val="0"/>
          <w:numId w:val="41"/>
        </w:numPr>
        <w:spacing w:before="240" w:after="240" w:line="278" w:lineRule="auto"/>
        <w:jc w:val="both"/>
        <w:outlineLvl w:val="0"/>
        <w:rPr>
          <w:rFonts w:ascii="ITC Avant Garde" w:eastAsia="Times New Roman" w:hAnsi="ITC Avant Garde" w:cs="Times New Roman"/>
          <w:color w:val="auto"/>
          <w:kern w:val="2"/>
          <w:sz w:val="24"/>
          <w:szCs w:val="32"/>
          <w:lang w:val="es-MX"/>
          <w14:ligatures w14:val="standardContextual"/>
        </w:rPr>
      </w:pPr>
      <w:bookmarkStart w:id="54" w:name="_Toc183000938"/>
      <w:bookmarkStart w:id="55" w:name="_Toc185357322"/>
      <w:bookmarkStart w:id="56" w:name="_Toc185358250"/>
      <w:bookmarkStart w:id="57" w:name="_Toc185358504"/>
      <w:r w:rsidRPr="001C22B9">
        <w:rPr>
          <w:rFonts w:ascii="ITC Avant Garde" w:eastAsia="Times New Roman" w:hAnsi="ITC Avant Garde" w:cs="Times New Roman"/>
          <w:color w:val="auto"/>
          <w:kern w:val="2"/>
          <w:sz w:val="24"/>
          <w:szCs w:val="32"/>
          <w:lang w:val="es-MX"/>
          <w14:ligatures w14:val="standardContextual"/>
        </w:rPr>
        <w:t>Análisis Comparativo: Ventanilla Electrónica vs. Estrategia General</w:t>
      </w:r>
      <w:bookmarkEnd w:id="54"/>
      <w:bookmarkEnd w:id="55"/>
      <w:bookmarkEnd w:id="56"/>
      <w:bookmarkEnd w:id="57"/>
    </w:p>
    <w:p w14:paraId="50DBEB30"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El análisis comparativo entre la Ventanilla Electrónica y la Estrategia General de Gobierno Electrónico permite evaluar cómo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perciben y experimentan ambos enfoques del Instituto</w:t>
      </w:r>
      <w:r>
        <w:rPr>
          <w:rFonts w:ascii="ITC Avant Garde" w:eastAsia="Calibri" w:hAnsi="ITC Avant Garde" w:cs="Times New Roman"/>
          <w:b w:val="0"/>
          <w:color w:val="auto"/>
          <w:kern w:val="2"/>
          <w:sz w:val="20"/>
          <w:szCs w:val="20"/>
          <w:lang w:val="es-MX"/>
          <w14:ligatures w14:val="standardContextual"/>
        </w:rPr>
        <w:t>, a</w:t>
      </w:r>
      <w:r w:rsidRPr="001C22B9">
        <w:rPr>
          <w:rFonts w:ascii="ITC Avant Garde" w:eastAsia="Calibri" w:hAnsi="ITC Avant Garde" w:cs="Times New Roman"/>
          <w:b w:val="0"/>
          <w:color w:val="auto"/>
          <w:kern w:val="2"/>
          <w:sz w:val="20"/>
          <w:szCs w:val="20"/>
          <w:lang w:val="es-MX"/>
          <w14:ligatures w14:val="standardContextual"/>
        </w:rPr>
        <w:t>unque ambos forman parte de la estrategia digital del Instituto, sus objetivos y el público al que se dirigen pueden generar diferencias en la percepción de las personas usuarias.</w:t>
      </w:r>
    </w:p>
    <w:p w14:paraId="1FDA83AE" w14:textId="68FC209A"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En términos de satisfacción general, los datos reflejan una </w:t>
      </w:r>
      <w:r w:rsidRPr="001C22B9">
        <w:rPr>
          <w:rFonts w:ascii="ITC Avant Garde" w:eastAsia="Calibri" w:hAnsi="ITC Avant Garde" w:cs="Times New Roman"/>
          <w:bCs/>
          <w:color w:val="auto"/>
          <w:kern w:val="2"/>
          <w:sz w:val="20"/>
          <w:szCs w:val="20"/>
          <w:lang w:val="es-MX"/>
          <w14:ligatures w14:val="standardContextual"/>
        </w:rPr>
        <w:t>mayor satisfacción con la Ventanilla Electrónica</w:t>
      </w:r>
      <w:r w:rsidRPr="001C22B9">
        <w:rPr>
          <w:rFonts w:ascii="ITC Avant Garde" w:eastAsia="Calibri" w:hAnsi="ITC Avant Garde" w:cs="Times New Roman"/>
          <w:b w:val="0"/>
          <w:color w:val="auto"/>
          <w:kern w:val="2"/>
          <w:sz w:val="20"/>
          <w:szCs w:val="20"/>
          <w:lang w:val="es-MX"/>
          <w14:ligatures w14:val="standardContextual"/>
        </w:rPr>
        <w:t> en comparación con la estrategia de Gobierno Electrónico en general</w:t>
      </w:r>
      <w:r>
        <w:rPr>
          <w:rFonts w:ascii="ITC Avant Garde" w:eastAsia="Calibri" w:hAnsi="ITC Avant Garde" w:cs="Times New Roman"/>
          <w:b w:val="0"/>
          <w:color w:val="auto"/>
          <w:kern w:val="2"/>
          <w:sz w:val="20"/>
          <w:szCs w:val="20"/>
          <w:lang w:val="es-MX"/>
          <w14:ligatures w14:val="standardContextual"/>
        </w:rPr>
        <w:t xml:space="preserve">, </w:t>
      </w:r>
      <w:r w:rsidR="00C83D08">
        <w:rPr>
          <w:rFonts w:ascii="ITC Avant Garde" w:eastAsia="Calibri" w:hAnsi="ITC Avant Garde" w:cs="Times New Roman"/>
          <w:b w:val="0"/>
          <w:color w:val="auto"/>
          <w:kern w:val="2"/>
          <w:sz w:val="20"/>
          <w:szCs w:val="20"/>
          <w:lang w:val="es-MX"/>
          <w14:ligatures w14:val="standardContextual"/>
        </w:rPr>
        <w:t>e</w:t>
      </w:r>
      <w:r w:rsidR="00C83D08" w:rsidRPr="00C83D08">
        <w:rPr>
          <w:rFonts w:ascii="ITC Avant Garde" w:eastAsia="Calibri" w:hAnsi="ITC Avant Garde" w:cs="Times New Roman"/>
          <w:b w:val="0"/>
          <w:color w:val="auto"/>
          <w:kern w:val="2"/>
          <w:sz w:val="20"/>
          <w:szCs w:val="20"/>
          <w:lang w:val="es-MX"/>
          <w14:ligatures w14:val="standardContextual"/>
        </w:rPr>
        <w:t>l nivel de satisfacción es elevado, principalmente por la funcionalidad directa de la plataforma</w:t>
      </w:r>
      <w:r w:rsidRPr="001C22B9">
        <w:rPr>
          <w:rFonts w:ascii="ITC Avant Garde" w:eastAsia="Calibri" w:hAnsi="ITC Avant Garde" w:cs="Times New Roman"/>
          <w:b w:val="0"/>
          <w:color w:val="auto"/>
          <w:kern w:val="2"/>
          <w:sz w:val="20"/>
          <w:szCs w:val="20"/>
          <w:lang w:val="es-MX"/>
          <w14:ligatures w14:val="standardContextual"/>
        </w:rPr>
        <w:t>, que permite realizar trámites específicos de manera ágil y eficiente</w:t>
      </w:r>
      <w:r>
        <w:rPr>
          <w:rFonts w:ascii="ITC Avant Garde" w:eastAsia="Calibri" w:hAnsi="ITC Avant Garde" w:cs="Times New Roman"/>
          <w:b w:val="0"/>
          <w:color w:val="auto"/>
          <w:kern w:val="2"/>
          <w:sz w:val="20"/>
          <w:szCs w:val="20"/>
          <w:lang w:val="es-MX"/>
          <w14:ligatures w14:val="standardContextual"/>
        </w:rPr>
        <w:t>, e</w:t>
      </w:r>
      <w:r w:rsidRPr="001C22B9">
        <w:rPr>
          <w:rFonts w:ascii="ITC Avant Garde" w:eastAsia="Calibri" w:hAnsi="ITC Avant Garde" w:cs="Times New Roman"/>
          <w:b w:val="0"/>
          <w:color w:val="auto"/>
          <w:kern w:val="2"/>
          <w:sz w:val="20"/>
          <w:szCs w:val="20"/>
          <w:lang w:val="es-MX"/>
          <w14:ligatures w14:val="standardContextual"/>
        </w:rPr>
        <w:t xml:space="preserve">n cambio, la percepción sobre la Estrategia General de Gobierno Electrónico es más heterogénea, dado que algunas personas usuarias </w:t>
      </w:r>
      <w:r>
        <w:rPr>
          <w:rFonts w:ascii="ITC Avant Garde" w:eastAsia="Calibri" w:hAnsi="ITC Avant Garde" w:cs="Times New Roman"/>
          <w:b w:val="0"/>
          <w:color w:val="auto"/>
          <w:kern w:val="2"/>
          <w:sz w:val="20"/>
          <w:szCs w:val="20"/>
          <w:lang w:val="es-MX"/>
          <w14:ligatures w14:val="standardContextual"/>
        </w:rPr>
        <w:t xml:space="preserve">pueden </w:t>
      </w:r>
      <w:r w:rsidRPr="001C22B9">
        <w:rPr>
          <w:rFonts w:ascii="ITC Avant Garde" w:eastAsia="Calibri" w:hAnsi="ITC Avant Garde" w:cs="Times New Roman"/>
          <w:b w:val="0"/>
          <w:color w:val="auto"/>
          <w:kern w:val="2"/>
          <w:sz w:val="20"/>
          <w:szCs w:val="20"/>
          <w:lang w:val="es-MX"/>
          <w14:ligatures w14:val="standardContextual"/>
        </w:rPr>
        <w:t>considera</w:t>
      </w:r>
      <w:r>
        <w:rPr>
          <w:rFonts w:ascii="ITC Avant Garde" w:eastAsia="Calibri" w:hAnsi="ITC Avant Garde" w:cs="Times New Roman"/>
          <w:b w:val="0"/>
          <w:color w:val="auto"/>
          <w:kern w:val="2"/>
          <w:sz w:val="20"/>
          <w:szCs w:val="20"/>
          <w:lang w:val="es-MX"/>
          <w14:ligatures w14:val="standardContextual"/>
        </w:rPr>
        <w:t>r</w:t>
      </w:r>
      <w:r w:rsidRPr="001C22B9">
        <w:rPr>
          <w:rFonts w:ascii="ITC Avant Garde" w:eastAsia="Calibri" w:hAnsi="ITC Avant Garde" w:cs="Times New Roman"/>
          <w:b w:val="0"/>
          <w:color w:val="auto"/>
          <w:kern w:val="2"/>
          <w:sz w:val="20"/>
          <w:szCs w:val="20"/>
          <w:lang w:val="es-MX"/>
          <w14:ligatures w14:val="standardContextual"/>
        </w:rPr>
        <w:t xml:space="preserve"> que ciertos aspectos de la estrategia no se implementan o comunican de manera uniforme en todos los servicios del IFT.</w:t>
      </w:r>
    </w:p>
    <w:p w14:paraId="1CFA6BA0"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La </w:t>
      </w:r>
      <w:r w:rsidRPr="001C22B9">
        <w:rPr>
          <w:rFonts w:ascii="ITC Avant Garde" w:eastAsia="Calibri" w:hAnsi="ITC Avant Garde" w:cs="Times New Roman"/>
          <w:bCs/>
          <w:color w:val="auto"/>
          <w:kern w:val="2"/>
          <w:sz w:val="20"/>
          <w:szCs w:val="20"/>
          <w:lang w:val="es-MX"/>
          <w14:ligatures w14:val="standardContextual"/>
        </w:rPr>
        <w:t>percepción de seguridad</w:t>
      </w:r>
      <w:r w:rsidRPr="001C22B9">
        <w:rPr>
          <w:rFonts w:ascii="ITC Avant Garde" w:eastAsia="Calibri" w:hAnsi="ITC Avant Garde" w:cs="Times New Roman"/>
          <w:b w:val="0"/>
          <w:color w:val="auto"/>
          <w:kern w:val="2"/>
          <w:sz w:val="20"/>
          <w:szCs w:val="20"/>
          <w:lang w:val="es-MX"/>
          <w14:ligatures w14:val="standardContextual"/>
        </w:rPr>
        <w:t> es otro aspecto en el que se observan diferencias notables</w:t>
      </w:r>
      <w:r>
        <w:rPr>
          <w:rFonts w:ascii="ITC Avant Garde" w:eastAsia="Calibri" w:hAnsi="ITC Avant Garde" w:cs="Times New Roman"/>
          <w:b w:val="0"/>
          <w:color w:val="auto"/>
          <w:kern w:val="2"/>
          <w:sz w:val="20"/>
          <w:szCs w:val="20"/>
          <w:lang w:val="es-MX"/>
          <w14:ligatures w14:val="standardContextual"/>
        </w:rPr>
        <w:t>, las personas usuarias</w:t>
      </w:r>
      <w:r w:rsidRPr="001C22B9">
        <w:rPr>
          <w:rFonts w:ascii="ITC Avant Garde" w:eastAsia="Calibri" w:hAnsi="ITC Avant Garde" w:cs="Times New Roman"/>
          <w:b w:val="0"/>
          <w:color w:val="auto"/>
          <w:kern w:val="2"/>
          <w:sz w:val="20"/>
          <w:szCs w:val="20"/>
          <w:lang w:val="es-MX"/>
          <w14:ligatures w14:val="standardContextual"/>
        </w:rPr>
        <w:t xml:space="preserve"> de la Ventanilla Electrónica expresan un alto grado de confianza en la protección de sus datos personales debido a las medidas de autenticación implementadas en la plataforma, como el uso de la Firma Electrónica Avanzada</w:t>
      </w:r>
      <w:r>
        <w:rPr>
          <w:rFonts w:ascii="ITC Avant Garde" w:eastAsia="Calibri" w:hAnsi="ITC Avant Garde" w:cs="Times New Roman"/>
          <w:b w:val="0"/>
          <w:color w:val="auto"/>
          <w:kern w:val="2"/>
          <w:sz w:val="20"/>
          <w:szCs w:val="20"/>
          <w:lang w:val="es-MX"/>
          <w14:ligatures w14:val="standardContextual"/>
        </w:rPr>
        <w:t>, e</w:t>
      </w:r>
      <w:r w:rsidRPr="001C22B9">
        <w:rPr>
          <w:rFonts w:ascii="ITC Avant Garde" w:eastAsia="Calibri" w:hAnsi="ITC Avant Garde" w:cs="Times New Roman"/>
          <w:b w:val="0"/>
          <w:color w:val="auto"/>
          <w:kern w:val="2"/>
          <w:sz w:val="20"/>
          <w:szCs w:val="20"/>
          <w:lang w:val="es-MX"/>
          <w14:ligatures w14:val="standardContextual"/>
        </w:rPr>
        <w:t>n cambio, la Estrategia General de Gobierno Electrónico enfrenta un desafío en términos de seguridad percibida, ya que algunas personas usuarias reportan incertidumbre sobre la seguridad de sus datos en trámites y servicios que aún no han sido totalmente digitalizados o que operan bajo sistemas con distintos niveles de protección.</w:t>
      </w:r>
    </w:p>
    <w:p w14:paraId="4DFFA28E" w14:textId="77777777" w:rsidR="0066403F" w:rsidRPr="0085429D" w:rsidRDefault="0066403F" w:rsidP="0066403F">
      <w:pPr>
        <w:rPr>
          <w:rFonts w:ascii="ITC Avant Garde" w:eastAsia="Calibri" w:hAnsi="ITC Avant Garde" w:cs="Times New Roman"/>
          <w:color w:val="auto"/>
          <w:kern w:val="2"/>
          <w:sz w:val="22"/>
          <w:szCs w:val="20"/>
          <w:lang w:val="es-MX"/>
          <w14:ligatures w14:val="standardContextual"/>
        </w:rPr>
      </w:pPr>
      <w:bookmarkStart w:id="58" w:name="_Toc183000940"/>
      <w:r w:rsidRPr="0085429D">
        <w:rPr>
          <w:rFonts w:ascii="ITC Avant Garde" w:eastAsia="Calibri" w:hAnsi="ITC Avant Garde" w:cs="Times New Roman"/>
          <w:color w:val="auto"/>
          <w:kern w:val="2"/>
          <w:sz w:val="22"/>
          <w:szCs w:val="20"/>
          <w:lang w:val="es-MX"/>
          <w14:ligatures w14:val="standardContextual"/>
        </w:rPr>
        <w:t>Diferencias en los Tiempos de Respuesta Percibidos y la Facilidad de Acceso</w:t>
      </w:r>
      <w:bookmarkEnd w:id="58"/>
    </w:p>
    <w:p w14:paraId="630BFBB9" w14:textId="77777777" w:rsidR="0066403F" w:rsidRPr="00B73592" w:rsidRDefault="0066403F" w:rsidP="0066403F">
      <w:pPr>
        <w:rPr>
          <w:rFonts w:ascii="ITC Avant Garde" w:eastAsia="Calibri" w:hAnsi="ITC Avant Garde" w:cs="Times New Roman"/>
          <w:color w:val="auto"/>
          <w:kern w:val="2"/>
          <w:sz w:val="20"/>
          <w:szCs w:val="20"/>
          <w:lang w:val="es-MX"/>
          <w14:ligatures w14:val="standardContextual"/>
        </w:rPr>
      </w:pPr>
    </w:p>
    <w:p w14:paraId="5DC4D5C0"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El análisis comparativo también muestra una diferencia significativa en la percepción de </w:t>
      </w:r>
      <w:r w:rsidRPr="001C22B9">
        <w:rPr>
          <w:rFonts w:ascii="ITC Avant Garde" w:eastAsia="Calibri" w:hAnsi="ITC Avant Garde" w:cs="Times New Roman"/>
          <w:bCs/>
          <w:color w:val="auto"/>
          <w:kern w:val="2"/>
          <w:sz w:val="20"/>
          <w:szCs w:val="20"/>
          <w:lang w:val="es-MX"/>
          <w14:ligatures w14:val="standardContextual"/>
        </w:rPr>
        <w:t>tiempos de respuesta</w:t>
      </w:r>
      <w:r w:rsidRPr="001C22B9">
        <w:rPr>
          <w:rFonts w:ascii="ITC Avant Garde" w:eastAsia="Calibri" w:hAnsi="ITC Avant Garde" w:cs="Times New Roman"/>
          <w:b w:val="0"/>
          <w:color w:val="auto"/>
          <w:kern w:val="2"/>
          <w:sz w:val="20"/>
          <w:szCs w:val="20"/>
          <w:lang w:val="es-MX"/>
          <w14:ligatures w14:val="standardContextual"/>
        </w:rPr>
        <w:t xml:space="preserve">. La Ventanilla Electrónica permite a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completar la mayoría de los trámites en un rango de tiempo breve, con un tiempo promedio de respuesta entre 5 y 10 minutos para trámites estándar. Este aspecto es uno de los principales motivos</w:t>
      </w:r>
      <w:r>
        <w:rPr>
          <w:rFonts w:ascii="ITC Avant Garde" w:eastAsia="Calibri" w:hAnsi="ITC Avant Garde" w:cs="Times New Roman"/>
          <w:b w:val="0"/>
          <w:color w:val="auto"/>
          <w:kern w:val="2"/>
          <w:sz w:val="20"/>
          <w:szCs w:val="20"/>
          <w:lang w:val="es-MX"/>
          <w14:ligatures w14:val="standardContextual"/>
        </w:rPr>
        <w:t xml:space="preserve"> las personas usuarias</w:t>
      </w:r>
      <w:r w:rsidRPr="001C22B9">
        <w:rPr>
          <w:rFonts w:ascii="ITC Avant Garde" w:eastAsia="Calibri" w:hAnsi="ITC Avant Garde" w:cs="Times New Roman"/>
          <w:b w:val="0"/>
          <w:color w:val="auto"/>
          <w:kern w:val="2"/>
          <w:sz w:val="20"/>
          <w:szCs w:val="20"/>
          <w:lang w:val="es-MX"/>
          <w14:ligatures w14:val="standardContextual"/>
        </w:rPr>
        <w:t xml:space="preserve"> de satisfacción para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de la Ventanilla, ya que representa </w:t>
      </w:r>
      <w:r w:rsidRPr="001C22B9">
        <w:rPr>
          <w:rFonts w:ascii="ITC Avant Garde" w:eastAsia="Calibri" w:hAnsi="ITC Avant Garde" w:cs="Times New Roman"/>
          <w:b w:val="0"/>
          <w:color w:val="auto"/>
          <w:kern w:val="2"/>
          <w:sz w:val="20"/>
          <w:szCs w:val="20"/>
          <w:lang w:val="es-MX"/>
          <w14:ligatures w14:val="standardContextual"/>
        </w:rPr>
        <w:lastRenderedPageBreak/>
        <w:t>una mejora considerable en relación con los procesos presenciales previos, que podían demorar horas o incluso días.</w:t>
      </w:r>
    </w:p>
    <w:p w14:paraId="63491604"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En contraste, la percepción sobre los tiempos de respuesta en la Estrategia General de Gobierno Electrónico es menos favorable. Aunque se han digitalizado numerosos procesos, algunas personas usuarias perciben que ciertos trámites continúan siendo lentos o burocráticos, especialmente aquellos que requieren validaciones interinstitucionales o interdependencias entre diferentes departamentos del IFT. Esta diferencia sugiere que, mientras que la Ventanilla Electrónica ofrece una solución ágil para trámites directos, la Estrategia General de Gobierno Electrónico enfrenta mayores desafíos para mejorar los tiempos de respuesta en toda su gama de servicios.</w:t>
      </w:r>
    </w:p>
    <w:p w14:paraId="05DE8D8B" w14:textId="3DB1745A"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En cuanto a la </w:t>
      </w:r>
      <w:r w:rsidRPr="001C22B9">
        <w:rPr>
          <w:rFonts w:ascii="ITC Avant Garde" w:eastAsia="Calibri" w:hAnsi="ITC Avant Garde" w:cs="Times New Roman"/>
          <w:bCs/>
          <w:color w:val="auto"/>
          <w:kern w:val="2"/>
          <w:sz w:val="20"/>
          <w:szCs w:val="20"/>
          <w:lang w:val="es-MX"/>
          <w14:ligatures w14:val="standardContextual"/>
        </w:rPr>
        <w:t>facilidad de acceso</w:t>
      </w:r>
      <w:r w:rsidRPr="001C22B9">
        <w:rPr>
          <w:rFonts w:ascii="ITC Avant Garde" w:eastAsia="Calibri" w:hAnsi="ITC Avant Garde" w:cs="Times New Roman"/>
          <w:b w:val="0"/>
          <w:color w:val="auto"/>
          <w:kern w:val="2"/>
          <w:sz w:val="20"/>
          <w:szCs w:val="20"/>
          <w:lang w:val="es-MX"/>
          <w14:ligatures w14:val="standardContextual"/>
        </w:rPr>
        <w:t xml:space="preserve">, la Ventanilla Electrónica destaca por su accesibilidad y simplicidad, con una interfaz centrada en la experiencia del usuario, diseñada para facilitar la realización de trámites específicos. Sin embargo, el análisis de la Estrategia General de Gobierno Electrónico muestra que la facilidad de acceso varía según el trámite o servicio. Algunas personas usuarias han expresado que ciertos servicios requieren pasos adicionales o información redundante, </w:t>
      </w:r>
      <w:r w:rsidR="00D74B0E" w:rsidRPr="00D74B0E">
        <w:rPr>
          <w:rFonts w:ascii="ITC Avant Garde" w:eastAsia="Calibri" w:hAnsi="ITC Avant Garde" w:cs="Times New Roman"/>
          <w:b w:val="0"/>
          <w:color w:val="auto"/>
          <w:kern w:val="2"/>
          <w:sz w:val="20"/>
          <w:szCs w:val="20"/>
          <w:lang w:val="es-MX"/>
          <w14:ligatures w14:val="standardContextual"/>
        </w:rPr>
        <w:t>incrementando la complejidad y dificultando la experiencia del usuario</w:t>
      </w:r>
      <w:r w:rsidRPr="001C22B9">
        <w:rPr>
          <w:rFonts w:ascii="ITC Avant Garde" w:eastAsia="Calibri" w:hAnsi="ITC Avant Garde" w:cs="Times New Roman"/>
          <w:b w:val="0"/>
          <w:color w:val="auto"/>
          <w:kern w:val="2"/>
          <w:sz w:val="20"/>
          <w:szCs w:val="20"/>
          <w:lang w:val="es-MX"/>
          <w14:ligatures w14:val="standardContextual"/>
        </w:rPr>
        <w:t>.</w:t>
      </w:r>
    </w:p>
    <w:p w14:paraId="45E8CB29" w14:textId="77777777" w:rsidR="0066403F" w:rsidRDefault="0066403F" w:rsidP="0066403F">
      <w:pPr>
        <w:rPr>
          <w:rFonts w:ascii="ITC Avant Garde" w:eastAsia="Calibri" w:hAnsi="ITC Avant Garde" w:cs="Times New Roman"/>
          <w:color w:val="auto"/>
          <w:kern w:val="2"/>
          <w:sz w:val="22"/>
          <w:lang w:val="es-MX"/>
          <w14:ligatures w14:val="standardContextual"/>
        </w:rPr>
      </w:pPr>
      <w:bookmarkStart w:id="59" w:name="_Toc183000941"/>
      <w:r w:rsidRPr="00CD2298">
        <w:rPr>
          <w:rFonts w:ascii="ITC Avant Garde" w:eastAsia="Calibri" w:hAnsi="ITC Avant Garde" w:cs="Times New Roman"/>
          <w:color w:val="auto"/>
          <w:kern w:val="2"/>
          <w:sz w:val="22"/>
          <w:lang w:val="es-MX"/>
          <w14:ligatures w14:val="standardContextual"/>
        </w:rPr>
        <w:t>Análisis de Áreas de Mejora Destacadas en Ambos Contextos</w:t>
      </w:r>
      <w:bookmarkEnd w:id="59"/>
    </w:p>
    <w:p w14:paraId="0EC6D08B" w14:textId="77777777" w:rsidR="0066403F" w:rsidRPr="00CD2298" w:rsidRDefault="0066403F" w:rsidP="0066403F">
      <w:pPr>
        <w:rPr>
          <w:rFonts w:ascii="ITC Avant Garde" w:eastAsia="Calibri" w:hAnsi="ITC Avant Garde" w:cs="Times New Roman"/>
          <w:color w:val="auto"/>
          <w:kern w:val="2"/>
          <w:sz w:val="22"/>
          <w:lang w:val="es-MX"/>
          <w14:ligatures w14:val="standardContextual"/>
        </w:rPr>
      </w:pPr>
    </w:p>
    <w:p w14:paraId="7C3B2681"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Aunque tanto la Ventanilla Electrónica como la Estrategia General de Gobierno Electrónico cumplen funciones críticas en la digitalización de los servicios del IFT, el análisis comparativo resalta áreas de mejora específicas en cada contexto:</w:t>
      </w:r>
    </w:p>
    <w:p w14:paraId="0441240B" w14:textId="77777777" w:rsidR="0066403F" w:rsidRPr="001C22B9" w:rsidRDefault="0066403F" w:rsidP="0066403F">
      <w:pPr>
        <w:numPr>
          <w:ilvl w:val="0"/>
          <w:numId w:val="21"/>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Optimización de Procesos</w:t>
      </w:r>
      <w:r w:rsidRPr="001C22B9">
        <w:rPr>
          <w:rFonts w:ascii="ITC Avant Garde" w:eastAsia="Calibri" w:hAnsi="ITC Avant Garde" w:cs="Times New Roman"/>
          <w:b w:val="0"/>
          <w:color w:val="auto"/>
          <w:kern w:val="2"/>
          <w:sz w:val="20"/>
          <w:szCs w:val="20"/>
          <w:lang w:val="es-MX"/>
          <w14:ligatures w14:val="standardContextual"/>
        </w:rPr>
        <w:t>: En la Ventanilla Electrónica, los procesos básicos están optimizados para una experiencia fluida</w:t>
      </w:r>
      <w:r>
        <w:rPr>
          <w:rFonts w:ascii="ITC Avant Garde" w:eastAsia="Calibri" w:hAnsi="ITC Avant Garde" w:cs="Times New Roman"/>
          <w:b w:val="0"/>
          <w:color w:val="auto"/>
          <w:kern w:val="2"/>
          <w:sz w:val="20"/>
          <w:szCs w:val="20"/>
          <w:lang w:val="es-MX"/>
          <w14:ligatures w14:val="standardContextual"/>
        </w:rPr>
        <w:t>, s</w:t>
      </w:r>
      <w:r w:rsidRPr="001C22B9">
        <w:rPr>
          <w:rFonts w:ascii="ITC Avant Garde" w:eastAsia="Calibri" w:hAnsi="ITC Avant Garde" w:cs="Times New Roman"/>
          <w:b w:val="0"/>
          <w:color w:val="auto"/>
          <w:kern w:val="2"/>
          <w:sz w:val="20"/>
          <w:szCs w:val="20"/>
          <w:lang w:val="es-MX"/>
          <w14:ligatures w14:val="standardContextual"/>
        </w:rPr>
        <w:t>in embargo, los trámites más complejos (como los registros de contratos de interconexión o concesiones) requieren pasos adicionales que pueden ralentizar el proceso</w:t>
      </w:r>
      <w:r>
        <w:rPr>
          <w:rFonts w:ascii="ITC Avant Garde" w:eastAsia="Calibri" w:hAnsi="ITC Avant Garde" w:cs="Times New Roman"/>
          <w:b w:val="0"/>
          <w:color w:val="auto"/>
          <w:kern w:val="2"/>
          <w:sz w:val="20"/>
          <w:szCs w:val="20"/>
          <w:lang w:val="es-MX"/>
          <w14:ligatures w14:val="standardContextual"/>
        </w:rPr>
        <w:t>, p</w:t>
      </w:r>
      <w:r w:rsidRPr="001C22B9">
        <w:rPr>
          <w:rFonts w:ascii="ITC Avant Garde" w:eastAsia="Calibri" w:hAnsi="ITC Avant Garde" w:cs="Times New Roman"/>
          <w:b w:val="0"/>
          <w:color w:val="auto"/>
          <w:kern w:val="2"/>
          <w:sz w:val="20"/>
          <w:szCs w:val="20"/>
          <w:lang w:val="es-MX"/>
          <w14:ligatures w14:val="standardContextual"/>
        </w:rPr>
        <w:t>or su parte, en la Estrategia General de Gobierno Electrónico, la optimización de procesos es un área de mejora clave, ya que algunas personas usuarias perciben ciertos trámites como demasiado burocráticos y demandantes en términos de documentación.</w:t>
      </w:r>
    </w:p>
    <w:p w14:paraId="5210732A" w14:textId="77777777" w:rsidR="0066403F" w:rsidRPr="001C22B9" w:rsidRDefault="0066403F" w:rsidP="0066403F">
      <w:pPr>
        <w:numPr>
          <w:ilvl w:val="0"/>
          <w:numId w:val="21"/>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Consistencia en la Experiencia de Usuario</w:t>
      </w:r>
      <w:r w:rsidRPr="001C22B9">
        <w:rPr>
          <w:rFonts w:ascii="ITC Avant Garde" w:eastAsia="Calibri" w:hAnsi="ITC Avant Garde" w:cs="Times New Roman"/>
          <w:b w:val="0"/>
          <w:color w:val="auto"/>
          <w:kern w:val="2"/>
          <w:sz w:val="20"/>
          <w:szCs w:val="20"/>
          <w:lang w:val="es-MX"/>
          <w14:ligatures w14:val="standardContextual"/>
        </w:rPr>
        <w:t>: La Ventanilla Electrónica ha logrado establecer una experiencia uniforme y consistente, lo cual contribuye a una mayor satisfacción del usuario. Sin embargo, en la Estrategia General de Gobierno Electrónico, algunas personas usuarias reportan inconsistencias en la interfaz y el proceso de ciertos trámites, especialmente cuando estos implican la interacción con diferentes áreas administrativas del IFT</w:t>
      </w:r>
      <w:r>
        <w:rPr>
          <w:rFonts w:ascii="ITC Avant Garde" w:eastAsia="Calibri" w:hAnsi="ITC Avant Garde" w:cs="Times New Roman"/>
          <w:b w:val="0"/>
          <w:color w:val="auto"/>
          <w:kern w:val="2"/>
          <w:sz w:val="20"/>
          <w:szCs w:val="20"/>
          <w:lang w:val="es-MX"/>
          <w14:ligatures w14:val="standardContextual"/>
        </w:rPr>
        <w:t>, p</w:t>
      </w:r>
      <w:r w:rsidRPr="001C22B9">
        <w:rPr>
          <w:rFonts w:ascii="ITC Avant Garde" w:eastAsia="Calibri" w:hAnsi="ITC Avant Garde" w:cs="Times New Roman"/>
          <w:b w:val="0"/>
          <w:color w:val="auto"/>
          <w:kern w:val="2"/>
          <w:sz w:val="20"/>
          <w:szCs w:val="20"/>
          <w:lang w:val="es-MX"/>
          <w14:ligatures w14:val="standardContextual"/>
        </w:rPr>
        <w:t>ara mejorar la consistencia en la experiencia de usuario, se recomienda una mayor estandarización de interfaces y procedimientos.</w:t>
      </w:r>
    </w:p>
    <w:p w14:paraId="5C1F02CC" w14:textId="77777777" w:rsidR="0066403F" w:rsidRPr="001C22B9" w:rsidRDefault="0066403F" w:rsidP="0066403F">
      <w:pPr>
        <w:numPr>
          <w:ilvl w:val="0"/>
          <w:numId w:val="21"/>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Mejor Comunicación y Orientación al Usuario</w:t>
      </w:r>
      <w:r w:rsidRPr="001C22B9">
        <w:rPr>
          <w:rFonts w:ascii="ITC Avant Garde" w:eastAsia="Calibri" w:hAnsi="ITC Avant Garde" w:cs="Times New Roman"/>
          <w:b w:val="0"/>
          <w:color w:val="auto"/>
          <w:kern w:val="2"/>
          <w:sz w:val="20"/>
          <w:szCs w:val="20"/>
          <w:lang w:val="es-MX"/>
          <w14:ligatures w14:val="standardContextual"/>
        </w:rPr>
        <w:t>: Si bien la Ventanilla Electrónica facilita la realización de trámites específicos, algunas personas usuarias de la Estrategia General de Gobierno Electrónico han señalado la necesidad de una comunicación más clara y detallada sobre los requisitos y pasos para completar ciertos trámites</w:t>
      </w:r>
      <w:r>
        <w:rPr>
          <w:rFonts w:ascii="ITC Avant Garde" w:eastAsia="Calibri" w:hAnsi="ITC Avant Garde" w:cs="Times New Roman"/>
          <w:b w:val="0"/>
          <w:color w:val="auto"/>
          <w:kern w:val="2"/>
          <w:sz w:val="20"/>
          <w:szCs w:val="20"/>
          <w:lang w:val="es-MX"/>
          <w14:ligatures w14:val="standardContextual"/>
        </w:rPr>
        <w:t>, e</w:t>
      </w:r>
      <w:r w:rsidRPr="001C22B9">
        <w:rPr>
          <w:rFonts w:ascii="ITC Avant Garde" w:eastAsia="Calibri" w:hAnsi="ITC Avant Garde" w:cs="Times New Roman"/>
          <w:b w:val="0"/>
          <w:color w:val="auto"/>
          <w:kern w:val="2"/>
          <w:sz w:val="20"/>
          <w:szCs w:val="20"/>
          <w:lang w:val="es-MX"/>
          <w14:ligatures w14:val="standardContextual"/>
        </w:rPr>
        <w:t>sta área de mejora se refiere tanto a la claridad de los formularios como a la disponibilidad de recursos de ayuda, como tutoriales o guías paso a paso.</w:t>
      </w:r>
    </w:p>
    <w:p w14:paraId="2CBB4592" w14:textId="77777777" w:rsidR="0066403F" w:rsidRPr="00CD2298" w:rsidRDefault="0066403F" w:rsidP="0066403F">
      <w:pPr>
        <w:rPr>
          <w:rFonts w:ascii="ITC Avant Garde" w:eastAsia="Calibri" w:hAnsi="ITC Avant Garde" w:cs="Times New Roman"/>
          <w:color w:val="auto"/>
          <w:kern w:val="2"/>
          <w:sz w:val="22"/>
          <w:lang w:val="es-MX"/>
          <w14:ligatures w14:val="standardContextual"/>
        </w:rPr>
      </w:pPr>
      <w:bookmarkStart w:id="60" w:name="_Toc183000942"/>
      <w:r w:rsidRPr="00CD2298">
        <w:rPr>
          <w:rFonts w:ascii="ITC Avant Garde" w:eastAsia="Calibri" w:hAnsi="ITC Avant Garde" w:cs="Times New Roman"/>
          <w:color w:val="auto"/>
          <w:kern w:val="2"/>
          <w:sz w:val="22"/>
          <w:lang w:val="es-MX"/>
          <w14:ligatures w14:val="standardContextual"/>
        </w:rPr>
        <w:lastRenderedPageBreak/>
        <w:t>Factores Diferenciadores en la Experiencia del Usuario</w:t>
      </w:r>
      <w:bookmarkEnd w:id="60"/>
    </w:p>
    <w:p w14:paraId="2768B660" w14:textId="77777777" w:rsidR="0066403F" w:rsidRPr="00B73592" w:rsidRDefault="0066403F" w:rsidP="0066403F">
      <w:pPr>
        <w:rPr>
          <w:rFonts w:ascii="ITC Avant Garde" w:eastAsia="Calibri" w:hAnsi="ITC Avant Garde" w:cs="Times New Roman"/>
          <w:color w:val="auto"/>
          <w:kern w:val="2"/>
          <w:sz w:val="20"/>
          <w:szCs w:val="20"/>
          <w:lang w:val="es-MX"/>
          <w14:ligatures w14:val="standardContextual"/>
        </w:rPr>
      </w:pPr>
    </w:p>
    <w:p w14:paraId="77294D86"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Un aspecto importante del análisis comparativo es la identificación de factores diferenciadores que determinan la experiencia del usuario en ambos contextos</w:t>
      </w:r>
      <w:r>
        <w:rPr>
          <w:rFonts w:ascii="ITC Avant Garde" w:eastAsia="Calibri" w:hAnsi="ITC Avant Garde" w:cs="Times New Roman"/>
          <w:b w:val="0"/>
          <w:color w:val="auto"/>
          <w:kern w:val="2"/>
          <w:sz w:val="20"/>
          <w:szCs w:val="20"/>
          <w:lang w:val="es-MX"/>
          <w14:ligatures w14:val="standardContextual"/>
        </w:rPr>
        <w:t>, como lo son</w:t>
      </w:r>
      <w:r w:rsidRPr="001C22B9">
        <w:rPr>
          <w:rFonts w:ascii="ITC Avant Garde" w:eastAsia="Calibri" w:hAnsi="ITC Avant Garde" w:cs="Times New Roman"/>
          <w:b w:val="0"/>
          <w:color w:val="auto"/>
          <w:kern w:val="2"/>
          <w:sz w:val="20"/>
          <w:szCs w:val="20"/>
          <w:lang w:val="es-MX"/>
          <w14:ligatures w14:val="standardContextual"/>
        </w:rPr>
        <w:t>:</w:t>
      </w:r>
    </w:p>
    <w:p w14:paraId="069006EB" w14:textId="77777777" w:rsidR="0066403F" w:rsidRPr="001C22B9" w:rsidRDefault="0066403F" w:rsidP="0066403F">
      <w:pPr>
        <w:numPr>
          <w:ilvl w:val="0"/>
          <w:numId w:val="22"/>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Orientación a Trámites Específicos</w:t>
      </w:r>
      <w:r w:rsidRPr="001C22B9">
        <w:rPr>
          <w:rFonts w:ascii="ITC Avant Garde" w:eastAsia="Calibri" w:hAnsi="ITC Avant Garde" w:cs="Times New Roman"/>
          <w:b w:val="0"/>
          <w:color w:val="auto"/>
          <w:kern w:val="2"/>
          <w:sz w:val="20"/>
          <w:szCs w:val="20"/>
          <w:lang w:val="es-MX"/>
          <w14:ligatures w14:val="standardContextual"/>
        </w:rPr>
        <w:t>: La Ventanilla Electrónica está diseñada principalmente para atender necesidades específicas de las personas usuarias, con una estructura que prioriza los trámites de alta demanda</w:t>
      </w:r>
      <w:r>
        <w:rPr>
          <w:rFonts w:ascii="ITC Avant Garde" w:eastAsia="Calibri" w:hAnsi="ITC Avant Garde" w:cs="Times New Roman"/>
          <w:b w:val="0"/>
          <w:color w:val="auto"/>
          <w:kern w:val="2"/>
          <w:sz w:val="20"/>
          <w:szCs w:val="20"/>
          <w:lang w:val="es-MX"/>
          <w14:ligatures w14:val="standardContextual"/>
        </w:rPr>
        <w:t>, e</w:t>
      </w:r>
      <w:r w:rsidRPr="001C22B9">
        <w:rPr>
          <w:rFonts w:ascii="ITC Avant Garde" w:eastAsia="Calibri" w:hAnsi="ITC Avant Garde" w:cs="Times New Roman"/>
          <w:b w:val="0"/>
          <w:color w:val="auto"/>
          <w:kern w:val="2"/>
          <w:sz w:val="20"/>
          <w:szCs w:val="20"/>
          <w:lang w:val="es-MX"/>
          <w14:ligatures w14:val="standardContextual"/>
        </w:rPr>
        <w:t>n cambio, la Estrategia General de Gobierno Electrónico abarca una variedad de procesos de diversa complejidad, por lo que el enfoque no siempre es tan específico o directo como en la Ventanilla.</w:t>
      </w:r>
    </w:p>
    <w:p w14:paraId="5E6614F3" w14:textId="77777777" w:rsidR="0066403F" w:rsidRPr="001C22B9" w:rsidRDefault="0066403F" w:rsidP="0066403F">
      <w:pPr>
        <w:numPr>
          <w:ilvl w:val="0"/>
          <w:numId w:val="22"/>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Nivel de Personalización de la Experiencia</w:t>
      </w:r>
      <w:r w:rsidRPr="001C22B9">
        <w:rPr>
          <w:rFonts w:ascii="ITC Avant Garde" w:eastAsia="Calibri" w:hAnsi="ITC Avant Garde" w:cs="Times New Roman"/>
          <w:b w:val="0"/>
          <w:color w:val="auto"/>
          <w:kern w:val="2"/>
          <w:sz w:val="20"/>
          <w:szCs w:val="20"/>
          <w:lang w:val="es-MX"/>
          <w14:ligatures w14:val="standardContextual"/>
        </w:rPr>
        <w:t xml:space="preserve">: La Ventanilla Electrónica permite a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personalizar algunos aspectos de su interacción, como guardar información para trámites recurrentes o acceder a sus documentos previos</w:t>
      </w:r>
      <w:r>
        <w:rPr>
          <w:rFonts w:ascii="ITC Avant Garde" w:eastAsia="Calibri" w:hAnsi="ITC Avant Garde" w:cs="Times New Roman"/>
          <w:b w:val="0"/>
          <w:color w:val="auto"/>
          <w:kern w:val="2"/>
          <w:sz w:val="20"/>
          <w:szCs w:val="20"/>
          <w:lang w:val="es-MX"/>
          <w14:ligatures w14:val="standardContextual"/>
        </w:rPr>
        <w:t>, e</w:t>
      </w:r>
      <w:r w:rsidRPr="001C22B9">
        <w:rPr>
          <w:rFonts w:ascii="ITC Avant Garde" w:eastAsia="Calibri" w:hAnsi="ITC Avant Garde" w:cs="Times New Roman"/>
          <w:b w:val="0"/>
          <w:color w:val="auto"/>
          <w:kern w:val="2"/>
          <w:sz w:val="20"/>
          <w:szCs w:val="20"/>
          <w:lang w:val="es-MX"/>
          <w14:ligatures w14:val="standardContextual"/>
        </w:rPr>
        <w:t>n la Estrategia General, esta personalización es limitada y depende de los requisitos de cada trámite, lo cual puede s</w:t>
      </w:r>
      <w:r>
        <w:rPr>
          <w:rFonts w:ascii="ITC Avant Garde" w:eastAsia="Calibri" w:hAnsi="ITC Avant Garde" w:cs="Times New Roman"/>
          <w:b w:val="0"/>
          <w:color w:val="auto"/>
          <w:kern w:val="2"/>
          <w:sz w:val="20"/>
          <w:szCs w:val="20"/>
          <w:lang w:val="es-MX"/>
          <w14:ligatures w14:val="standardContextual"/>
        </w:rPr>
        <w:t>e</w:t>
      </w:r>
      <w:r w:rsidRPr="001C22B9">
        <w:rPr>
          <w:rFonts w:ascii="ITC Avant Garde" w:eastAsia="Calibri" w:hAnsi="ITC Avant Garde" w:cs="Times New Roman"/>
          <w:b w:val="0"/>
          <w:color w:val="auto"/>
          <w:kern w:val="2"/>
          <w:sz w:val="20"/>
          <w:szCs w:val="20"/>
          <w:lang w:val="es-MX"/>
          <w14:ligatures w14:val="standardContextual"/>
        </w:rPr>
        <w:t xml:space="preserve">r una desventaja para </w:t>
      </w:r>
      <w:r>
        <w:rPr>
          <w:rFonts w:ascii="ITC Avant Garde" w:eastAsia="Calibri" w:hAnsi="ITC Avant Garde" w:cs="Times New Roman"/>
          <w:b w:val="0"/>
          <w:color w:val="auto"/>
          <w:kern w:val="2"/>
          <w:sz w:val="20"/>
          <w:szCs w:val="20"/>
          <w:lang w:val="es-MX"/>
          <w14:ligatures w14:val="standardContextual"/>
        </w:rPr>
        <w:t xml:space="preserve">las personas usuarias </w:t>
      </w:r>
      <w:r w:rsidRPr="001C22B9">
        <w:rPr>
          <w:rFonts w:ascii="ITC Avant Garde" w:eastAsia="Calibri" w:hAnsi="ITC Avant Garde" w:cs="Times New Roman"/>
          <w:b w:val="0"/>
          <w:color w:val="auto"/>
          <w:kern w:val="2"/>
          <w:sz w:val="20"/>
          <w:szCs w:val="20"/>
          <w:lang w:val="es-MX"/>
          <w14:ligatures w14:val="standardContextual"/>
        </w:rPr>
        <w:t>que buscan una experiencia de uso simplificada y adaptada a sus necesidades.</w:t>
      </w:r>
    </w:p>
    <w:p w14:paraId="0D3E953B" w14:textId="77777777" w:rsidR="0066403F" w:rsidRPr="00B73592" w:rsidRDefault="0066403F" w:rsidP="0066403F">
      <w:pPr>
        <w:numPr>
          <w:ilvl w:val="0"/>
          <w:numId w:val="22"/>
        </w:numPr>
        <w:spacing w:after="160" w:line="278" w:lineRule="auto"/>
        <w:jc w:val="both"/>
        <w:rPr>
          <w:rFonts w:ascii="ITC Avant Garde" w:eastAsia="Calibri" w:hAnsi="ITC Avant Garde" w:cs="Times New Roman"/>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Interacción con el Usuario</w:t>
      </w:r>
      <w:r w:rsidRPr="001C22B9">
        <w:rPr>
          <w:rFonts w:ascii="ITC Avant Garde" w:eastAsia="Calibri" w:hAnsi="ITC Avant Garde" w:cs="Times New Roman"/>
          <w:b w:val="0"/>
          <w:color w:val="auto"/>
          <w:kern w:val="2"/>
          <w:sz w:val="20"/>
          <w:szCs w:val="20"/>
          <w:lang w:val="es-MX"/>
          <w14:ligatures w14:val="standardContextual"/>
        </w:rPr>
        <w:t xml:space="preserve">: En la Ventanilla Electrónica,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reciben retroalimentación rápida a través de mensajes de confirmación y notificaciones de avance en tiempo real, lo que fomenta la confianza y la transparencia en el proceso</w:t>
      </w:r>
      <w:r>
        <w:rPr>
          <w:rFonts w:ascii="ITC Avant Garde" w:eastAsia="Calibri" w:hAnsi="ITC Avant Garde" w:cs="Times New Roman"/>
          <w:b w:val="0"/>
          <w:color w:val="auto"/>
          <w:kern w:val="2"/>
          <w:sz w:val="20"/>
          <w:szCs w:val="20"/>
          <w:lang w:val="es-MX"/>
          <w14:ligatures w14:val="standardContextual"/>
        </w:rPr>
        <w:t>, p</w:t>
      </w:r>
      <w:r w:rsidRPr="001C22B9">
        <w:rPr>
          <w:rFonts w:ascii="ITC Avant Garde" w:eastAsia="Calibri" w:hAnsi="ITC Avant Garde" w:cs="Times New Roman"/>
          <w:b w:val="0"/>
          <w:color w:val="auto"/>
          <w:kern w:val="2"/>
          <w:sz w:val="20"/>
          <w:szCs w:val="20"/>
          <w:lang w:val="es-MX"/>
          <w14:ligatures w14:val="standardContextual"/>
        </w:rPr>
        <w:t>or otro lado, en la Estrategia General de Gobierno Electrónico, la interacción no siempre es tan ágil ni personalizada, y algunas personas usuarias han mencionado la necesidad de un sistema de retroalimentación más eficiente que informe sobre el estado de sus solicitudes de manera continua.</w:t>
      </w:r>
    </w:p>
    <w:p w14:paraId="34EFC1F0"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En resumen, la Ventanilla Electrónica y la Estrategia General de Gobierno Electrónico representan esfuerzos complementarios en la digitalización de los servicios del IFT</w:t>
      </w:r>
      <w:r>
        <w:rPr>
          <w:rFonts w:ascii="ITC Avant Garde" w:eastAsia="Calibri" w:hAnsi="ITC Avant Garde" w:cs="Times New Roman"/>
          <w:b w:val="0"/>
          <w:color w:val="auto"/>
          <w:kern w:val="2"/>
          <w:sz w:val="20"/>
          <w:szCs w:val="20"/>
          <w:lang w:val="es-MX"/>
          <w14:ligatures w14:val="standardContextual"/>
        </w:rPr>
        <w:t>, l</w:t>
      </w:r>
      <w:r w:rsidRPr="001C22B9">
        <w:rPr>
          <w:rFonts w:ascii="ITC Avant Garde" w:eastAsia="Calibri" w:hAnsi="ITC Avant Garde" w:cs="Times New Roman"/>
          <w:b w:val="0"/>
          <w:color w:val="auto"/>
          <w:kern w:val="2"/>
          <w:sz w:val="20"/>
          <w:szCs w:val="20"/>
          <w:lang w:val="es-MX"/>
          <w14:ligatures w14:val="standardContextual"/>
        </w:rPr>
        <w:t xml:space="preserve">a Ventanilla Electrónica destaca en términos de satisfacción, tiempos de respuesta y facilidad de uso, lo cual la convierte en una plataforma bien valorada por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que necesitan resolver trámites específicos</w:t>
      </w:r>
      <w:r>
        <w:rPr>
          <w:rFonts w:ascii="ITC Avant Garde" w:eastAsia="Calibri" w:hAnsi="ITC Avant Garde" w:cs="Times New Roman"/>
          <w:b w:val="0"/>
          <w:color w:val="auto"/>
          <w:kern w:val="2"/>
          <w:sz w:val="20"/>
          <w:szCs w:val="20"/>
          <w:lang w:val="es-MX"/>
          <w14:ligatures w14:val="standardContextual"/>
        </w:rPr>
        <w:t>, e</w:t>
      </w:r>
      <w:r w:rsidRPr="001C22B9">
        <w:rPr>
          <w:rFonts w:ascii="ITC Avant Garde" w:eastAsia="Calibri" w:hAnsi="ITC Avant Garde" w:cs="Times New Roman"/>
          <w:b w:val="0"/>
          <w:color w:val="auto"/>
          <w:kern w:val="2"/>
          <w:sz w:val="20"/>
          <w:szCs w:val="20"/>
          <w:lang w:val="es-MX"/>
          <w14:ligatures w14:val="standardContextual"/>
        </w:rPr>
        <w:t>n cambio, la Estrategia General de Gobierno Electrónico, si bien es apreciada por su alcance y su enfoque en la mejora de servicios públicos, enfrenta desafíos para mantener una experiencia de usuario uniforme y accesible en todos los trámites.</w:t>
      </w:r>
    </w:p>
    <w:p w14:paraId="6CEFF54B" w14:textId="77777777" w:rsidR="0066403F" w:rsidRPr="001C22B9" w:rsidRDefault="0066403F" w:rsidP="0066403F">
      <w:pPr>
        <w:pStyle w:val="Prrafodelista"/>
        <w:keepNext/>
        <w:keepLines/>
        <w:numPr>
          <w:ilvl w:val="0"/>
          <w:numId w:val="41"/>
        </w:numPr>
        <w:spacing w:before="240" w:line="278" w:lineRule="auto"/>
        <w:jc w:val="both"/>
        <w:outlineLvl w:val="0"/>
        <w:rPr>
          <w:rFonts w:ascii="ITC Avant Garde" w:eastAsia="Times New Roman" w:hAnsi="ITC Avant Garde" w:cs="Times New Roman"/>
          <w:color w:val="auto"/>
          <w:kern w:val="2"/>
          <w:sz w:val="24"/>
          <w:szCs w:val="32"/>
          <w:lang w:val="es-MX"/>
          <w14:ligatures w14:val="standardContextual"/>
        </w:rPr>
      </w:pPr>
      <w:bookmarkStart w:id="61" w:name="_Toc183000944"/>
      <w:bookmarkStart w:id="62" w:name="_Toc185357323"/>
      <w:bookmarkStart w:id="63" w:name="_Toc185358251"/>
      <w:bookmarkStart w:id="64" w:name="_Toc185358505"/>
      <w:r w:rsidRPr="001C22B9">
        <w:rPr>
          <w:rFonts w:ascii="ITC Avant Garde" w:eastAsia="Times New Roman" w:hAnsi="ITC Avant Garde" w:cs="Times New Roman"/>
          <w:color w:val="auto"/>
          <w:kern w:val="2"/>
          <w:sz w:val="24"/>
          <w:szCs w:val="32"/>
          <w:lang w:val="es-MX"/>
          <w14:ligatures w14:val="standardContextual"/>
        </w:rPr>
        <w:t xml:space="preserve">Retroalimentación y Sugerencias de </w:t>
      </w:r>
      <w:bookmarkEnd w:id="61"/>
      <w:r>
        <w:rPr>
          <w:rFonts w:ascii="ITC Avant Garde" w:eastAsia="Times New Roman" w:hAnsi="ITC Avant Garde" w:cs="Times New Roman"/>
          <w:color w:val="auto"/>
          <w:kern w:val="2"/>
          <w:sz w:val="24"/>
          <w:szCs w:val="32"/>
          <w:lang w:val="es-MX"/>
          <w14:ligatures w14:val="standardContextual"/>
        </w:rPr>
        <w:t>las personas usuarias en la Consulta Pública versus las Encuestas de Satisfacción</w:t>
      </w:r>
      <w:bookmarkEnd w:id="62"/>
      <w:bookmarkEnd w:id="63"/>
      <w:bookmarkEnd w:id="64"/>
    </w:p>
    <w:p w14:paraId="4CA227AB" w14:textId="77777777" w:rsidR="0066403F" w:rsidRPr="00CD2298" w:rsidRDefault="0066403F" w:rsidP="0066403F">
      <w:pPr>
        <w:pStyle w:val="Prrafodelista"/>
        <w:keepNext/>
        <w:keepLines/>
        <w:spacing w:before="240" w:line="278" w:lineRule="auto"/>
        <w:ind w:left="360"/>
        <w:jc w:val="both"/>
        <w:outlineLvl w:val="0"/>
        <w:rPr>
          <w:rFonts w:ascii="ITC Avant Garde" w:eastAsia="Times New Roman" w:hAnsi="ITC Avant Garde" w:cs="Times New Roman"/>
          <w:color w:val="auto"/>
          <w:kern w:val="2"/>
          <w:sz w:val="24"/>
          <w:szCs w:val="32"/>
          <w:lang w:val="es-MX"/>
          <w14:ligatures w14:val="standardContextual"/>
        </w:rPr>
      </w:pPr>
    </w:p>
    <w:p w14:paraId="03D8BAD8" w14:textId="77777777" w:rsidR="0066403F" w:rsidRPr="00CD2298" w:rsidRDefault="0066403F" w:rsidP="0066403F">
      <w:pPr>
        <w:rPr>
          <w:rFonts w:ascii="ITC Avant Garde" w:eastAsia="Calibri" w:hAnsi="ITC Avant Garde" w:cs="Times New Roman"/>
          <w:color w:val="auto"/>
          <w:kern w:val="2"/>
          <w:sz w:val="22"/>
          <w:lang w:val="es-MX"/>
          <w14:ligatures w14:val="standardContextual"/>
        </w:rPr>
      </w:pPr>
      <w:bookmarkStart w:id="65" w:name="_Toc183000945"/>
      <w:r w:rsidRPr="00CD2298">
        <w:rPr>
          <w:rFonts w:ascii="ITC Avant Garde" w:eastAsia="Calibri" w:hAnsi="ITC Avant Garde" w:cs="Times New Roman"/>
          <w:color w:val="auto"/>
          <w:kern w:val="2"/>
          <w:sz w:val="22"/>
          <w:lang w:val="es-MX"/>
          <w14:ligatures w14:val="standardContextual"/>
        </w:rPr>
        <w:t>Análisis de Comentarios y Propuestas de Mejora</w:t>
      </w:r>
      <w:bookmarkEnd w:id="65"/>
    </w:p>
    <w:p w14:paraId="2C849D47" w14:textId="77777777" w:rsidR="0066403F" w:rsidRPr="00B73592" w:rsidRDefault="0066403F" w:rsidP="0066403F">
      <w:pPr>
        <w:rPr>
          <w:rFonts w:ascii="ITC Avant Garde" w:eastAsia="Calibri" w:hAnsi="ITC Avant Garde" w:cs="Times New Roman"/>
          <w:color w:val="auto"/>
          <w:kern w:val="2"/>
          <w:sz w:val="20"/>
          <w:szCs w:val="20"/>
          <w:lang w:val="es-MX"/>
          <w14:ligatures w14:val="standardContextual"/>
        </w:rPr>
      </w:pPr>
    </w:p>
    <w:p w14:paraId="76927818" w14:textId="77777777" w:rsidR="0066403F" w:rsidRDefault="0066403F" w:rsidP="0066403F">
      <w:pPr>
        <w:spacing w:after="160" w:line="278" w:lineRule="auto"/>
        <w:jc w:val="both"/>
        <w:rPr>
          <w:noProof/>
        </w:rPr>
      </w:pPr>
      <w:r w:rsidRPr="001C22B9">
        <w:rPr>
          <w:rFonts w:ascii="ITC Avant Garde" w:eastAsia="Calibri" w:hAnsi="ITC Avant Garde" w:cs="Times New Roman"/>
          <w:b w:val="0"/>
          <w:color w:val="auto"/>
          <w:kern w:val="2"/>
          <w:sz w:val="20"/>
          <w:szCs w:val="20"/>
          <w:lang w:val="es-MX"/>
          <w14:ligatures w14:val="standardContextual"/>
        </w:rPr>
        <w:t xml:space="preserve">La retroalimentación de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de la Ventanilla Electrónica y la Estrategia General de Gobierno Electrónico del Instituto</w:t>
      </w:r>
      <w:r>
        <w:rPr>
          <w:rFonts w:ascii="ITC Avant Garde" w:eastAsia="Calibri" w:hAnsi="ITC Avant Garde" w:cs="Times New Roman"/>
          <w:b w:val="0"/>
          <w:color w:val="auto"/>
          <w:kern w:val="2"/>
          <w:sz w:val="20"/>
          <w:szCs w:val="20"/>
          <w:lang w:val="es-MX"/>
          <w14:ligatures w14:val="standardContextual"/>
        </w:rPr>
        <w:t xml:space="preserve">, </w:t>
      </w:r>
      <w:r w:rsidRPr="001C22B9">
        <w:rPr>
          <w:rFonts w:ascii="ITC Avant Garde" w:eastAsia="Calibri" w:hAnsi="ITC Avant Garde" w:cs="Times New Roman"/>
          <w:b w:val="0"/>
          <w:color w:val="auto"/>
          <w:kern w:val="2"/>
          <w:sz w:val="20"/>
          <w:szCs w:val="20"/>
          <w:lang w:val="es-MX"/>
          <w14:ligatures w14:val="standardContextual"/>
        </w:rPr>
        <w:t>ha sido clave para identificar oportunidades de mejora y comprender las necesidades específicas de las personas usuarias</w:t>
      </w:r>
      <w:r>
        <w:rPr>
          <w:rFonts w:ascii="ITC Avant Garde" w:eastAsia="Calibri" w:hAnsi="ITC Avant Garde" w:cs="Times New Roman"/>
          <w:b w:val="0"/>
          <w:color w:val="auto"/>
          <w:kern w:val="2"/>
          <w:sz w:val="20"/>
          <w:szCs w:val="20"/>
          <w:lang w:val="es-MX"/>
          <w14:ligatures w14:val="standardContextual"/>
        </w:rPr>
        <w:t xml:space="preserve">, </w:t>
      </w:r>
      <w:r w:rsidRPr="001C22B9">
        <w:rPr>
          <w:rFonts w:ascii="ITC Avant Garde" w:eastAsia="Calibri" w:hAnsi="ITC Avant Garde" w:cs="Times New Roman"/>
          <w:b w:val="0"/>
          <w:color w:val="auto"/>
          <w:kern w:val="2"/>
          <w:sz w:val="20"/>
          <w:szCs w:val="20"/>
          <w:lang w:val="es-MX"/>
          <w14:ligatures w14:val="standardContextual"/>
        </w:rPr>
        <w:t>mediante los comentarios recogidos en la encuesta de satisfacción de la Ventanilla Electrónica y la consulta pública de evaluación de la Estrategia de Gobierno Electrónico, se han identificado tendencias en las experiencias de las personas usuarias, que reflejan tanto puntos fuertes como áreas de mejora</w:t>
      </w:r>
      <w:r>
        <w:rPr>
          <w:rFonts w:ascii="ITC Avant Garde" w:eastAsia="Calibri" w:hAnsi="ITC Avant Garde" w:cs="Times New Roman"/>
          <w:b w:val="0"/>
          <w:color w:val="auto"/>
          <w:kern w:val="2"/>
          <w:sz w:val="20"/>
          <w:szCs w:val="20"/>
          <w:lang w:val="es-MX"/>
          <w14:ligatures w14:val="standardContextual"/>
        </w:rPr>
        <w:t xml:space="preserve">, como se muestra en la </w:t>
      </w:r>
      <w:r w:rsidRPr="00E61036">
        <w:rPr>
          <w:rFonts w:ascii="ITC Avant Garde" w:eastAsia="Calibri" w:hAnsi="ITC Avant Garde" w:cs="Times New Roman"/>
          <w:b w:val="0"/>
          <w:color w:val="auto"/>
          <w:kern w:val="2"/>
          <w:sz w:val="20"/>
          <w:szCs w:val="20"/>
          <w:lang w:val="es-MX"/>
          <w14:ligatures w14:val="standardContextual"/>
        </w:rPr>
        <w:t>tabla 18.</w:t>
      </w:r>
      <w:r w:rsidRPr="00E61036">
        <w:rPr>
          <w:noProof/>
        </w:rPr>
        <w:t xml:space="preserve"> </w:t>
      </w:r>
    </w:p>
    <w:p w14:paraId="6C161F9C" w14:textId="77777777" w:rsidR="0066403F" w:rsidRDefault="0066403F" w:rsidP="0066403F">
      <w:pPr>
        <w:spacing w:after="160" w:line="278" w:lineRule="auto"/>
        <w:jc w:val="both"/>
        <w:rPr>
          <w:rFonts w:ascii="ITC Avant Garde" w:eastAsia="Calibri" w:hAnsi="ITC Avant Garde" w:cs="Times New Roman"/>
          <w:b w:val="0"/>
          <w:color w:val="auto"/>
          <w:kern w:val="2"/>
          <w:sz w:val="20"/>
          <w:szCs w:val="20"/>
          <w:highlight w:val="yellow"/>
          <w:lang w:val="es-MX"/>
          <w14:ligatures w14:val="standardContextual"/>
        </w:rPr>
      </w:pPr>
      <w:r>
        <w:rPr>
          <w:noProof/>
        </w:rPr>
        <w:lastRenderedPageBreak/>
        <w:drawing>
          <wp:inline distT="0" distB="0" distL="0" distR="0" wp14:anchorId="202C69C2" wp14:editId="62E20B05">
            <wp:extent cx="5850890" cy="2960370"/>
            <wp:effectExtent l="0" t="0" r="16510" b="11430"/>
            <wp:docPr id="18" name="Gráfico 18">
              <a:extLst xmlns:a="http://schemas.openxmlformats.org/drawingml/2006/main">
                <a:ext uri="{FF2B5EF4-FFF2-40B4-BE49-F238E27FC236}">
                  <a16:creationId xmlns:a16="http://schemas.microsoft.com/office/drawing/2014/main" id="{89934BA0-FA8E-4E40-8AEF-60F2786D76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7C79D48"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Pr>
          <w:rFonts w:ascii="ITC Avant Garde" w:eastAsia="Calibri" w:hAnsi="ITC Avant Garde" w:cs="Times New Roman"/>
          <w:b w:val="0"/>
          <w:color w:val="auto"/>
          <w:kern w:val="2"/>
          <w:sz w:val="20"/>
          <w:szCs w:val="20"/>
          <w:lang w:val="es-MX"/>
          <w14:ligatures w14:val="standardContextual"/>
        </w:rPr>
        <w:t>Como se muestra en la tabla anterior, l</w:t>
      </w:r>
      <w:r w:rsidRPr="001C22B9">
        <w:rPr>
          <w:rFonts w:ascii="ITC Avant Garde" w:eastAsia="Calibri" w:hAnsi="ITC Avant Garde" w:cs="Times New Roman"/>
          <w:b w:val="0"/>
          <w:color w:val="auto"/>
          <w:kern w:val="2"/>
          <w:sz w:val="20"/>
          <w:szCs w:val="20"/>
          <w:lang w:val="es-MX"/>
          <w14:ligatures w14:val="standardContextual"/>
        </w:rPr>
        <w:t>os comentarios abarcan una amplia gama de temas, tales como la facilidad de uso, la accesibilidad, los tiempos de respuesta y la seguridad de la información. El análisis de esta retroalimentación se centra en cuatro áreas principales:</w:t>
      </w:r>
    </w:p>
    <w:p w14:paraId="2FE9A581" w14:textId="77777777" w:rsidR="0066403F" w:rsidRPr="001C22B9" w:rsidRDefault="0066403F" w:rsidP="0066403F">
      <w:pPr>
        <w:numPr>
          <w:ilvl w:val="0"/>
          <w:numId w:val="24"/>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Facilidad de Uso y Experiencia de Navegación</w:t>
      </w:r>
      <w:r w:rsidRPr="001C22B9">
        <w:rPr>
          <w:rFonts w:ascii="ITC Avant Garde" w:eastAsia="Calibri" w:hAnsi="ITC Avant Garde" w:cs="Times New Roman"/>
          <w:b w:val="0"/>
          <w:color w:val="auto"/>
          <w:kern w:val="2"/>
          <w:sz w:val="20"/>
          <w:szCs w:val="20"/>
          <w:lang w:val="es-MX"/>
          <w14:ligatures w14:val="standardContextual"/>
        </w:rPr>
        <w:t>: La mayoría de los comentarios positivos se relacionan con la facilidad de uso de la Ventanilla Electrónica, especialmente en la realización de trámites comunes. Sin embargo, algunas personas usuarias sugieren mejorar la navegación, especialmente en trámites menos frecuentes o más complejos.</w:t>
      </w:r>
    </w:p>
    <w:p w14:paraId="317F113E" w14:textId="77777777" w:rsidR="0066403F" w:rsidRPr="001C22B9" w:rsidRDefault="0066403F" w:rsidP="0066403F">
      <w:pPr>
        <w:numPr>
          <w:ilvl w:val="0"/>
          <w:numId w:val="24"/>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Tiempos de Respuesta y Eficiencia en la Gestión de Trámites</w:t>
      </w:r>
      <w:r w:rsidRPr="001C22B9">
        <w:rPr>
          <w:rFonts w:ascii="ITC Avant Garde" w:eastAsia="Calibri" w:hAnsi="ITC Avant Garde" w:cs="Times New Roman"/>
          <w:b w:val="0"/>
          <w:color w:val="auto"/>
          <w:kern w:val="2"/>
          <w:sz w:val="20"/>
          <w:szCs w:val="20"/>
          <w:lang w:val="es-MX"/>
          <w14:ligatures w14:val="standardContextual"/>
        </w:rPr>
        <w:t>: Los tiempos de respuesta rápidos son altamente valorados, aunque algunas personas usuarias han sugerido que ciertos trámites específicos podrían beneficiarse de una mayor eficiencia en la revisión y validación.</w:t>
      </w:r>
    </w:p>
    <w:p w14:paraId="72C54705" w14:textId="77777777" w:rsidR="0066403F" w:rsidRPr="001C22B9" w:rsidRDefault="0066403F" w:rsidP="0066403F">
      <w:pPr>
        <w:numPr>
          <w:ilvl w:val="0"/>
          <w:numId w:val="24"/>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Seguridad y Protección de Datos</w:t>
      </w:r>
      <w:r w:rsidRPr="001C22B9">
        <w:rPr>
          <w:rFonts w:ascii="ITC Avant Garde" w:eastAsia="Calibri" w:hAnsi="ITC Avant Garde" w:cs="Times New Roman"/>
          <w:b w:val="0"/>
          <w:color w:val="auto"/>
          <w:kern w:val="2"/>
          <w:sz w:val="20"/>
          <w:szCs w:val="20"/>
          <w:lang w:val="es-MX"/>
          <w14:ligatures w14:val="standardContextual"/>
        </w:rPr>
        <w:t>: La seguridad de la información es una preocupación recurrente</w:t>
      </w:r>
      <w:r>
        <w:rPr>
          <w:rFonts w:ascii="ITC Avant Garde" w:eastAsia="Calibri" w:hAnsi="ITC Avant Garde" w:cs="Times New Roman"/>
          <w:b w:val="0"/>
          <w:color w:val="auto"/>
          <w:kern w:val="2"/>
          <w:sz w:val="20"/>
          <w:szCs w:val="20"/>
          <w:lang w:val="es-MX"/>
          <w14:ligatures w14:val="standardContextual"/>
        </w:rPr>
        <w:t>, las personas usuarias</w:t>
      </w:r>
      <w:r w:rsidRPr="001C22B9">
        <w:rPr>
          <w:rFonts w:ascii="ITC Avant Garde" w:eastAsia="Calibri" w:hAnsi="ITC Avant Garde" w:cs="Times New Roman"/>
          <w:b w:val="0"/>
          <w:color w:val="auto"/>
          <w:kern w:val="2"/>
          <w:sz w:val="20"/>
          <w:szCs w:val="20"/>
          <w:lang w:val="es-MX"/>
          <w14:ligatures w14:val="standardContextual"/>
        </w:rPr>
        <w:t xml:space="preserve"> valoran las medidas de autenticación como la Firma Electrónica Avanzada, pero algunos sugieren la implementación de verificaciones adicionales para ciertos trámites de mayor sensibilidad.</w:t>
      </w:r>
    </w:p>
    <w:p w14:paraId="1542804F" w14:textId="77777777" w:rsidR="0066403F" w:rsidRPr="001C22B9" w:rsidRDefault="0066403F" w:rsidP="0066403F">
      <w:pPr>
        <w:numPr>
          <w:ilvl w:val="0"/>
          <w:numId w:val="24"/>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Soporte Técnico y Atención al Usuario</w:t>
      </w:r>
      <w:r w:rsidRPr="001C22B9">
        <w:rPr>
          <w:rFonts w:ascii="ITC Avant Garde" w:eastAsia="Calibri" w:hAnsi="ITC Avant Garde" w:cs="Times New Roman"/>
          <w:b w:val="0"/>
          <w:color w:val="auto"/>
          <w:kern w:val="2"/>
          <w:sz w:val="20"/>
          <w:szCs w:val="20"/>
          <w:lang w:val="es-MX"/>
          <w14:ligatures w14:val="standardContextual"/>
        </w:rPr>
        <w:t>: Un área común de sugerencias es la mejora en el soporte técnico y en la atención al usuario, especialmente para aquel</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que experimentan problemas técnicos o que requieren asistencia adicional para completar sus trámites.</w:t>
      </w:r>
    </w:p>
    <w:p w14:paraId="334102FC" w14:textId="77777777" w:rsidR="0066403F"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Estos comentarios reflejan el compromiso de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con la mejora de la plataforma y ofrecen al IFT una visión detallada de cómo optimizar la Ventanilla Electrónica y otros aspectos de la Estrategia de Gobierno Electrónico.</w:t>
      </w:r>
    </w:p>
    <w:p w14:paraId="601C3E6F" w14:textId="0703728A" w:rsidR="0066403F"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p>
    <w:p w14:paraId="2A4DBE6C" w14:textId="77777777" w:rsidR="00457BB3" w:rsidRPr="001C22B9" w:rsidRDefault="00457BB3"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p>
    <w:p w14:paraId="36940DB4" w14:textId="77777777" w:rsidR="0066403F" w:rsidRPr="00CD2298" w:rsidRDefault="0066403F" w:rsidP="0066403F">
      <w:pPr>
        <w:rPr>
          <w:rFonts w:ascii="ITC Avant Garde" w:eastAsia="Calibri" w:hAnsi="ITC Avant Garde" w:cs="Times New Roman"/>
          <w:color w:val="auto"/>
          <w:kern w:val="2"/>
          <w:sz w:val="22"/>
          <w:lang w:val="es-MX"/>
          <w14:ligatures w14:val="standardContextual"/>
        </w:rPr>
      </w:pPr>
      <w:bookmarkStart w:id="66" w:name="_Toc183000946"/>
      <w:r w:rsidRPr="00CD2298">
        <w:rPr>
          <w:rFonts w:ascii="ITC Avant Garde" w:eastAsia="Calibri" w:hAnsi="ITC Avant Garde" w:cs="Times New Roman"/>
          <w:color w:val="auto"/>
          <w:kern w:val="2"/>
          <w:sz w:val="22"/>
          <w:lang w:val="es-MX"/>
          <w14:ligatures w14:val="standardContextual"/>
        </w:rPr>
        <w:lastRenderedPageBreak/>
        <w:t>Identificación de Temas Recurrentes en la Retroalimentación</w:t>
      </w:r>
      <w:bookmarkEnd w:id="66"/>
    </w:p>
    <w:p w14:paraId="68DE8303" w14:textId="77777777" w:rsidR="0066403F" w:rsidRPr="00B73592" w:rsidRDefault="0066403F" w:rsidP="0066403F">
      <w:pPr>
        <w:rPr>
          <w:rFonts w:ascii="ITC Avant Garde" w:eastAsia="Calibri" w:hAnsi="ITC Avant Garde" w:cs="Times New Roman"/>
          <w:color w:val="auto"/>
          <w:kern w:val="2"/>
          <w:sz w:val="20"/>
          <w:szCs w:val="20"/>
          <w:lang w:val="es-MX"/>
          <w14:ligatures w14:val="standardContextual"/>
        </w:rPr>
      </w:pPr>
    </w:p>
    <w:p w14:paraId="3B54F503"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Los temas recurrentes en los comentarios de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w:t>
      </w:r>
      <w:r>
        <w:rPr>
          <w:rFonts w:ascii="ITC Avant Garde" w:eastAsia="Calibri" w:hAnsi="ITC Avant Garde" w:cs="Times New Roman"/>
          <w:b w:val="0"/>
          <w:color w:val="auto"/>
          <w:kern w:val="2"/>
          <w:sz w:val="20"/>
          <w:szCs w:val="20"/>
          <w:lang w:val="es-MX"/>
          <w14:ligatures w14:val="standardContextual"/>
        </w:rPr>
        <w:t>las</w:t>
      </w:r>
      <w:r w:rsidRPr="001C22B9">
        <w:rPr>
          <w:rFonts w:ascii="ITC Avant Garde" w:eastAsia="Calibri" w:hAnsi="ITC Avant Garde" w:cs="Times New Roman"/>
          <w:b w:val="0"/>
          <w:color w:val="auto"/>
          <w:kern w:val="2"/>
          <w:sz w:val="20"/>
          <w:szCs w:val="20"/>
          <w:lang w:val="es-MX"/>
          <w14:ligatures w14:val="standardContextual"/>
        </w:rPr>
        <w:t xml:space="preserve"> agrupa</w:t>
      </w:r>
      <w:r>
        <w:rPr>
          <w:rFonts w:ascii="ITC Avant Garde" w:eastAsia="Calibri" w:hAnsi="ITC Avant Garde" w:cs="Times New Roman"/>
          <w:b w:val="0"/>
          <w:color w:val="auto"/>
          <w:kern w:val="2"/>
          <w:sz w:val="20"/>
          <w:szCs w:val="20"/>
          <w:lang w:val="es-MX"/>
          <w14:ligatures w14:val="standardContextual"/>
        </w:rPr>
        <w:t>mos</w:t>
      </w:r>
      <w:r w:rsidRPr="001C22B9">
        <w:rPr>
          <w:rFonts w:ascii="ITC Avant Garde" w:eastAsia="Calibri" w:hAnsi="ITC Avant Garde" w:cs="Times New Roman"/>
          <w:b w:val="0"/>
          <w:color w:val="auto"/>
          <w:kern w:val="2"/>
          <w:sz w:val="20"/>
          <w:szCs w:val="20"/>
          <w:lang w:val="es-MX"/>
          <w14:ligatures w14:val="standardContextual"/>
        </w:rPr>
        <w:t xml:space="preserve"> en las siguientes áreas:</w:t>
      </w:r>
    </w:p>
    <w:p w14:paraId="454855A5" w14:textId="77777777" w:rsidR="0066403F" w:rsidRPr="001C22B9" w:rsidRDefault="0066403F" w:rsidP="0066403F">
      <w:pPr>
        <w:numPr>
          <w:ilvl w:val="0"/>
          <w:numId w:val="25"/>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Mejoras en la Experiencia de Usuario</w:t>
      </w:r>
      <w:r w:rsidRPr="001C22B9">
        <w:rPr>
          <w:rFonts w:ascii="ITC Avant Garde" w:eastAsia="Calibri" w:hAnsi="ITC Avant Garde" w:cs="Times New Roman"/>
          <w:b w:val="0"/>
          <w:color w:val="auto"/>
          <w:kern w:val="2"/>
          <w:sz w:val="20"/>
          <w:szCs w:val="20"/>
          <w:lang w:val="es-MX"/>
          <w14:ligatures w14:val="standardContextual"/>
        </w:rPr>
        <w:t xml:space="preserv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enfatizan la necesidad de mejorar la interfaz de la Ventanilla Electrónica, con un diseño más intuitivo y simplificado para todos los trámites</w:t>
      </w:r>
      <w:r>
        <w:rPr>
          <w:rFonts w:ascii="ITC Avant Garde" w:eastAsia="Calibri" w:hAnsi="ITC Avant Garde" w:cs="Times New Roman"/>
          <w:b w:val="0"/>
          <w:color w:val="auto"/>
          <w:kern w:val="2"/>
          <w:sz w:val="20"/>
          <w:szCs w:val="20"/>
          <w:lang w:val="es-MX"/>
          <w14:ligatures w14:val="standardContextual"/>
        </w:rPr>
        <w:t>, a</w:t>
      </w:r>
      <w:r w:rsidRPr="001C22B9">
        <w:rPr>
          <w:rFonts w:ascii="ITC Avant Garde" w:eastAsia="Calibri" w:hAnsi="ITC Avant Garde" w:cs="Times New Roman"/>
          <w:b w:val="0"/>
          <w:color w:val="auto"/>
          <w:kern w:val="2"/>
          <w:sz w:val="20"/>
          <w:szCs w:val="20"/>
          <w:lang w:val="es-MX"/>
          <w14:ligatures w14:val="standardContextual"/>
        </w:rPr>
        <w:t>unque la mayoría encuentra la plataforma fácil de usar, algunos mencionan que ciertos procesos, especialmente los que requieren varios pasos o documentación específica, podrían simplificarse aún más.</w:t>
      </w:r>
    </w:p>
    <w:p w14:paraId="030A87D1" w14:textId="77777777" w:rsidR="0066403F" w:rsidRPr="001C22B9" w:rsidRDefault="0066403F" w:rsidP="0066403F">
      <w:pPr>
        <w:numPr>
          <w:ilvl w:val="0"/>
          <w:numId w:val="25"/>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Optimización de la Carga de Documentos</w:t>
      </w:r>
      <w:r w:rsidRPr="001C22B9">
        <w:rPr>
          <w:rFonts w:ascii="ITC Avant Garde" w:eastAsia="Calibri" w:hAnsi="ITC Avant Garde" w:cs="Times New Roman"/>
          <w:b w:val="0"/>
          <w:color w:val="auto"/>
          <w:kern w:val="2"/>
          <w:sz w:val="20"/>
          <w:szCs w:val="20"/>
          <w:lang w:val="es-MX"/>
          <w14:ligatures w14:val="standardContextual"/>
        </w:rPr>
        <w:t>: Otro tema recurrente es la dificultad que enfrentan algunas personas usuarias al cargar documentos en formatos específicos o con restricciones de tamaño</w:t>
      </w:r>
      <w:r>
        <w:rPr>
          <w:rFonts w:ascii="ITC Avant Garde" w:eastAsia="Calibri" w:hAnsi="ITC Avant Garde" w:cs="Times New Roman"/>
          <w:b w:val="0"/>
          <w:color w:val="auto"/>
          <w:kern w:val="2"/>
          <w:sz w:val="20"/>
          <w:szCs w:val="20"/>
          <w:lang w:val="es-MX"/>
          <w14:ligatures w14:val="standardContextual"/>
        </w:rPr>
        <w:t>, las personas usuarias</w:t>
      </w:r>
      <w:r w:rsidRPr="001C22B9">
        <w:rPr>
          <w:rFonts w:ascii="ITC Avant Garde" w:eastAsia="Calibri" w:hAnsi="ITC Avant Garde" w:cs="Times New Roman"/>
          <w:b w:val="0"/>
          <w:color w:val="auto"/>
          <w:kern w:val="2"/>
          <w:sz w:val="20"/>
          <w:szCs w:val="20"/>
          <w:lang w:val="es-MX"/>
          <w14:ligatures w14:val="standardContextual"/>
        </w:rPr>
        <w:t xml:space="preserve"> sugieren la implementación de una función de verificación automática que asegure la compatibilidad de los archivos antes de su envío, para evitar errores y reducir el tiempo dedicado a la resolución de problemas técnicos.</w:t>
      </w:r>
    </w:p>
    <w:p w14:paraId="46090D7B" w14:textId="77777777" w:rsidR="0066403F" w:rsidRPr="001C22B9" w:rsidRDefault="0066403F" w:rsidP="0066403F">
      <w:pPr>
        <w:numPr>
          <w:ilvl w:val="0"/>
          <w:numId w:val="25"/>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Acceso a la Plataforma desde Diferentes Dispositivos</w:t>
      </w:r>
      <w:r w:rsidRPr="001C22B9">
        <w:rPr>
          <w:rFonts w:ascii="ITC Avant Garde" w:eastAsia="Calibri" w:hAnsi="ITC Avant Garde" w:cs="Times New Roman"/>
          <w:b w:val="0"/>
          <w:color w:val="auto"/>
          <w:kern w:val="2"/>
          <w:sz w:val="20"/>
          <w:szCs w:val="20"/>
          <w:lang w:val="es-MX"/>
          <w14:ligatures w14:val="standardContextual"/>
        </w:rPr>
        <w:t>: La compatibilidad de la Ventanilla Electrónica con diversos navegadores y dispositivos móviles es un tema relevante en los comentarios de las personas usuarias</w:t>
      </w:r>
      <w:r>
        <w:rPr>
          <w:rFonts w:ascii="ITC Avant Garde" w:eastAsia="Calibri" w:hAnsi="ITC Avant Garde" w:cs="Times New Roman"/>
          <w:b w:val="0"/>
          <w:color w:val="auto"/>
          <w:kern w:val="2"/>
          <w:sz w:val="20"/>
          <w:szCs w:val="20"/>
          <w:lang w:val="es-MX"/>
          <w14:ligatures w14:val="standardContextual"/>
        </w:rPr>
        <w:t>, a</w:t>
      </w:r>
      <w:r w:rsidRPr="001C22B9">
        <w:rPr>
          <w:rFonts w:ascii="ITC Avant Garde" w:eastAsia="Calibri" w:hAnsi="ITC Avant Garde" w:cs="Times New Roman"/>
          <w:b w:val="0"/>
          <w:color w:val="auto"/>
          <w:kern w:val="2"/>
          <w:sz w:val="20"/>
          <w:szCs w:val="20"/>
          <w:lang w:val="es-MX"/>
          <w14:ligatures w14:val="standardContextual"/>
        </w:rPr>
        <w:t>unque la mayoría puede acceder a la plataforma sin problemas, algunos reportan dificultades en dispositivos menos comunes. La optimización de la compatibilidad con una variedad de dispositivos mejoraría la accesibilidad para todas las personas usuarias.</w:t>
      </w:r>
    </w:p>
    <w:p w14:paraId="6456F622" w14:textId="77777777" w:rsidR="0066403F" w:rsidRPr="001C22B9" w:rsidRDefault="0066403F" w:rsidP="0066403F">
      <w:pPr>
        <w:numPr>
          <w:ilvl w:val="0"/>
          <w:numId w:val="25"/>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Claridad en las Instrucciones y la Comunicación</w:t>
      </w:r>
      <w:r w:rsidRPr="001C22B9">
        <w:rPr>
          <w:rFonts w:ascii="ITC Avant Garde" w:eastAsia="Calibri" w:hAnsi="ITC Avant Garde" w:cs="Times New Roman"/>
          <w:b w:val="0"/>
          <w:color w:val="auto"/>
          <w:kern w:val="2"/>
          <w:sz w:val="20"/>
          <w:szCs w:val="20"/>
          <w:lang w:val="es-MX"/>
          <w14:ligatures w14:val="standardContextual"/>
        </w:rPr>
        <w:t xml:space="preserv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han señalado que en ciertos trámites sería útil contar con instrucciones más claras y detalladas. Esto sugiere que el IFT podría implementar recursos adicionales, como videos tutoriales o guías paso a paso, que faciliten el entendimiento y la ejecución de cada trámite.</w:t>
      </w:r>
    </w:p>
    <w:p w14:paraId="772D6E02"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Estas tendencias en la retroalimentación proporcionan una visión integral de las experiencias de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y destacan áreas específicas donde el IFT puede realizar mejoras significativas para satisfacer mejor las necesidades de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w:t>
      </w:r>
    </w:p>
    <w:p w14:paraId="24E24601" w14:textId="77777777" w:rsidR="0066403F" w:rsidRPr="00B73592" w:rsidRDefault="0066403F" w:rsidP="0066403F">
      <w:pPr>
        <w:rPr>
          <w:rFonts w:ascii="ITC Avant Garde" w:eastAsia="Calibri" w:hAnsi="ITC Avant Garde" w:cs="Times New Roman"/>
          <w:color w:val="auto"/>
          <w:kern w:val="2"/>
          <w:sz w:val="20"/>
          <w:szCs w:val="20"/>
          <w:lang w:val="es-MX"/>
          <w14:ligatures w14:val="standardContextual"/>
        </w:rPr>
      </w:pPr>
      <w:bookmarkStart w:id="67" w:name="_Toc183000947"/>
      <w:r w:rsidRPr="00CD2298">
        <w:rPr>
          <w:rFonts w:ascii="ITC Avant Garde" w:eastAsia="Calibri" w:hAnsi="ITC Avant Garde" w:cs="Times New Roman"/>
          <w:color w:val="auto"/>
          <w:kern w:val="2"/>
          <w:sz w:val="22"/>
          <w:szCs w:val="20"/>
          <w:lang w:val="es-MX"/>
          <w14:ligatures w14:val="standardContextual"/>
        </w:rPr>
        <w:t xml:space="preserve">Ejemplos de Áreas de Mejora Señaladas por los </w:t>
      </w:r>
      <w:bookmarkEnd w:id="67"/>
      <w:r>
        <w:rPr>
          <w:rFonts w:ascii="ITC Avant Garde" w:eastAsia="Calibri" w:hAnsi="ITC Avant Garde" w:cs="Times New Roman"/>
          <w:color w:val="auto"/>
          <w:kern w:val="2"/>
          <w:sz w:val="22"/>
          <w:szCs w:val="20"/>
          <w:lang w:val="es-MX"/>
          <w14:ligatures w14:val="standardContextual"/>
        </w:rPr>
        <w:t>Personas usuarias</w:t>
      </w:r>
    </w:p>
    <w:p w14:paraId="17A450D5" w14:textId="77777777" w:rsidR="0066403F" w:rsidRPr="00B73592" w:rsidRDefault="0066403F" w:rsidP="0066403F">
      <w:pPr>
        <w:rPr>
          <w:rFonts w:ascii="ITC Avant Garde" w:eastAsia="Calibri" w:hAnsi="ITC Avant Garde" w:cs="Times New Roman"/>
          <w:color w:val="auto"/>
          <w:kern w:val="2"/>
          <w:sz w:val="20"/>
          <w:szCs w:val="20"/>
          <w:lang w:val="es-MX"/>
          <w14:ligatures w14:val="standardContextual"/>
        </w:rPr>
      </w:pPr>
    </w:p>
    <w:p w14:paraId="15BDC543"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La retroalimentación de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incluye sugerencias concretas que ofrecen al IFT recomendaciones prácticas para mejorar la Ventanilla Electrónica y la Estrategia de Gobierno Electrónico en general. A continuación, se presentan algunos ejemplos representativos de las áreas de mejora señaladas por las personas usuarias:</w:t>
      </w:r>
    </w:p>
    <w:p w14:paraId="2C455290" w14:textId="77777777" w:rsidR="0066403F" w:rsidRPr="001C22B9" w:rsidRDefault="0066403F" w:rsidP="0066403F">
      <w:pPr>
        <w:numPr>
          <w:ilvl w:val="0"/>
          <w:numId w:val="26"/>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Implementación de un Sistema de Asistencia en Tiempo Real</w:t>
      </w:r>
      <w:r w:rsidRPr="001C22B9">
        <w:rPr>
          <w:rFonts w:ascii="ITC Avant Garde" w:eastAsia="Calibri" w:hAnsi="ITC Avant Garde" w:cs="Times New Roman"/>
          <w:b w:val="0"/>
          <w:color w:val="auto"/>
          <w:kern w:val="2"/>
          <w:sz w:val="20"/>
          <w:szCs w:val="20"/>
          <w:lang w:val="es-MX"/>
          <w14:ligatures w14:val="standardContextual"/>
        </w:rPr>
        <w:t>: Algunas personas usuarias han sugerido que un sistema de asistencia en línea, como un chat en vivo o un servicio de atención telefónica, podría ayudar a resolver problemas rápidamente, especialmente para aquel</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que necesitan apoyo inmediato al realizar un trámite complejo.</w:t>
      </w:r>
    </w:p>
    <w:p w14:paraId="7A7D3321" w14:textId="77777777" w:rsidR="0066403F" w:rsidRPr="001C22B9" w:rsidRDefault="0066403F" w:rsidP="0066403F">
      <w:pPr>
        <w:numPr>
          <w:ilvl w:val="0"/>
          <w:numId w:val="26"/>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Optimización de Trámites Complejos</w:t>
      </w:r>
      <w:r w:rsidRPr="001C22B9">
        <w:rPr>
          <w:rFonts w:ascii="ITC Avant Garde" w:eastAsia="Calibri" w:hAnsi="ITC Avant Garde" w:cs="Times New Roman"/>
          <w:b w:val="0"/>
          <w:color w:val="auto"/>
          <w:kern w:val="2"/>
          <w:sz w:val="20"/>
          <w:szCs w:val="20"/>
          <w:lang w:val="es-MX"/>
          <w14:ligatures w14:val="standardContextual"/>
        </w:rPr>
        <w:t xml:space="preserv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han mencionado que ciertos trámites de alta complejidad podrían beneficiarse de una simplificación</w:t>
      </w:r>
      <w:r>
        <w:rPr>
          <w:rFonts w:ascii="ITC Avant Garde" w:eastAsia="Calibri" w:hAnsi="ITC Avant Garde" w:cs="Times New Roman"/>
          <w:b w:val="0"/>
          <w:color w:val="auto"/>
          <w:kern w:val="2"/>
          <w:sz w:val="20"/>
          <w:szCs w:val="20"/>
          <w:lang w:val="es-MX"/>
          <w14:ligatures w14:val="standardContextual"/>
        </w:rPr>
        <w:t xml:space="preserve">, lo cual </w:t>
      </w:r>
      <w:r w:rsidRPr="001C22B9">
        <w:rPr>
          <w:rFonts w:ascii="ITC Avant Garde" w:eastAsia="Calibri" w:hAnsi="ITC Avant Garde" w:cs="Times New Roman"/>
          <w:b w:val="0"/>
          <w:color w:val="auto"/>
          <w:kern w:val="2"/>
          <w:sz w:val="20"/>
          <w:szCs w:val="20"/>
          <w:lang w:val="es-MX"/>
          <w14:ligatures w14:val="standardContextual"/>
        </w:rPr>
        <w:t xml:space="preserve">incluye </w:t>
      </w:r>
      <w:r w:rsidRPr="001C22B9">
        <w:rPr>
          <w:rFonts w:ascii="ITC Avant Garde" w:eastAsia="Calibri" w:hAnsi="ITC Avant Garde" w:cs="Times New Roman"/>
          <w:b w:val="0"/>
          <w:color w:val="auto"/>
          <w:kern w:val="2"/>
          <w:sz w:val="20"/>
          <w:szCs w:val="20"/>
          <w:lang w:val="es-MX"/>
          <w14:ligatures w14:val="standardContextual"/>
        </w:rPr>
        <w:lastRenderedPageBreak/>
        <w:t>reducir los pasos necesarios o consolidar la información requerida para estos trámites, de manera que resulten menos complicados y más accesibles para todas las personas usuarias.</w:t>
      </w:r>
    </w:p>
    <w:p w14:paraId="301F6A82" w14:textId="77777777" w:rsidR="0066403F" w:rsidRPr="001C22B9" w:rsidRDefault="0066403F" w:rsidP="0066403F">
      <w:pPr>
        <w:numPr>
          <w:ilvl w:val="0"/>
          <w:numId w:val="26"/>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Recordatorios y Notificaciones Automáticas</w:t>
      </w:r>
      <w:r w:rsidRPr="001C22B9">
        <w:rPr>
          <w:rFonts w:ascii="ITC Avant Garde" w:eastAsia="Calibri" w:hAnsi="ITC Avant Garde" w:cs="Times New Roman"/>
          <w:b w:val="0"/>
          <w:color w:val="auto"/>
          <w:kern w:val="2"/>
          <w:sz w:val="20"/>
          <w:szCs w:val="20"/>
          <w:lang w:val="es-MX"/>
          <w14:ligatures w14:val="standardContextual"/>
        </w:rPr>
        <w:t>: Una sugerencia frecuente es la implementación de recordatorios y notificaciones automáticas sobre el estado de los trámites</w:t>
      </w:r>
      <w:r>
        <w:rPr>
          <w:rFonts w:ascii="ITC Avant Garde" w:eastAsia="Calibri" w:hAnsi="ITC Avant Garde" w:cs="Times New Roman"/>
          <w:b w:val="0"/>
          <w:color w:val="auto"/>
          <w:kern w:val="2"/>
          <w:sz w:val="20"/>
          <w:szCs w:val="20"/>
          <w:lang w:val="es-MX"/>
          <w14:ligatures w14:val="standardContextual"/>
        </w:rPr>
        <w:t>, dicha</w:t>
      </w:r>
      <w:r w:rsidRPr="001C22B9">
        <w:rPr>
          <w:rFonts w:ascii="ITC Avant Garde" w:eastAsia="Calibri" w:hAnsi="ITC Avant Garde" w:cs="Times New Roman"/>
          <w:b w:val="0"/>
          <w:color w:val="auto"/>
          <w:kern w:val="2"/>
          <w:sz w:val="20"/>
          <w:szCs w:val="20"/>
          <w:lang w:val="es-MX"/>
          <w14:ligatures w14:val="standardContextual"/>
        </w:rPr>
        <w:t xml:space="preserve"> funcionalidad permitiría a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mantenerse informados sobre el progreso de su trámite y les brindaría una mayor seguridad de que su gestión está en curso.</w:t>
      </w:r>
    </w:p>
    <w:p w14:paraId="4045B7E5" w14:textId="77777777" w:rsidR="0066403F" w:rsidRPr="001C22B9" w:rsidRDefault="0066403F" w:rsidP="0066403F">
      <w:pPr>
        <w:numPr>
          <w:ilvl w:val="0"/>
          <w:numId w:val="26"/>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Ampliación de Opciones de Accesibilidad</w:t>
      </w:r>
      <w:r w:rsidRPr="001C22B9">
        <w:rPr>
          <w:rFonts w:ascii="ITC Avant Garde" w:eastAsia="Calibri" w:hAnsi="ITC Avant Garde" w:cs="Times New Roman"/>
          <w:b w:val="0"/>
          <w:color w:val="auto"/>
          <w:kern w:val="2"/>
          <w:sz w:val="20"/>
          <w:szCs w:val="20"/>
          <w:lang w:val="es-MX"/>
          <w14:ligatures w14:val="standardContextual"/>
        </w:rPr>
        <w:t>: Algunas personas usuarias han propuesto la inclusión de opciones de accesibilidad, tales como ajuste de tamaño de texto, alto contraste y compatibilidad con lectores de pantalla. Estas características son esenciales para asegurar que personas con discapacidad puedan acceder a la Ventanilla Electrónica sin barreras.</w:t>
      </w:r>
    </w:p>
    <w:p w14:paraId="4DACAEA6"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Estas sugerencias ofrecen una dirección clara para la mejora de la plataforma y la Estrategia de Gobierno Electrónico, alineándose con las mejores prácticas de accesibilidad y experiencia de usuario en servicios digitales.</w:t>
      </w:r>
    </w:p>
    <w:p w14:paraId="74B4E3B4" w14:textId="77777777" w:rsidR="0066403F" w:rsidRPr="00CD2298" w:rsidRDefault="0066403F" w:rsidP="0066403F">
      <w:pPr>
        <w:rPr>
          <w:rFonts w:ascii="ITC Avant Garde" w:eastAsia="Calibri" w:hAnsi="ITC Avant Garde" w:cs="Times New Roman"/>
          <w:color w:val="auto"/>
          <w:kern w:val="2"/>
          <w:sz w:val="22"/>
          <w:szCs w:val="20"/>
          <w:lang w:val="es-MX"/>
          <w14:ligatures w14:val="standardContextual"/>
        </w:rPr>
      </w:pPr>
      <w:bookmarkStart w:id="68" w:name="_Toc183000948"/>
      <w:r w:rsidRPr="00CD2298">
        <w:rPr>
          <w:rFonts w:ascii="ITC Avant Garde" w:eastAsia="Calibri" w:hAnsi="ITC Avant Garde" w:cs="Times New Roman"/>
          <w:color w:val="auto"/>
          <w:kern w:val="2"/>
          <w:sz w:val="22"/>
          <w:szCs w:val="20"/>
          <w:lang w:val="es-MX"/>
          <w14:ligatures w14:val="standardContextual"/>
        </w:rPr>
        <w:t>Estrategias de Mejora Basadas en la Retroalimentación Recibida</w:t>
      </w:r>
      <w:bookmarkEnd w:id="68"/>
    </w:p>
    <w:p w14:paraId="5A906294" w14:textId="77777777" w:rsidR="0066403F" w:rsidRPr="00B73592" w:rsidRDefault="0066403F" w:rsidP="0066403F">
      <w:pPr>
        <w:rPr>
          <w:rFonts w:ascii="ITC Avant Garde" w:eastAsia="Calibri" w:hAnsi="ITC Avant Garde" w:cs="Times New Roman"/>
          <w:color w:val="auto"/>
          <w:kern w:val="2"/>
          <w:sz w:val="20"/>
          <w:szCs w:val="20"/>
          <w:lang w:val="es-MX"/>
          <w14:ligatures w14:val="standardContextual"/>
        </w:rPr>
      </w:pPr>
    </w:p>
    <w:p w14:paraId="7022C112"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Para implementar mejoras efectivas en la Ventanilla Electrónica y en la Estrategia de Gobierno Electrónico, el IFT puede considerar las siguientes estrategias basadas en la retroalimentación de las personas usuarias:</w:t>
      </w:r>
    </w:p>
    <w:p w14:paraId="0055D2AB" w14:textId="77777777" w:rsidR="0066403F" w:rsidRPr="001C22B9" w:rsidRDefault="0066403F" w:rsidP="0066403F">
      <w:pPr>
        <w:numPr>
          <w:ilvl w:val="0"/>
          <w:numId w:val="27"/>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Desarrollo de un Centro de Ayuda Integral</w:t>
      </w:r>
      <w:r w:rsidRPr="001C22B9">
        <w:rPr>
          <w:rFonts w:ascii="ITC Avant Garde" w:eastAsia="Calibri" w:hAnsi="ITC Avant Garde" w:cs="Times New Roman"/>
          <w:b w:val="0"/>
          <w:color w:val="auto"/>
          <w:kern w:val="2"/>
          <w:sz w:val="20"/>
          <w:szCs w:val="20"/>
          <w:lang w:val="es-MX"/>
          <w14:ligatures w14:val="standardContextual"/>
        </w:rPr>
        <w:t xml:space="preserve">: Crear un centro de ayuda integral que incluya preguntas frecuentes, tutoriales en video y guías paso a paso para cada trámite. Esto facilitaría el acceso a información útil para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y reduciría la dependencia de soporte técnico para problemas comunes.</w:t>
      </w:r>
    </w:p>
    <w:p w14:paraId="777F98CC" w14:textId="77777777" w:rsidR="0066403F" w:rsidRPr="001C22B9" w:rsidRDefault="0066403F" w:rsidP="0066403F">
      <w:pPr>
        <w:numPr>
          <w:ilvl w:val="0"/>
          <w:numId w:val="27"/>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Simplificación y Estandarización de Trámites</w:t>
      </w:r>
      <w:r w:rsidRPr="001C22B9">
        <w:rPr>
          <w:rFonts w:ascii="ITC Avant Garde" w:eastAsia="Calibri" w:hAnsi="ITC Avant Garde" w:cs="Times New Roman"/>
          <w:b w:val="0"/>
          <w:color w:val="auto"/>
          <w:kern w:val="2"/>
          <w:sz w:val="20"/>
          <w:szCs w:val="20"/>
          <w:lang w:val="es-MX"/>
          <w14:ligatures w14:val="standardContextual"/>
        </w:rPr>
        <w:t xml:space="preserve">: Simplificar y estandarizar los trámites más complejos mediante la eliminación de pasos redundantes y la consolidación de formularios. Esto ayudaría a reducir el tiempo necesario para completar estos trámites y mejoraría la experiencia de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que realizan procesos complejos.</w:t>
      </w:r>
    </w:p>
    <w:p w14:paraId="7515D087" w14:textId="77777777" w:rsidR="0066403F" w:rsidRPr="001C22B9" w:rsidRDefault="0066403F" w:rsidP="0066403F">
      <w:pPr>
        <w:numPr>
          <w:ilvl w:val="0"/>
          <w:numId w:val="27"/>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Aumento de Opciones de Personalización en la Plataforma</w:t>
      </w:r>
      <w:r w:rsidRPr="001C22B9">
        <w:rPr>
          <w:rFonts w:ascii="ITC Avant Garde" w:eastAsia="Calibri" w:hAnsi="ITC Avant Garde" w:cs="Times New Roman"/>
          <w:b w:val="0"/>
          <w:color w:val="auto"/>
          <w:kern w:val="2"/>
          <w:sz w:val="20"/>
          <w:szCs w:val="20"/>
          <w:lang w:val="es-MX"/>
          <w14:ligatures w14:val="standardContextual"/>
        </w:rPr>
        <w:t xml:space="preserve">: Implementar opciones que permitan a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personalizar su experiencia, como guardar datos de trámites recurrentes o recibir notificaciones personalizadas</w:t>
      </w:r>
      <w:r>
        <w:rPr>
          <w:rFonts w:ascii="ITC Avant Garde" w:eastAsia="Calibri" w:hAnsi="ITC Avant Garde" w:cs="Times New Roman"/>
          <w:b w:val="0"/>
          <w:color w:val="auto"/>
          <w:kern w:val="2"/>
          <w:sz w:val="20"/>
          <w:szCs w:val="20"/>
          <w:lang w:val="es-MX"/>
          <w14:ligatures w14:val="standardContextual"/>
        </w:rPr>
        <w:t>, dicha opción</w:t>
      </w:r>
      <w:r w:rsidRPr="001C22B9">
        <w:rPr>
          <w:rFonts w:ascii="ITC Avant Garde" w:eastAsia="Calibri" w:hAnsi="ITC Avant Garde" w:cs="Times New Roman"/>
          <w:b w:val="0"/>
          <w:color w:val="auto"/>
          <w:kern w:val="2"/>
          <w:sz w:val="20"/>
          <w:szCs w:val="20"/>
          <w:lang w:val="es-MX"/>
          <w14:ligatures w14:val="standardContextual"/>
        </w:rPr>
        <w:t xml:space="preserve"> proporcionaría una experiencia más adaptada a las necesidades de cada usuario y mejoraría la satisfacción general.</w:t>
      </w:r>
    </w:p>
    <w:p w14:paraId="60EDD463" w14:textId="77777777" w:rsidR="0066403F" w:rsidRPr="001C22B9" w:rsidRDefault="0066403F" w:rsidP="0066403F">
      <w:pPr>
        <w:numPr>
          <w:ilvl w:val="0"/>
          <w:numId w:val="27"/>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Integración de un Sistema de Retroalimentación Continua</w:t>
      </w:r>
      <w:r w:rsidRPr="001C22B9">
        <w:rPr>
          <w:rFonts w:ascii="ITC Avant Garde" w:eastAsia="Calibri" w:hAnsi="ITC Avant Garde" w:cs="Times New Roman"/>
          <w:b w:val="0"/>
          <w:color w:val="auto"/>
          <w:kern w:val="2"/>
          <w:sz w:val="20"/>
          <w:szCs w:val="20"/>
          <w:lang w:val="es-MX"/>
          <w14:ligatures w14:val="standardContextual"/>
        </w:rPr>
        <w:t xml:space="preserve">: Un sistema que permita a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proporcionar retroalimentación en tiempo real sobre sus experiencias en la plataforma facilitaría la identificación de problemas y permitiría al IFT realizar ajustes inmediatos en función de las necesidades cambiantes de las personas usuarias.</w:t>
      </w:r>
    </w:p>
    <w:p w14:paraId="1EF9B1DC"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La retroalimentación y sugerencias de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proporcionan una valiosa perspectiva sobre la efectividad de la Ventanilla Electrónica y la Estrategia de Gobierno Electrónico</w:t>
      </w:r>
      <w:r>
        <w:rPr>
          <w:rFonts w:ascii="ITC Avant Garde" w:eastAsia="Calibri" w:hAnsi="ITC Avant Garde" w:cs="Times New Roman"/>
          <w:b w:val="0"/>
          <w:color w:val="auto"/>
          <w:kern w:val="2"/>
          <w:sz w:val="20"/>
          <w:szCs w:val="20"/>
          <w:lang w:val="es-MX"/>
          <w14:ligatures w14:val="standardContextual"/>
        </w:rPr>
        <w:t>, l</w:t>
      </w:r>
      <w:r w:rsidRPr="001C22B9">
        <w:rPr>
          <w:rFonts w:ascii="ITC Avant Garde" w:eastAsia="Calibri" w:hAnsi="ITC Avant Garde" w:cs="Times New Roman"/>
          <w:b w:val="0"/>
          <w:color w:val="auto"/>
          <w:kern w:val="2"/>
          <w:sz w:val="20"/>
          <w:szCs w:val="20"/>
          <w:lang w:val="es-MX"/>
          <w14:ligatures w14:val="standardContextual"/>
        </w:rPr>
        <w:t>os comentarios</w:t>
      </w:r>
      <w:r>
        <w:rPr>
          <w:rFonts w:ascii="ITC Avant Garde" w:eastAsia="Calibri" w:hAnsi="ITC Avant Garde" w:cs="Times New Roman"/>
          <w:b w:val="0"/>
          <w:color w:val="auto"/>
          <w:kern w:val="2"/>
          <w:sz w:val="20"/>
          <w:szCs w:val="20"/>
          <w:lang w:val="es-MX"/>
          <w14:ligatures w14:val="standardContextual"/>
        </w:rPr>
        <w:t xml:space="preserve"> proporcionados</w:t>
      </w:r>
      <w:r w:rsidRPr="001C22B9">
        <w:rPr>
          <w:rFonts w:ascii="ITC Avant Garde" w:eastAsia="Calibri" w:hAnsi="ITC Avant Garde" w:cs="Times New Roman"/>
          <w:b w:val="0"/>
          <w:color w:val="auto"/>
          <w:kern w:val="2"/>
          <w:sz w:val="20"/>
          <w:szCs w:val="20"/>
          <w:lang w:val="es-MX"/>
          <w14:ligatures w14:val="standardContextual"/>
        </w:rPr>
        <w:t xml:space="preserve"> reflejan una experiencia mayormente positiva, </w:t>
      </w:r>
      <w:r w:rsidRPr="001C22B9">
        <w:rPr>
          <w:rFonts w:ascii="ITC Avant Garde" w:eastAsia="Calibri" w:hAnsi="ITC Avant Garde" w:cs="Times New Roman"/>
          <w:b w:val="0"/>
          <w:color w:val="auto"/>
          <w:kern w:val="2"/>
          <w:sz w:val="20"/>
          <w:szCs w:val="20"/>
          <w:lang w:val="es-MX"/>
          <w14:ligatures w14:val="standardContextual"/>
        </w:rPr>
        <w:lastRenderedPageBreak/>
        <w:t>pero también identifican áreas de mejora que, si se abordan, pueden elevar la satisfacción del usuario y fortalecer la eficiencia de los trámites.</w:t>
      </w:r>
    </w:p>
    <w:p w14:paraId="6C28FADE"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Para el IFT, la implementación de estas sugerencias representa una oportunidad para fortalecer su estrategia de Gobierno Electrónico, optimizando tanto la accesibilidad y usabilidad de la Ventanilla Electrónica como la percepción de seguridad y eficiencia de los servicios ofrecidos. Este enfoque centrado en el usuario no solo contribuirá a mejorar la experiencia de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actuales, sino que también posicionará al IFT como una institución proactiva y alineada con los estándares internacionales de accesibilidad y experiencia de usuario.</w:t>
      </w:r>
    </w:p>
    <w:p w14:paraId="7B2D0E75"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Con una estrategia de mejora basada en la retroalimentación, el IFT puede consolidar la Ventanilla Electrónica y la Estrategia de Gobierno Electrónico como herramientas confiables y eficientes, asegurando que las necesidades y expectativas de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se encuentren en el centro de su desarrollo tecnológico y regulatorio.</w:t>
      </w:r>
    </w:p>
    <w:p w14:paraId="0A90896E" w14:textId="77777777" w:rsidR="0066403F" w:rsidRPr="00CD2298" w:rsidRDefault="0066403F" w:rsidP="0066403F">
      <w:pPr>
        <w:pStyle w:val="Prrafodelista"/>
        <w:keepNext/>
        <w:keepLines/>
        <w:numPr>
          <w:ilvl w:val="0"/>
          <w:numId w:val="41"/>
        </w:numPr>
        <w:spacing w:before="240" w:line="278" w:lineRule="auto"/>
        <w:jc w:val="both"/>
        <w:outlineLvl w:val="0"/>
        <w:rPr>
          <w:rFonts w:ascii="ITC Avant Garde" w:eastAsia="Times New Roman" w:hAnsi="ITC Avant Garde" w:cs="Times New Roman"/>
          <w:color w:val="auto"/>
          <w:kern w:val="2"/>
          <w:sz w:val="24"/>
          <w:szCs w:val="32"/>
          <w:lang w:val="es-MX"/>
          <w14:ligatures w14:val="standardContextual"/>
        </w:rPr>
      </w:pPr>
      <w:bookmarkStart w:id="69" w:name="_Toc185357324"/>
      <w:bookmarkStart w:id="70" w:name="_Toc185358252"/>
      <w:bookmarkStart w:id="71" w:name="_Toc185358506"/>
      <w:bookmarkStart w:id="72" w:name="_Toc183000950"/>
      <w:r w:rsidRPr="00493260">
        <w:rPr>
          <w:rFonts w:ascii="ITC Avant Garde" w:eastAsia="Times New Roman" w:hAnsi="ITC Avant Garde" w:cs="Times New Roman"/>
          <w:color w:val="auto"/>
          <w:kern w:val="2"/>
          <w:sz w:val="24"/>
          <w:szCs w:val="32"/>
          <w:lang w:val="es-MX"/>
          <w14:ligatures w14:val="standardContextual"/>
        </w:rPr>
        <w:t>Resumen de las Encuestas Recibidas por Trimestre</w:t>
      </w:r>
      <w:r w:rsidRPr="00CD2298">
        <w:rPr>
          <w:rFonts w:ascii="ITC Avant Garde" w:eastAsia="Times New Roman" w:hAnsi="ITC Avant Garde" w:cs="Times New Roman"/>
          <w:color w:val="auto"/>
          <w:kern w:val="2"/>
          <w:sz w:val="24"/>
          <w:szCs w:val="32"/>
          <w:lang w:val="es-MX"/>
          <w14:ligatures w14:val="standardContextual"/>
        </w:rPr>
        <w:t>s</w:t>
      </w:r>
      <w:bookmarkEnd w:id="69"/>
      <w:bookmarkEnd w:id="70"/>
      <w:bookmarkEnd w:id="71"/>
      <w:r w:rsidRPr="00CD2298">
        <w:rPr>
          <w:rFonts w:ascii="ITC Avant Garde" w:eastAsia="Times New Roman" w:hAnsi="ITC Avant Garde" w:cs="Times New Roman"/>
          <w:color w:val="auto"/>
          <w:kern w:val="2"/>
          <w:sz w:val="24"/>
          <w:szCs w:val="32"/>
          <w:lang w:val="es-MX"/>
          <w14:ligatures w14:val="standardContextual"/>
        </w:rPr>
        <w:t xml:space="preserve"> </w:t>
      </w:r>
    </w:p>
    <w:p w14:paraId="65F4FC3A" w14:textId="77777777" w:rsidR="0066403F" w:rsidRDefault="0066403F" w:rsidP="0066403F">
      <w:pPr>
        <w:rPr>
          <w:rFonts w:ascii="ITC Avant Garde" w:eastAsia="Calibri" w:hAnsi="ITC Avant Garde" w:cs="Times New Roman"/>
          <w:color w:val="auto"/>
          <w:kern w:val="2"/>
          <w:sz w:val="20"/>
          <w:szCs w:val="20"/>
          <w:lang w:val="es-MX"/>
          <w14:ligatures w14:val="standardContextual"/>
        </w:rPr>
      </w:pPr>
      <w:bookmarkStart w:id="73" w:name="_Toc183000951"/>
      <w:bookmarkEnd w:id="72"/>
    </w:p>
    <w:bookmarkEnd w:id="73"/>
    <w:p w14:paraId="027D30EA"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El análisis de las encuestas de satisfacción y percepción ciudadana de la Ventanilla Electrónica del </w:t>
      </w:r>
      <w:r>
        <w:rPr>
          <w:rFonts w:ascii="ITC Avant Garde" w:eastAsia="Calibri" w:hAnsi="ITC Avant Garde" w:cs="Times New Roman"/>
          <w:b w:val="0"/>
          <w:color w:val="auto"/>
          <w:kern w:val="2"/>
          <w:sz w:val="20"/>
          <w:szCs w:val="20"/>
          <w:lang w:val="es-MX"/>
          <w14:ligatures w14:val="standardContextual"/>
        </w:rPr>
        <w:t>IFT,</w:t>
      </w:r>
      <w:r w:rsidRPr="001C22B9">
        <w:rPr>
          <w:rFonts w:ascii="ITC Avant Garde" w:eastAsia="Calibri" w:hAnsi="ITC Avant Garde" w:cs="Times New Roman"/>
          <w:b w:val="0"/>
          <w:color w:val="auto"/>
          <w:kern w:val="2"/>
          <w:sz w:val="20"/>
          <w:szCs w:val="20"/>
          <w:lang w:val="es-MX"/>
          <w14:ligatures w14:val="standardContextual"/>
        </w:rPr>
        <w:t xml:space="preserve"> permite observar la evolución de la satisfacción y detectar cambios en la percepción del servicio a lo largo del tiempo. Durante el período de análisis, que abarca los años 2023 y 2024, se recopilaron datos en encuestas trimestrales que capturan la experiencia y el nivel de satisfacción de las personas usuarias.</w:t>
      </w:r>
    </w:p>
    <w:p w14:paraId="17CA2D71"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En total, se han recopilado respuestas de más de 5,000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xml:space="preserve"> a lo largo de estos trimestres</w:t>
      </w:r>
      <w:r>
        <w:rPr>
          <w:rFonts w:ascii="ITC Avant Garde" w:eastAsia="Calibri" w:hAnsi="ITC Avant Garde" w:cs="Times New Roman"/>
          <w:b w:val="0"/>
          <w:color w:val="auto"/>
          <w:kern w:val="2"/>
          <w:sz w:val="20"/>
          <w:szCs w:val="20"/>
          <w:lang w:val="es-MX"/>
          <w14:ligatures w14:val="standardContextual"/>
        </w:rPr>
        <w:t>, dicho</w:t>
      </w:r>
      <w:r w:rsidRPr="001C22B9">
        <w:rPr>
          <w:rFonts w:ascii="ITC Avant Garde" w:eastAsia="Calibri" w:hAnsi="ITC Avant Garde" w:cs="Times New Roman"/>
          <w:b w:val="0"/>
          <w:color w:val="auto"/>
          <w:kern w:val="2"/>
          <w:sz w:val="20"/>
          <w:szCs w:val="20"/>
          <w:lang w:val="es-MX"/>
          <w14:ligatures w14:val="standardContextual"/>
        </w:rPr>
        <w:t xml:space="preserve"> volumen de datos permite identificar patrones de comportamiento y evaluar cómo las mejoras implementadas en la Ventanilla Electrónica han afectado la experiencia de las personas usuarias</w:t>
      </w:r>
      <w:r>
        <w:rPr>
          <w:rFonts w:ascii="ITC Avant Garde" w:eastAsia="Calibri" w:hAnsi="ITC Avant Garde" w:cs="Times New Roman"/>
          <w:b w:val="0"/>
          <w:color w:val="auto"/>
          <w:kern w:val="2"/>
          <w:sz w:val="20"/>
          <w:szCs w:val="20"/>
          <w:lang w:val="es-MX"/>
          <w14:ligatures w14:val="standardContextual"/>
        </w:rPr>
        <w:t>, a</w:t>
      </w:r>
      <w:r w:rsidRPr="001C22B9">
        <w:rPr>
          <w:rFonts w:ascii="ITC Avant Garde" w:eastAsia="Calibri" w:hAnsi="ITC Avant Garde" w:cs="Times New Roman"/>
          <w:b w:val="0"/>
          <w:color w:val="auto"/>
          <w:kern w:val="2"/>
          <w:sz w:val="20"/>
          <w:szCs w:val="20"/>
          <w:lang w:val="es-MX"/>
          <w14:ligatures w14:val="standardContextual"/>
        </w:rPr>
        <w:t xml:space="preserve"> continuación, se presenta un desglose por trimestre:</w:t>
      </w:r>
    </w:p>
    <w:p w14:paraId="423E16E1" w14:textId="77777777" w:rsidR="0066403F" w:rsidRPr="001C22B9" w:rsidRDefault="0066403F" w:rsidP="0066403F">
      <w:pPr>
        <w:numPr>
          <w:ilvl w:val="0"/>
          <w:numId w:val="28"/>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Primer Trimestre</w:t>
      </w:r>
      <w:r w:rsidRPr="001C22B9">
        <w:rPr>
          <w:rFonts w:ascii="ITC Avant Garde" w:eastAsia="Calibri" w:hAnsi="ITC Avant Garde" w:cs="Times New Roman"/>
          <w:b w:val="0"/>
          <w:color w:val="auto"/>
          <w:kern w:val="2"/>
          <w:sz w:val="20"/>
          <w:szCs w:val="20"/>
          <w:lang w:val="es-MX"/>
          <w14:ligatures w14:val="standardContextual"/>
        </w:rPr>
        <w:t xml:space="preserve">: Este período suele registrar un alto número de encuestas debido al inicio del ciclo operativo del IFT, cuando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comienzan nuevos trámites o renuevan los existentes</w:t>
      </w:r>
      <w:r>
        <w:rPr>
          <w:rFonts w:ascii="ITC Avant Garde" w:eastAsia="Calibri" w:hAnsi="ITC Avant Garde" w:cs="Times New Roman"/>
          <w:b w:val="0"/>
          <w:color w:val="auto"/>
          <w:kern w:val="2"/>
          <w:sz w:val="20"/>
          <w:szCs w:val="20"/>
          <w:lang w:val="es-MX"/>
          <w14:ligatures w14:val="standardContextual"/>
        </w:rPr>
        <w:t>, l</w:t>
      </w:r>
      <w:r w:rsidRPr="001C22B9">
        <w:rPr>
          <w:rFonts w:ascii="ITC Avant Garde" w:eastAsia="Calibri" w:hAnsi="ITC Avant Garde" w:cs="Times New Roman"/>
          <w:b w:val="0"/>
          <w:color w:val="auto"/>
          <w:kern w:val="2"/>
          <w:sz w:val="20"/>
          <w:szCs w:val="20"/>
          <w:lang w:val="es-MX"/>
          <w14:ligatures w14:val="standardContextual"/>
        </w:rPr>
        <w:t>a satisfacción en este trimestre tiende a ser alta, especialmente después de la implementación de actualizaciones anuales de la plataforma.</w:t>
      </w:r>
    </w:p>
    <w:p w14:paraId="63008383" w14:textId="77777777" w:rsidR="0066403F" w:rsidRPr="001C22B9" w:rsidRDefault="0066403F" w:rsidP="0066403F">
      <w:pPr>
        <w:numPr>
          <w:ilvl w:val="0"/>
          <w:numId w:val="28"/>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Segundo y Tercer Trimestre</w:t>
      </w:r>
      <w:r w:rsidRPr="001C22B9">
        <w:rPr>
          <w:rFonts w:ascii="ITC Avant Garde" w:eastAsia="Calibri" w:hAnsi="ITC Avant Garde" w:cs="Times New Roman"/>
          <w:b w:val="0"/>
          <w:color w:val="auto"/>
          <w:kern w:val="2"/>
          <w:sz w:val="20"/>
          <w:szCs w:val="20"/>
          <w:lang w:val="es-MX"/>
          <w14:ligatures w14:val="standardContextual"/>
        </w:rPr>
        <w:t xml:space="preserve">: Estos trimestres mantienen niveles constantes de satisfacción, aunque se observa una leve disminución en la cantidad de encuestas recibidas, probablemente porque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ya están familiarizadas con la plataforma</w:t>
      </w:r>
      <w:r>
        <w:rPr>
          <w:rFonts w:ascii="ITC Avant Garde" w:eastAsia="Calibri" w:hAnsi="ITC Avant Garde" w:cs="Times New Roman"/>
          <w:b w:val="0"/>
          <w:color w:val="auto"/>
          <w:kern w:val="2"/>
          <w:sz w:val="20"/>
          <w:szCs w:val="20"/>
          <w:lang w:val="es-MX"/>
          <w14:ligatures w14:val="standardContextual"/>
        </w:rPr>
        <w:t>, l</w:t>
      </w:r>
      <w:r w:rsidRPr="001C22B9">
        <w:rPr>
          <w:rFonts w:ascii="ITC Avant Garde" w:eastAsia="Calibri" w:hAnsi="ITC Avant Garde" w:cs="Times New Roman"/>
          <w:b w:val="0"/>
          <w:color w:val="auto"/>
          <w:kern w:val="2"/>
          <w:sz w:val="20"/>
          <w:szCs w:val="20"/>
          <w:lang w:val="es-MX"/>
          <w14:ligatures w14:val="standardContextual"/>
        </w:rPr>
        <w:t>as variaciones en satisfacción suelen estar relacionadas con la capacidad de la plataforma para manejar una mayor demanda de ciertos servicios, como consultas y trámites administrativos.</w:t>
      </w:r>
    </w:p>
    <w:p w14:paraId="25C22743" w14:textId="77777777" w:rsidR="0066403F" w:rsidRPr="001C22B9" w:rsidRDefault="0066403F" w:rsidP="0066403F">
      <w:pPr>
        <w:numPr>
          <w:ilvl w:val="0"/>
          <w:numId w:val="28"/>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Cuarto Trimestre</w:t>
      </w:r>
      <w:r w:rsidRPr="001C22B9">
        <w:rPr>
          <w:rFonts w:ascii="ITC Avant Garde" w:eastAsia="Calibri" w:hAnsi="ITC Avant Garde" w:cs="Times New Roman"/>
          <w:b w:val="0"/>
          <w:color w:val="auto"/>
          <w:kern w:val="2"/>
          <w:sz w:val="20"/>
          <w:szCs w:val="20"/>
          <w:lang w:val="es-MX"/>
          <w14:ligatures w14:val="standardContextual"/>
        </w:rPr>
        <w:t>: Este período suele reflejar los niveles de satisfacción más bajos en comparación con otros trimestres. La demanda de trámites tiende a aumentar al cierre del año, lo cual puede sobrecargar la plataforma y generar tiempos de espera más largos. Este patrón sugiere la necesidad de un enfoque reforzado para manejar la alta demanda en este trimestre específico.</w:t>
      </w:r>
    </w:p>
    <w:p w14:paraId="2468F3AF"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La recopilación de encuestas por trimestre permite al IFT planificar mejoras continuas en función de la carga de trabajo y anticipar posibles necesidades de optimización, especialmente en el cuarto trimestre de cada año.</w:t>
      </w:r>
    </w:p>
    <w:p w14:paraId="695938D8"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lastRenderedPageBreak/>
        <w:t xml:space="preserve">El análisis de las tendencias históricas muestra la evolución de la satisfacción de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en áreas clave como facilidad de uso, seguridad y tiempos de respuesta</w:t>
      </w:r>
      <w:r>
        <w:rPr>
          <w:rFonts w:ascii="ITC Avant Garde" w:eastAsia="Calibri" w:hAnsi="ITC Avant Garde" w:cs="Times New Roman"/>
          <w:b w:val="0"/>
          <w:color w:val="auto"/>
          <w:kern w:val="2"/>
          <w:sz w:val="20"/>
          <w:szCs w:val="20"/>
          <w:lang w:val="es-MX"/>
          <w14:ligatures w14:val="standardContextual"/>
        </w:rPr>
        <w:t>, dichas</w:t>
      </w:r>
      <w:r w:rsidRPr="001C22B9">
        <w:rPr>
          <w:rFonts w:ascii="ITC Avant Garde" w:eastAsia="Calibri" w:hAnsi="ITC Avant Garde" w:cs="Times New Roman"/>
          <w:b w:val="0"/>
          <w:color w:val="auto"/>
          <w:kern w:val="2"/>
          <w:sz w:val="20"/>
          <w:szCs w:val="20"/>
          <w:lang w:val="es-MX"/>
          <w14:ligatures w14:val="standardContextual"/>
        </w:rPr>
        <w:t xml:space="preserve"> métricas reflejan el impacto de las mejoras implementadas y proporcionan una visión general de cómo la percepción del servicio ha cambiado a lo largo del tiempo.</w:t>
      </w:r>
    </w:p>
    <w:p w14:paraId="1EE6A01F" w14:textId="77777777" w:rsidR="0066403F" w:rsidRPr="001C22B9" w:rsidRDefault="0066403F" w:rsidP="0066403F">
      <w:pPr>
        <w:numPr>
          <w:ilvl w:val="0"/>
          <w:numId w:val="29"/>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Satisfacción General</w:t>
      </w:r>
      <w:r w:rsidRPr="001C22B9">
        <w:rPr>
          <w:rFonts w:ascii="ITC Avant Garde" w:eastAsia="Calibri" w:hAnsi="ITC Avant Garde" w:cs="Times New Roman"/>
          <w:b w:val="0"/>
          <w:color w:val="auto"/>
          <w:kern w:val="2"/>
          <w:sz w:val="20"/>
          <w:szCs w:val="20"/>
          <w:lang w:val="es-MX"/>
          <w14:ligatures w14:val="standardContextual"/>
        </w:rPr>
        <w:t>: La satisfacción general muestra una tendencia positiva en los dos años</w:t>
      </w:r>
      <w:r>
        <w:rPr>
          <w:rFonts w:ascii="ITC Avant Garde" w:eastAsia="Calibri" w:hAnsi="ITC Avant Garde" w:cs="Times New Roman"/>
          <w:b w:val="0"/>
          <w:color w:val="auto"/>
          <w:kern w:val="2"/>
          <w:sz w:val="20"/>
          <w:szCs w:val="20"/>
          <w:lang w:val="es-MX"/>
          <w14:ligatures w14:val="standardContextual"/>
        </w:rPr>
        <w:t xml:space="preserve"> en que se ha implementado la encuesta de satisfacción, ya que a</w:t>
      </w:r>
      <w:r w:rsidRPr="001C22B9">
        <w:rPr>
          <w:rFonts w:ascii="ITC Avant Garde" w:eastAsia="Calibri" w:hAnsi="ITC Avant Garde" w:cs="Times New Roman"/>
          <w:b w:val="0"/>
          <w:color w:val="auto"/>
          <w:kern w:val="2"/>
          <w:sz w:val="20"/>
          <w:szCs w:val="20"/>
          <w:lang w:val="es-MX"/>
          <w14:ligatures w14:val="standardContextual"/>
        </w:rPr>
        <w:t xml:space="preserve"> principios de 2023, la satisfacción promedio era del 70%, mientras que a finales de 2024 ha alcanzado el 80%. Este incremento se atribuye a la optimización de la interfaz y a las actualizaciones en la capacidad de respuesta de la plataforma, que han facilitado la realización de trámites comunes</w:t>
      </w:r>
      <w:r>
        <w:rPr>
          <w:rFonts w:ascii="ITC Avant Garde" w:eastAsia="Calibri" w:hAnsi="ITC Avant Garde" w:cs="Times New Roman"/>
          <w:b w:val="0"/>
          <w:color w:val="auto"/>
          <w:kern w:val="2"/>
          <w:sz w:val="20"/>
          <w:szCs w:val="20"/>
          <w:lang w:val="es-MX"/>
          <w14:ligatures w14:val="standardContextual"/>
        </w:rPr>
        <w:t>.</w:t>
      </w:r>
    </w:p>
    <w:p w14:paraId="10997D16" w14:textId="77777777" w:rsidR="0066403F" w:rsidRPr="001C22B9" w:rsidRDefault="0066403F" w:rsidP="0066403F">
      <w:pPr>
        <w:numPr>
          <w:ilvl w:val="0"/>
          <w:numId w:val="29"/>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Percepción de Seguridad</w:t>
      </w:r>
      <w:r w:rsidRPr="001C22B9">
        <w:rPr>
          <w:rFonts w:ascii="ITC Avant Garde" w:eastAsia="Calibri" w:hAnsi="ITC Avant Garde" w:cs="Times New Roman"/>
          <w:b w:val="0"/>
          <w:color w:val="auto"/>
          <w:kern w:val="2"/>
          <w:sz w:val="20"/>
          <w:szCs w:val="20"/>
          <w:lang w:val="es-MX"/>
          <w14:ligatures w14:val="standardContextual"/>
        </w:rPr>
        <w:t xml:space="preserve">: La seguridad ha sido un aspecto clave en la percepción de las personas usuarias. Durante 2023, la percepción de seguridad se mantenía en un 65% de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xml:space="preserve"> que se sentían “muy seguros” o “seguros” al utilizar la Ventanilla Electrónica. Para 2024, este porcentaje ha subido al 75%, gracias a la implementación de protocolos adicionales de autenticación y a la actualización de los sistemas de protección de datos.</w:t>
      </w:r>
    </w:p>
    <w:p w14:paraId="6B6074D4" w14:textId="77777777" w:rsidR="0066403F" w:rsidRDefault="0066403F" w:rsidP="0066403F">
      <w:pPr>
        <w:numPr>
          <w:ilvl w:val="0"/>
          <w:numId w:val="29"/>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Tiempos de Respuesta</w:t>
      </w:r>
      <w:r w:rsidRPr="001C22B9">
        <w:rPr>
          <w:rFonts w:ascii="ITC Avant Garde" w:eastAsia="Calibri" w:hAnsi="ITC Avant Garde" w:cs="Times New Roman"/>
          <w:b w:val="0"/>
          <w:color w:val="auto"/>
          <w:kern w:val="2"/>
          <w:sz w:val="20"/>
          <w:szCs w:val="20"/>
          <w:lang w:val="es-MX"/>
          <w14:ligatures w14:val="standardContextual"/>
        </w:rPr>
        <w:t>: Los tiempos de respuesta muestran una notable mejora a lo largo de los dos años de análisis. En el primer trimestre de 2023, el tiempo promedio de respuesta era de 15 minutos por trámite. Para el tercer trimestre de 2024, este tiempo se redujo a un promedio de 8 minutos. La optimización de procesos internos y la incorporación de herramientas de automatización han sido factores determinantes en esta reducción, mejorando así la experiencia del usuario</w:t>
      </w:r>
      <w:r>
        <w:rPr>
          <w:rFonts w:ascii="ITC Avant Garde" w:eastAsia="Calibri" w:hAnsi="ITC Avant Garde" w:cs="Times New Roman"/>
          <w:b w:val="0"/>
          <w:color w:val="auto"/>
          <w:kern w:val="2"/>
          <w:sz w:val="20"/>
          <w:szCs w:val="20"/>
          <w:lang w:val="es-MX"/>
          <w14:ligatures w14:val="standardContextual"/>
        </w:rPr>
        <w:t xml:space="preserve"> como se muestra en la tabla 19</w:t>
      </w:r>
      <w:r w:rsidRPr="001C22B9">
        <w:rPr>
          <w:rFonts w:ascii="ITC Avant Garde" w:eastAsia="Calibri" w:hAnsi="ITC Avant Garde" w:cs="Times New Roman"/>
          <w:b w:val="0"/>
          <w:color w:val="auto"/>
          <w:kern w:val="2"/>
          <w:sz w:val="20"/>
          <w:szCs w:val="20"/>
          <w:lang w:val="es-MX"/>
          <w14:ligatures w14:val="standardContextual"/>
        </w:rPr>
        <w:t>.</w:t>
      </w:r>
    </w:p>
    <w:p w14:paraId="6E6EDFED" w14:textId="77777777" w:rsidR="0066403F" w:rsidRPr="001C22B9" w:rsidRDefault="0066403F" w:rsidP="0066403F">
      <w:pPr>
        <w:spacing w:after="160" w:line="278" w:lineRule="auto"/>
        <w:ind w:left="720"/>
        <w:jc w:val="both"/>
        <w:rPr>
          <w:rFonts w:ascii="ITC Avant Garde" w:eastAsia="Calibri" w:hAnsi="ITC Avant Garde" w:cs="Times New Roman"/>
          <w:b w:val="0"/>
          <w:color w:val="auto"/>
          <w:kern w:val="2"/>
          <w:sz w:val="20"/>
          <w:szCs w:val="20"/>
          <w:lang w:val="es-MX"/>
          <w14:ligatures w14:val="standardContextual"/>
        </w:rPr>
      </w:pPr>
      <w:r>
        <w:rPr>
          <w:noProof/>
        </w:rPr>
        <w:drawing>
          <wp:inline distT="0" distB="0" distL="0" distR="0" wp14:anchorId="14CDACF7" wp14:editId="317133A8">
            <wp:extent cx="5410200" cy="3095625"/>
            <wp:effectExtent l="0" t="0" r="0" b="9525"/>
            <wp:docPr id="17" name="Gráfico 17">
              <a:extLst xmlns:a="http://schemas.openxmlformats.org/drawingml/2006/main">
                <a:ext uri="{FF2B5EF4-FFF2-40B4-BE49-F238E27FC236}">
                  <a16:creationId xmlns:a16="http://schemas.microsoft.com/office/drawing/2014/main" id="{64502D71-A883-4ED6-857D-9E736344D5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E916B21"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Estas tendencias positivas demuestran el impacto de las mejoras continuas y reafirman la efectividad de las acciones tomadas por el IFT para aumentar la satisfacción y confianza de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en la Ventanilla Electrónica.</w:t>
      </w:r>
    </w:p>
    <w:p w14:paraId="1BC79759"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lastRenderedPageBreak/>
        <w:t xml:space="preserve">El análisis comparativo entre distintos trimestres revela que los cambios en la percepción de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están estrechamente vinculados a las mejoras implementadas en la plataforma y a la gestión de la demanda en ciertos períodos clave</w:t>
      </w:r>
      <w:r>
        <w:rPr>
          <w:rFonts w:ascii="ITC Avant Garde" w:eastAsia="Calibri" w:hAnsi="ITC Avant Garde" w:cs="Times New Roman"/>
          <w:b w:val="0"/>
          <w:color w:val="auto"/>
          <w:kern w:val="2"/>
          <w:sz w:val="20"/>
          <w:szCs w:val="20"/>
          <w:lang w:val="es-MX"/>
          <w14:ligatures w14:val="standardContextual"/>
        </w:rPr>
        <w:t>, l</w:t>
      </w:r>
      <w:r w:rsidRPr="001C22B9">
        <w:rPr>
          <w:rFonts w:ascii="ITC Avant Garde" w:eastAsia="Calibri" w:hAnsi="ITC Avant Garde" w:cs="Times New Roman"/>
          <w:b w:val="0"/>
          <w:color w:val="auto"/>
          <w:kern w:val="2"/>
          <w:sz w:val="20"/>
          <w:szCs w:val="20"/>
          <w:lang w:val="es-MX"/>
          <w14:ligatures w14:val="standardContextual"/>
        </w:rPr>
        <w:t>as áreas de percepción que han mostrado un cambio significativo incluyen:</w:t>
      </w:r>
    </w:p>
    <w:p w14:paraId="5305FA50" w14:textId="77777777" w:rsidR="0066403F" w:rsidRDefault="0066403F" w:rsidP="0066403F">
      <w:pPr>
        <w:numPr>
          <w:ilvl w:val="0"/>
          <w:numId w:val="30"/>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Facilidad de Uso</w:t>
      </w:r>
      <w:r w:rsidRPr="001C22B9">
        <w:rPr>
          <w:rFonts w:ascii="ITC Avant Garde" w:eastAsia="Calibri" w:hAnsi="ITC Avant Garde" w:cs="Times New Roman"/>
          <w:b w:val="0"/>
          <w:color w:val="auto"/>
          <w:kern w:val="2"/>
          <w:sz w:val="20"/>
          <w:szCs w:val="20"/>
          <w:lang w:val="es-MX"/>
          <w14:ligatures w14:val="standardContextual"/>
        </w:rPr>
        <w:t xml:space="preserve">: La percepción sobre la facilidad de uso ha mejorado de manera constante, pasando de un 68% de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xml:space="preserve"> satisfechos en 2023 a un 82% en 2024. Esta mejora refleja el impacto positivo de la simplificación de trámites y de la interfaz, que ahora es más intuitiva y accesible para las personas usuarias. Las mejoras en la usabilidad han permitido una experiencia más fluida, especialmente en trámites de alta demanda.</w:t>
      </w:r>
    </w:p>
    <w:p w14:paraId="2760A5C2" w14:textId="77777777" w:rsidR="0066403F" w:rsidRPr="00B73592" w:rsidRDefault="0066403F" w:rsidP="0066403F">
      <w:pPr>
        <w:numPr>
          <w:ilvl w:val="0"/>
          <w:numId w:val="30"/>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B73592">
        <w:rPr>
          <w:rFonts w:ascii="ITC Avant Garde" w:eastAsia="Calibri" w:hAnsi="ITC Avant Garde" w:cs="Times New Roman"/>
          <w:color w:val="auto"/>
          <w:kern w:val="2"/>
          <w:sz w:val="20"/>
          <w:szCs w:val="20"/>
          <w:lang w:val="es-MX"/>
          <w14:ligatures w14:val="standardContextual"/>
        </w:rPr>
        <w:t>Accesibilidad en Diversos Dispositivos:</w:t>
      </w:r>
      <w:r w:rsidRPr="00B73592">
        <w:rPr>
          <w:rFonts w:ascii="ITC Avant Garde" w:eastAsia="Calibri" w:hAnsi="ITC Avant Garde" w:cs="Times New Roman"/>
          <w:b w:val="0"/>
          <w:color w:val="auto"/>
          <w:kern w:val="2"/>
          <w:sz w:val="20"/>
          <w:szCs w:val="20"/>
          <w:lang w:val="es-MX"/>
          <w14:ligatures w14:val="standardContextual"/>
        </w:rPr>
        <w:t xml:space="preserve"> La compatibilidad con dispositivos móviles y navegadores ha sido un factor clave en la percepción de accesibilidad de la plataforma. En 2023, solo el 60% de </w:t>
      </w:r>
      <w:r>
        <w:rPr>
          <w:rFonts w:ascii="ITC Avant Garde" w:eastAsia="Calibri" w:hAnsi="ITC Avant Garde" w:cs="Times New Roman"/>
          <w:b w:val="0"/>
          <w:color w:val="auto"/>
          <w:kern w:val="2"/>
          <w:sz w:val="20"/>
          <w:szCs w:val="20"/>
          <w:lang w:val="es-MX"/>
          <w14:ligatures w14:val="standardContextual"/>
        </w:rPr>
        <w:t>las personas usuarias</w:t>
      </w:r>
      <w:r w:rsidRPr="00B73592">
        <w:rPr>
          <w:rFonts w:ascii="ITC Avant Garde" w:eastAsia="Calibri" w:hAnsi="ITC Avant Garde" w:cs="Times New Roman"/>
          <w:b w:val="0"/>
          <w:color w:val="auto"/>
          <w:kern w:val="2"/>
          <w:sz w:val="20"/>
          <w:szCs w:val="20"/>
          <w:lang w:val="es-MX"/>
          <w14:ligatures w14:val="standardContextual"/>
        </w:rPr>
        <w:t xml:space="preserve"> reportaba una experiencia positiva en términos de accesibilidad en múltiples dispositivos, pero este porcentaje aumentó al 78% en 2024 gracias a actualizaciones en la compatibilidad técnica</w:t>
      </w:r>
      <w:r>
        <w:rPr>
          <w:rFonts w:ascii="ITC Avant Garde" w:eastAsia="Calibri" w:hAnsi="ITC Avant Garde" w:cs="Times New Roman"/>
          <w:b w:val="0"/>
          <w:color w:val="auto"/>
          <w:kern w:val="2"/>
          <w:sz w:val="20"/>
          <w:szCs w:val="20"/>
          <w:lang w:val="es-MX"/>
          <w14:ligatures w14:val="standardContextual"/>
        </w:rPr>
        <w:t>, e</w:t>
      </w:r>
      <w:r w:rsidRPr="00B73592">
        <w:rPr>
          <w:rFonts w:ascii="ITC Avant Garde" w:eastAsia="Calibri" w:hAnsi="ITC Avant Garde" w:cs="Times New Roman"/>
          <w:b w:val="0"/>
          <w:color w:val="auto"/>
          <w:kern w:val="2"/>
          <w:sz w:val="20"/>
          <w:szCs w:val="20"/>
          <w:lang w:val="es-MX"/>
          <w14:ligatures w14:val="standardContextual"/>
        </w:rPr>
        <w:t xml:space="preserve">ste cambio ha permitido que más </w:t>
      </w:r>
      <w:r>
        <w:rPr>
          <w:rFonts w:ascii="ITC Avant Garde" w:eastAsia="Calibri" w:hAnsi="ITC Avant Garde" w:cs="Times New Roman"/>
          <w:b w:val="0"/>
          <w:color w:val="auto"/>
          <w:kern w:val="2"/>
          <w:sz w:val="20"/>
          <w:szCs w:val="20"/>
          <w:lang w:val="es-MX"/>
          <w14:ligatures w14:val="standardContextual"/>
        </w:rPr>
        <w:t>personas usuarias</w:t>
      </w:r>
      <w:r w:rsidRPr="00B73592">
        <w:rPr>
          <w:rFonts w:ascii="ITC Avant Garde" w:eastAsia="Calibri" w:hAnsi="ITC Avant Garde" w:cs="Times New Roman"/>
          <w:b w:val="0"/>
          <w:color w:val="auto"/>
          <w:kern w:val="2"/>
          <w:sz w:val="20"/>
          <w:szCs w:val="20"/>
          <w:lang w:val="es-MX"/>
          <w14:ligatures w14:val="standardContextual"/>
        </w:rPr>
        <w:t xml:space="preserve"> puedan acceder a la plataforma de manera conveniente y sin barreras técnicas.</w:t>
      </w:r>
    </w:p>
    <w:p w14:paraId="41C3BD06" w14:textId="77777777" w:rsidR="0066403F" w:rsidRPr="001C22B9" w:rsidRDefault="0066403F" w:rsidP="0066403F">
      <w:pPr>
        <w:numPr>
          <w:ilvl w:val="0"/>
          <w:numId w:val="30"/>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Eficiencia Operativa</w:t>
      </w:r>
      <w:r w:rsidRPr="001C22B9">
        <w:rPr>
          <w:rFonts w:ascii="ITC Avant Garde" w:eastAsia="Calibri" w:hAnsi="ITC Avant Garde" w:cs="Times New Roman"/>
          <w:b w:val="0"/>
          <w:color w:val="auto"/>
          <w:kern w:val="2"/>
          <w:sz w:val="20"/>
          <w:szCs w:val="20"/>
          <w:lang w:val="es-MX"/>
          <w14:ligatures w14:val="standardContextual"/>
        </w:rPr>
        <w:t xml:space="preserve">: La percepción de eficiencia ha mejorado notablemente, especialmente en trámites administrativos. En 2023, el 65% de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consideraba que la Ventanilla Electrónica era eficiente en la gestión de trámites</w:t>
      </w:r>
      <w:r>
        <w:rPr>
          <w:rFonts w:ascii="ITC Avant Garde" w:eastAsia="Calibri" w:hAnsi="ITC Avant Garde" w:cs="Times New Roman"/>
          <w:b w:val="0"/>
          <w:color w:val="auto"/>
          <w:kern w:val="2"/>
          <w:sz w:val="20"/>
          <w:szCs w:val="20"/>
          <w:lang w:val="es-MX"/>
          <w14:ligatures w14:val="standardContextual"/>
        </w:rPr>
        <w:t>, p</w:t>
      </w:r>
      <w:r w:rsidRPr="001C22B9">
        <w:rPr>
          <w:rFonts w:ascii="ITC Avant Garde" w:eastAsia="Calibri" w:hAnsi="ITC Avant Garde" w:cs="Times New Roman"/>
          <w:b w:val="0"/>
          <w:color w:val="auto"/>
          <w:kern w:val="2"/>
          <w:sz w:val="20"/>
          <w:szCs w:val="20"/>
          <w:lang w:val="es-MX"/>
          <w14:ligatures w14:val="standardContextual"/>
        </w:rPr>
        <w:t>ara 2024, este porcentaje se incrementó al 85%, reflejando la efectividad de las mejoras en los tiempos de respuesta y en la capacidad de procesamiento de la plataforma.</w:t>
      </w:r>
    </w:p>
    <w:p w14:paraId="0D3755D7"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Este análisis de cambios en la percepción revela una correlación directa entre las mejoras técnicas y el aumento en la satisfacción y confianza de las personas usuarias</w:t>
      </w:r>
      <w:r>
        <w:rPr>
          <w:rFonts w:ascii="ITC Avant Garde" w:eastAsia="Calibri" w:hAnsi="ITC Avant Garde" w:cs="Times New Roman"/>
          <w:b w:val="0"/>
          <w:color w:val="auto"/>
          <w:kern w:val="2"/>
          <w:sz w:val="20"/>
          <w:szCs w:val="20"/>
          <w:lang w:val="es-MX"/>
          <w14:ligatures w14:val="standardContextual"/>
        </w:rPr>
        <w:t>, l</w:t>
      </w:r>
      <w:r w:rsidRPr="001C22B9">
        <w:rPr>
          <w:rFonts w:ascii="ITC Avant Garde" w:eastAsia="Calibri" w:hAnsi="ITC Avant Garde" w:cs="Times New Roman"/>
          <w:b w:val="0"/>
          <w:color w:val="auto"/>
          <w:kern w:val="2"/>
          <w:sz w:val="20"/>
          <w:szCs w:val="20"/>
          <w:lang w:val="es-MX"/>
          <w14:ligatures w14:val="standardContextual"/>
        </w:rPr>
        <w:t>os resultados demuestran que las inversiones en optimización y actualización de la plataforma han generado un impacto positivo en la experiencia de las personas usuarias, consolidando la Ventanilla Electrónica como una herramienta confiable y eficiente.</w:t>
      </w:r>
    </w:p>
    <w:p w14:paraId="1EE4D799" w14:textId="77777777" w:rsidR="0066403F" w:rsidRPr="00CD2298" w:rsidRDefault="0066403F" w:rsidP="0066403F">
      <w:pPr>
        <w:rPr>
          <w:rFonts w:ascii="ITC Avant Garde" w:eastAsia="Calibri" w:hAnsi="ITC Avant Garde" w:cs="Times New Roman"/>
          <w:color w:val="auto"/>
          <w:kern w:val="2"/>
          <w:sz w:val="22"/>
          <w:szCs w:val="20"/>
          <w:lang w:val="es-MX"/>
          <w14:ligatures w14:val="standardContextual"/>
        </w:rPr>
      </w:pPr>
      <w:bookmarkStart w:id="74" w:name="_Toc183000954"/>
      <w:r w:rsidRPr="00CD2298">
        <w:rPr>
          <w:rFonts w:ascii="ITC Avant Garde" w:eastAsia="Calibri" w:hAnsi="ITC Avant Garde" w:cs="Times New Roman"/>
          <w:color w:val="auto"/>
          <w:kern w:val="2"/>
          <w:sz w:val="22"/>
          <w:szCs w:val="20"/>
          <w:lang w:val="es-MX"/>
          <w14:ligatures w14:val="standardContextual"/>
        </w:rPr>
        <w:t xml:space="preserve">Estrategias </w:t>
      </w:r>
      <w:r>
        <w:rPr>
          <w:rFonts w:ascii="ITC Avant Garde" w:eastAsia="Calibri" w:hAnsi="ITC Avant Garde" w:cs="Times New Roman"/>
          <w:color w:val="auto"/>
          <w:kern w:val="2"/>
          <w:sz w:val="22"/>
          <w:szCs w:val="20"/>
          <w:lang w:val="es-MX"/>
          <w14:ligatures w14:val="standardContextual"/>
        </w:rPr>
        <w:t>f</w:t>
      </w:r>
      <w:r w:rsidRPr="00CD2298">
        <w:rPr>
          <w:rFonts w:ascii="ITC Avant Garde" w:eastAsia="Calibri" w:hAnsi="ITC Avant Garde" w:cs="Times New Roman"/>
          <w:color w:val="auto"/>
          <w:kern w:val="2"/>
          <w:sz w:val="22"/>
          <w:szCs w:val="20"/>
          <w:lang w:val="es-MX"/>
          <w14:ligatures w14:val="standardContextual"/>
        </w:rPr>
        <w:t xml:space="preserve">uturas </w:t>
      </w:r>
      <w:r>
        <w:rPr>
          <w:rFonts w:ascii="ITC Avant Garde" w:eastAsia="Calibri" w:hAnsi="ITC Avant Garde" w:cs="Times New Roman"/>
          <w:color w:val="auto"/>
          <w:kern w:val="2"/>
          <w:sz w:val="22"/>
          <w:szCs w:val="20"/>
          <w:lang w:val="es-MX"/>
          <w14:ligatures w14:val="standardContextual"/>
        </w:rPr>
        <w:t>b</w:t>
      </w:r>
      <w:r w:rsidRPr="00CD2298">
        <w:rPr>
          <w:rFonts w:ascii="ITC Avant Garde" w:eastAsia="Calibri" w:hAnsi="ITC Avant Garde" w:cs="Times New Roman"/>
          <w:color w:val="auto"/>
          <w:kern w:val="2"/>
          <w:sz w:val="22"/>
          <w:szCs w:val="20"/>
          <w:lang w:val="es-MX"/>
          <w14:ligatures w14:val="standardContextual"/>
        </w:rPr>
        <w:t xml:space="preserve">asadas en las </w:t>
      </w:r>
      <w:r>
        <w:rPr>
          <w:rFonts w:ascii="ITC Avant Garde" w:eastAsia="Calibri" w:hAnsi="ITC Avant Garde" w:cs="Times New Roman"/>
          <w:color w:val="auto"/>
          <w:kern w:val="2"/>
          <w:sz w:val="22"/>
          <w:szCs w:val="20"/>
          <w:lang w:val="es-MX"/>
          <w14:ligatures w14:val="standardContextual"/>
        </w:rPr>
        <w:t>t</w:t>
      </w:r>
      <w:r w:rsidRPr="00CD2298">
        <w:rPr>
          <w:rFonts w:ascii="ITC Avant Garde" w:eastAsia="Calibri" w:hAnsi="ITC Avant Garde" w:cs="Times New Roman"/>
          <w:color w:val="auto"/>
          <w:kern w:val="2"/>
          <w:sz w:val="22"/>
          <w:szCs w:val="20"/>
          <w:lang w:val="es-MX"/>
          <w14:ligatures w14:val="standardContextual"/>
        </w:rPr>
        <w:t xml:space="preserve">endencias </w:t>
      </w:r>
      <w:bookmarkEnd w:id="74"/>
      <w:r>
        <w:rPr>
          <w:rFonts w:ascii="ITC Avant Garde" w:eastAsia="Calibri" w:hAnsi="ITC Avant Garde" w:cs="Times New Roman"/>
          <w:color w:val="auto"/>
          <w:kern w:val="2"/>
          <w:sz w:val="22"/>
          <w:szCs w:val="20"/>
          <w:lang w:val="es-MX"/>
          <w14:ligatures w14:val="standardContextual"/>
        </w:rPr>
        <w:t>presentadas</w:t>
      </w:r>
    </w:p>
    <w:p w14:paraId="4C2FCECA" w14:textId="77777777" w:rsidR="0066403F" w:rsidRPr="00B73592" w:rsidRDefault="0066403F" w:rsidP="0066403F">
      <w:pPr>
        <w:rPr>
          <w:rFonts w:ascii="ITC Avant Garde" w:eastAsia="Calibri" w:hAnsi="ITC Avant Garde" w:cs="Times New Roman"/>
          <w:color w:val="auto"/>
          <w:kern w:val="2"/>
          <w:sz w:val="20"/>
          <w:szCs w:val="20"/>
          <w:lang w:val="es-MX"/>
          <w14:ligatures w14:val="standardContextual"/>
        </w:rPr>
      </w:pPr>
    </w:p>
    <w:p w14:paraId="611CFCCA" w14:textId="77777777" w:rsidR="0066403F"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Con base en los hallazgos del análisis </w:t>
      </w:r>
      <w:r>
        <w:rPr>
          <w:rFonts w:ascii="ITC Avant Garde" w:eastAsia="Calibri" w:hAnsi="ITC Avant Garde" w:cs="Times New Roman"/>
          <w:b w:val="0"/>
          <w:color w:val="auto"/>
          <w:kern w:val="2"/>
          <w:sz w:val="20"/>
          <w:szCs w:val="20"/>
          <w:lang w:val="es-MX"/>
          <w14:ligatures w14:val="standardContextual"/>
        </w:rPr>
        <w:t>presentado</w:t>
      </w:r>
      <w:r w:rsidRPr="001C22B9">
        <w:rPr>
          <w:rFonts w:ascii="ITC Avant Garde" w:eastAsia="Calibri" w:hAnsi="ITC Avant Garde" w:cs="Times New Roman"/>
          <w:b w:val="0"/>
          <w:color w:val="auto"/>
          <w:kern w:val="2"/>
          <w:sz w:val="20"/>
          <w:szCs w:val="20"/>
          <w:lang w:val="es-MX"/>
          <w14:ligatures w14:val="standardContextual"/>
        </w:rPr>
        <w:t xml:space="preserve">, el IFT puede implementar estrategias orientadas a consolidar las mejoras y a asegurar que la Ventanilla Electrónica continúe satisfaciendo las necesidades de sus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xml:space="preserve">. </w:t>
      </w:r>
    </w:p>
    <w:p w14:paraId="301AB051"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Las siguientes estrategias se proponen para capitalizar las tendencias positivas y abordar las áreas con margen de mejora:</w:t>
      </w:r>
    </w:p>
    <w:p w14:paraId="0AEAF297" w14:textId="77777777" w:rsidR="0066403F" w:rsidRPr="001C22B9" w:rsidRDefault="0066403F" w:rsidP="0066403F">
      <w:pPr>
        <w:numPr>
          <w:ilvl w:val="0"/>
          <w:numId w:val="31"/>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Refuerzo de Recursos en el Cuarto Trimestre</w:t>
      </w:r>
      <w:r w:rsidRPr="001C22B9">
        <w:rPr>
          <w:rFonts w:ascii="ITC Avant Garde" w:eastAsia="Calibri" w:hAnsi="ITC Avant Garde" w:cs="Times New Roman"/>
          <w:b w:val="0"/>
          <w:color w:val="auto"/>
          <w:kern w:val="2"/>
          <w:sz w:val="20"/>
          <w:szCs w:val="20"/>
          <w:lang w:val="es-MX"/>
          <w14:ligatures w14:val="standardContextual"/>
        </w:rPr>
        <w:t>: Dado que el cuarto trimestre presenta una mayor demanda y niveles de satisfacción relativamente bajos, se recomienda incrementar los recursos y la capacidad de respuesta de la plataforma durante este período</w:t>
      </w:r>
      <w:r>
        <w:rPr>
          <w:rFonts w:ascii="ITC Avant Garde" w:eastAsia="Calibri" w:hAnsi="ITC Avant Garde" w:cs="Times New Roman"/>
          <w:b w:val="0"/>
          <w:color w:val="auto"/>
          <w:kern w:val="2"/>
          <w:sz w:val="20"/>
          <w:szCs w:val="20"/>
          <w:lang w:val="es-MX"/>
          <w14:ligatures w14:val="standardContextual"/>
        </w:rPr>
        <w:t>, e</w:t>
      </w:r>
      <w:r w:rsidRPr="001C22B9">
        <w:rPr>
          <w:rFonts w:ascii="ITC Avant Garde" w:eastAsia="Calibri" w:hAnsi="ITC Avant Garde" w:cs="Times New Roman"/>
          <w:b w:val="0"/>
          <w:color w:val="auto"/>
          <w:kern w:val="2"/>
          <w:sz w:val="20"/>
          <w:szCs w:val="20"/>
          <w:lang w:val="es-MX"/>
          <w14:ligatures w14:val="standardContextual"/>
        </w:rPr>
        <w:t>sto puede incluir la ampliación de los servidores, optimización de procesos y asignación de personal adicional para el soporte técnico.</w:t>
      </w:r>
    </w:p>
    <w:p w14:paraId="72693231" w14:textId="77777777" w:rsidR="0066403F" w:rsidRPr="001C22B9" w:rsidRDefault="0066403F" w:rsidP="0066403F">
      <w:pPr>
        <w:numPr>
          <w:ilvl w:val="0"/>
          <w:numId w:val="31"/>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Actualización Continua de la Seguridad</w:t>
      </w:r>
      <w:r w:rsidRPr="001C22B9">
        <w:rPr>
          <w:rFonts w:ascii="ITC Avant Garde" w:eastAsia="Calibri" w:hAnsi="ITC Avant Garde" w:cs="Times New Roman"/>
          <w:b w:val="0"/>
          <w:color w:val="auto"/>
          <w:kern w:val="2"/>
          <w:sz w:val="20"/>
          <w:szCs w:val="20"/>
          <w:lang w:val="es-MX"/>
          <w14:ligatures w14:val="standardContextual"/>
        </w:rPr>
        <w:t xml:space="preserve">: La percepción de seguridad es esencial para la confianza en la plataforma, y el IFT debería continuar implementando protocolos </w:t>
      </w:r>
      <w:r w:rsidRPr="001C22B9">
        <w:rPr>
          <w:rFonts w:ascii="ITC Avant Garde" w:eastAsia="Calibri" w:hAnsi="ITC Avant Garde" w:cs="Times New Roman"/>
          <w:b w:val="0"/>
          <w:color w:val="auto"/>
          <w:kern w:val="2"/>
          <w:sz w:val="20"/>
          <w:szCs w:val="20"/>
          <w:lang w:val="es-MX"/>
          <w14:ligatures w14:val="standardContextual"/>
        </w:rPr>
        <w:lastRenderedPageBreak/>
        <w:t>avanzados de protección de datos</w:t>
      </w:r>
      <w:r>
        <w:rPr>
          <w:rFonts w:ascii="ITC Avant Garde" w:eastAsia="Calibri" w:hAnsi="ITC Avant Garde" w:cs="Times New Roman"/>
          <w:b w:val="0"/>
          <w:color w:val="auto"/>
          <w:kern w:val="2"/>
          <w:sz w:val="20"/>
          <w:szCs w:val="20"/>
          <w:lang w:val="es-MX"/>
          <w14:ligatures w14:val="standardContextual"/>
        </w:rPr>
        <w:t>, lo que</w:t>
      </w:r>
      <w:r w:rsidRPr="001C22B9">
        <w:rPr>
          <w:rFonts w:ascii="ITC Avant Garde" w:eastAsia="Calibri" w:hAnsi="ITC Avant Garde" w:cs="Times New Roman"/>
          <w:b w:val="0"/>
          <w:color w:val="auto"/>
          <w:kern w:val="2"/>
          <w:sz w:val="20"/>
          <w:szCs w:val="20"/>
          <w:lang w:val="es-MX"/>
          <w14:ligatures w14:val="standardContextual"/>
        </w:rPr>
        <w:t xml:space="preserve"> podría incluir la autenticación multifactorial, monitoreo continuo de vulnerabilidades y actualización de firewalls para garantizar un entorno seguro para las personas usuarias.</w:t>
      </w:r>
    </w:p>
    <w:p w14:paraId="48B76980" w14:textId="77777777" w:rsidR="0066403F" w:rsidRPr="001C22B9" w:rsidRDefault="0066403F" w:rsidP="0066403F">
      <w:pPr>
        <w:numPr>
          <w:ilvl w:val="0"/>
          <w:numId w:val="31"/>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Ampliación de Funcionalidades de Accesibilidad</w:t>
      </w:r>
      <w:r w:rsidRPr="001C22B9">
        <w:rPr>
          <w:rFonts w:ascii="ITC Avant Garde" w:eastAsia="Calibri" w:hAnsi="ITC Avant Garde" w:cs="Times New Roman"/>
          <w:b w:val="0"/>
          <w:color w:val="auto"/>
          <w:kern w:val="2"/>
          <w:sz w:val="20"/>
          <w:szCs w:val="20"/>
          <w:lang w:val="es-MX"/>
          <w14:ligatures w14:val="standardContextual"/>
        </w:rPr>
        <w:t>: Las mejoras en accesibilidad han mostrado un impacto positivo en la percepción de la plataforma, y una estrategia futura podría ser la implementación de opciones avanzadas de accesibilidad, como lectores de pantalla y controles de navegación optimizados para personas con discapacidad</w:t>
      </w:r>
      <w:r>
        <w:rPr>
          <w:rFonts w:ascii="ITC Avant Garde" w:eastAsia="Calibri" w:hAnsi="ITC Avant Garde" w:cs="Times New Roman"/>
          <w:b w:val="0"/>
          <w:color w:val="auto"/>
          <w:kern w:val="2"/>
          <w:sz w:val="20"/>
          <w:szCs w:val="20"/>
          <w:lang w:val="es-MX"/>
          <w14:ligatures w14:val="standardContextual"/>
        </w:rPr>
        <w:t xml:space="preserve">, dicho </w:t>
      </w:r>
      <w:r w:rsidRPr="001C22B9">
        <w:rPr>
          <w:rFonts w:ascii="ITC Avant Garde" w:eastAsia="Calibri" w:hAnsi="ITC Avant Garde" w:cs="Times New Roman"/>
          <w:b w:val="0"/>
          <w:color w:val="auto"/>
          <w:kern w:val="2"/>
          <w:sz w:val="20"/>
          <w:szCs w:val="20"/>
          <w:lang w:val="es-MX"/>
          <w14:ligatures w14:val="standardContextual"/>
        </w:rPr>
        <w:t>enfoque garantizaría que la plataforma sea inclusiva para todas las personas usuarias.</w:t>
      </w:r>
    </w:p>
    <w:p w14:paraId="3F573C53" w14:textId="77777777" w:rsidR="0066403F" w:rsidRPr="00B73592" w:rsidRDefault="0066403F" w:rsidP="0066403F">
      <w:pPr>
        <w:numPr>
          <w:ilvl w:val="0"/>
          <w:numId w:val="31"/>
        </w:numPr>
        <w:spacing w:after="160" w:line="278" w:lineRule="auto"/>
        <w:jc w:val="both"/>
        <w:rPr>
          <w:rFonts w:ascii="ITC Avant Garde" w:eastAsia="Calibri" w:hAnsi="ITC Avant Garde" w:cs="Times New Roman"/>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Monitoreo de la Experiencia del Usuario en Tiempo Real</w:t>
      </w:r>
      <w:r w:rsidRPr="001C22B9">
        <w:rPr>
          <w:rFonts w:ascii="ITC Avant Garde" w:eastAsia="Calibri" w:hAnsi="ITC Avant Garde" w:cs="Times New Roman"/>
          <w:b w:val="0"/>
          <w:color w:val="auto"/>
          <w:kern w:val="2"/>
          <w:sz w:val="20"/>
          <w:szCs w:val="20"/>
          <w:lang w:val="es-MX"/>
          <w14:ligatures w14:val="standardContextual"/>
        </w:rPr>
        <w:t>: Implementar un sistema de monitoreo en tiempo real permitiría al IFT identificar problemas y responder a ellos de manera proactiv</w:t>
      </w:r>
      <w:r>
        <w:rPr>
          <w:rFonts w:ascii="ITC Avant Garde" w:eastAsia="Calibri" w:hAnsi="ITC Avant Garde" w:cs="Times New Roman"/>
          <w:b w:val="0"/>
          <w:color w:val="auto"/>
          <w:kern w:val="2"/>
          <w:sz w:val="20"/>
          <w:szCs w:val="20"/>
          <w:lang w:val="es-MX"/>
          <w14:ligatures w14:val="standardContextual"/>
        </w:rPr>
        <w:t>a, c</w:t>
      </w:r>
      <w:r w:rsidRPr="001C22B9">
        <w:rPr>
          <w:rFonts w:ascii="ITC Avant Garde" w:eastAsia="Calibri" w:hAnsi="ITC Avant Garde" w:cs="Times New Roman"/>
          <w:b w:val="0"/>
          <w:color w:val="auto"/>
          <w:kern w:val="2"/>
          <w:sz w:val="20"/>
          <w:szCs w:val="20"/>
          <w:lang w:val="es-MX"/>
          <w14:ligatures w14:val="standardContextual"/>
        </w:rPr>
        <w:t>on esta estrategia, se podrían realizar ajustes rápidos en la plataforma en función de la retroalimentación en tiempo real de las personas usuarias, maximizando la satisfacción y la eficiencia.</w:t>
      </w:r>
    </w:p>
    <w:p w14:paraId="10B21A6A"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Pr>
          <w:rFonts w:ascii="ITC Avant Garde" w:eastAsia="Calibri" w:hAnsi="ITC Avant Garde" w:cs="Times New Roman"/>
          <w:b w:val="0"/>
          <w:color w:val="auto"/>
          <w:kern w:val="2"/>
          <w:sz w:val="20"/>
          <w:szCs w:val="20"/>
          <w:lang w:val="es-MX"/>
          <w14:ligatures w14:val="standardContextual"/>
        </w:rPr>
        <w:t xml:space="preserve">En virtud de lo anterior, se muestra </w:t>
      </w:r>
      <w:r w:rsidRPr="001C22B9">
        <w:rPr>
          <w:rFonts w:ascii="ITC Avant Garde" w:eastAsia="Calibri" w:hAnsi="ITC Avant Garde" w:cs="Times New Roman"/>
          <w:b w:val="0"/>
          <w:color w:val="auto"/>
          <w:kern w:val="2"/>
          <w:sz w:val="20"/>
          <w:szCs w:val="20"/>
          <w:lang w:val="es-MX"/>
          <w14:ligatures w14:val="standardContextual"/>
        </w:rPr>
        <w:t>que la Ventanilla Electrónica ha evolucionado positivamente en términos de satisfacción general, percepción de seguridad y tiempos de respuesta</w:t>
      </w:r>
      <w:r>
        <w:rPr>
          <w:rFonts w:ascii="ITC Avant Garde" w:eastAsia="Calibri" w:hAnsi="ITC Avant Garde" w:cs="Times New Roman"/>
          <w:b w:val="0"/>
          <w:color w:val="auto"/>
          <w:kern w:val="2"/>
          <w:sz w:val="20"/>
          <w:szCs w:val="20"/>
          <w:lang w:val="es-MX"/>
          <w14:ligatures w14:val="standardContextual"/>
        </w:rPr>
        <w:t>, l</w:t>
      </w:r>
      <w:r w:rsidRPr="001C22B9">
        <w:rPr>
          <w:rFonts w:ascii="ITC Avant Garde" w:eastAsia="Calibri" w:hAnsi="ITC Avant Garde" w:cs="Times New Roman"/>
          <w:b w:val="0"/>
          <w:color w:val="auto"/>
          <w:kern w:val="2"/>
          <w:sz w:val="20"/>
          <w:szCs w:val="20"/>
          <w:lang w:val="es-MX"/>
          <w14:ligatures w14:val="standardContextual"/>
        </w:rPr>
        <w:t xml:space="preserve">a estrategia de mejora </w:t>
      </w:r>
      <w:proofErr w:type="gramStart"/>
      <w:r w:rsidRPr="001C22B9">
        <w:rPr>
          <w:rFonts w:ascii="ITC Avant Garde" w:eastAsia="Calibri" w:hAnsi="ITC Avant Garde" w:cs="Times New Roman"/>
          <w:b w:val="0"/>
          <w:color w:val="auto"/>
          <w:kern w:val="2"/>
          <w:sz w:val="20"/>
          <w:szCs w:val="20"/>
          <w:lang w:val="es-MX"/>
          <w14:ligatures w14:val="standardContextual"/>
        </w:rPr>
        <w:t>contin</w:t>
      </w:r>
      <w:r>
        <w:rPr>
          <w:rFonts w:ascii="ITC Avant Garde" w:eastAsia="Calibri" w:hAnsi="ITC Avant Garde" w:cs="Times New Roman"/>
          <w:b w:val="0"/>
          <w:color w:val="auto"/>
          <w:kern w:val="2"/>
          <w:sz w:val="20"/>
          <w:szCs w:val="20"/>
          <w:lang w:val="es-MX"/>
          <w14:ligatures w14:val="standardContextual"/>
        </w:rPr>
        <w:t>u</w:t>
      </w:r>
      <w:r w:rsidRPr="001C22B9">
        <w:rPr>
          <w:rFonts w:ascii="ITC Avant Garde" w:eastAsia="Calibri" w:hAnsi="ITC Avant Garde" w:cs="Times New Roman"/>
          <w:b w:val="0"/>
          <w:color w:val="auto"/>
          <w:kern w:val="2"/>
          <w:sz w:val="20"/>
          <w:szCs w:val="20"/>
          <w:lang w:val="es-MX"/>
          <w14:ligatures w14:val="standardContextual"/>
        </w:rPr>
        <w:t>a</w:t>
      </w:r>
      <w:proofErr w:type="gramEnd"/>
      <w:r w:rsidRPr="001C22B9">
        <w:rPr>
          <w:rFonts w:ascii="ITC Avant Garde" w:eastAsia="Calibri" w:hAnsi="ITC Avant Garde" w:cs="Times New Roman"/>
          <w:b w:val="0"/>
          <w:color w:val="auto"/>
          <w:kern w:val="2"/>
          <w:sz w:val="20"/>
          <w:szCs w:val="20"/>
          <w:lang w:val="es-MX"/>
          <w14:ligatures w14:val="standardContextual"/>
        </w:rPr>
        <w:t xml:space="preserve"> implementada por el IFT ha permitido responder de manera efectiva a las necesidades cambiantes de las personas usuarias, consolidando la plataforma como una herramienta confiable y eficaz.</w:t>
      </w:r>
    </w:p>
    <w:p w14:paraId="1BAC1B51"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El seguimiento de estas tendencias permite al IFT no solo evaluar el éxito de sus mejoras pasadas, sino también planificar ajustes futuros de acuerdo con las expectativas de las personas usuarias</w:t>
      </w:r>
      <w:r>
        <w:rPr>
          <w:rFonts w:ascii="ITC Avant Garde" w:eastAsia="Calibri" w:hAnsi="ITC Avant Garde" w:cs="Times New Roman"/>
          <w:b w:val="0"/>
          <w:color w:val="auto"/>
          <w:kern w:val="2"/>
          <w:sz w:val="20"/>
          <w:szCs w:val="20"/>
          <w:lang w:val="es-MX"/>
          <w14:ligatures w14:val="standardContextual"/>
        </w:rPr>
        <w:t>, l</w:t>
      </w:r>
      <w:r w:rsidRPr="001C22B9">
        <w:rPr>
          <w:rFonts w:ascii="ITC Avant Garde" w:eastAsia="Calibri" w:hAnsi="ITC Avant Garde" w:cs="Times New Roman"/>
          <w:b w:val="0"/>
          <w:color w:val="auto"/>
          <w:kern w:val="2"/>
          <w:sz w:val="20"/>
          <w:szCs w:val="20"/>
          <w:lang w:val="es-MX"/>
          <w14:ligatures w14:val="standardContextual"/>
        </w:rPr>
        <w:t>as recomendaciones planteadas en este análisis, como el refuerzo de recursos en períodos de alta demanda y la actualización constante de medidas de seguridad, son acciones estratégicas que contribuirán a mantener y elevar el nivel de satisfacción de las personas usuarias.</w:t>
      </w:r>
    </w:p>
    <w:p w14:paraId="34A0BEDB"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Con este enfoque, el IFT se posiciona como una institución proactiva en la gestión de su Estrategia de Gobierno Electrónico, promoviendo la innovación y la eficiencia en la prestación de sus servicios digitales.</w:t>
      </w:r>
    </w:p>
    <w:p w14:paraId="15C69587" w14:textId="77777777" w:rsidR="0066403F" w:rsidRPr="001C22B9" w:rsidRDefault="0066403F" w:rsidP="0066403F">
      <w:pPr>
        <w:keepNext/>
        <w:keepLines/>
        <w:spacing w:before="240" w:line="278" w:lineRule="auto"/>
        <w:jc w:val="both"/>
        <w:outlineLvl w:val="0"/>
        <w:rPr>
          <w:rFonts w:ascii="ITC Avant Garde" w:eastAsia="Times New Roman" w:hAnsi="ITC Avant Garde" w:cs="Times New Roman"/>
          <w:color w:val="auto"/>
          <w:kern w:val="2"/>
          <w:sz w:val="24"/>
          <w:szCs w:val="32"/>
          <w:lang w:val="es-MX"/>
          <w14:ligatures w14:val="standardContextual"/>
        </w:rPr>
      </w:pPr>
      <w:bookmarkStart w:id="75" w:name="_Toc183000956"/>
      <w:bookmarkStart w:id="76" w:name="_Toc185357325"/>
      <w:bookmarkStart w:id="77" w:name="_Toc185358253"/>
      <w:bookmarkStart w:id="78" w:name="_Toc185358507"/>
      <w:r w:rsidRPr="001C22B9">
        <w:rPr>
          <w:rFonts w:ascii="ITC Avant Garde" w:eastAsia="Times New Roman" w:hAnsi="ITC Avant Garde" w:cs="Times New Roman"/>
          <w:color w:val="auto"/>
          <w:kern w:val="2"/>
          <w:sz w:val="24"/>
          <w:szCs w:val="32"/>
          <w:lang w:val="es-MX"/>
          <w14:ligatures w14:val="standardContextual"/>
        </w:rPr>
        <w:t>9. Conclusiones y Recomendaciones</w:t>
      </w:r>
      <w:bookmarkEnd w:id="75"/>
      <w:bookmarkEnd w:id="76"/>
      <w:bookmarkEnd w:id="77"/>
      <w:bookmarkEnd w:id="78"/>
    </w:p>
    <w:p w14:paraId="7E6317D5" w14:textId="77777777" w:rsidR="0066403F" w:rsidRPr="00B73592" w:rsidRDefault="0066403F" w:rsidP="0066403F">
      <w:pPr>
        <w:rPr>
          <w:rFonts w:ascii="ITC Avant Garde" w:eastAsia="Calibri" w:hAnsi="ITC Avant Garde" w:cs="Times New Roman"/>
          <w:color w:val="auto"/>
          <w:kern w:val="2"/>
          <w:sz w:val="20"/>
          <w:szCs w:val="20"/>
          <w:lang w:val="es-MX"/>
          <w14:ligatures w14:val="standardContextual"/>
        </w:rPr>
      </w:pPr>
    </w:p>
    <w:p w14:paraId="3A9644A2"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A lo largo de este análisis, se han identificado elementos clave en la percepción ciudadana sobre la Estrategia de Gobierno Electrónico </w:t>
      </w:r>
      <w:r>
        <w:rPr>
          <w:rFonts w:ascii="ITC Avant Garde" w:eastAsia="Calibri" w:hAnsi="ITC Avant Garde" w:cs="Times New Roman"/>
          <w:b w:val="0"/>
          <w:color w:val="auto"/>
          <w:kern w:val="2"/>
          <w:sz w:val="20"/>
          <w:szCs w:val="20"/>
          <w:lang w:val="es-MX"/>
          <w14:ligatures w14:val="standardContextual"/>
        </w:rPr>
        <w:t>implementada por el</w:t>
      </w:r>
      <w:r w:rsidRPr="001C22B9">
        <w:rPr>
          <w:rFonts w:ascii="ITC Avant Garde" w:eastAsia="Calibri" w:hAnsi="ITC Avant Garde" w:cs="Times New Roman"/>
          <w:b w:val="0"/>
          <w:color w:val="auto"/>
          <w:kern w:val="2"/>
          <w:sz w:val="20"/>
          <w:szCs w:val="20"/>
          <w:lang w:val="es-MX"/>
          <w14:ligatures w14:val="standardContextual"/>
        </w:rPr>
        <w:t xml:space="preserve"> </w:t>
      </w:r>
      <w:r>
        <w:rPr>
          <w:rFonts w:ascii="ITC Avant Garde" w:eastAsia="Calibri" w:hAnsi="ITC Avant Garde" w:cs="Times New Roman"/>
          <w:b w:val="0"/>
          <w:color w:val="auto"/>
          <w:kern w:val="2"/>
          <w:sz w:val="20"/>
          <w:szCs w:val="20"/>
          <w:lang w:val="es-MX"/>
          <w14:ligatures w14:val="standardContextual"/>
        </w:rPr>
        <w:t>IFT</w:t>
      </w:r>
      <w:r w:rsidRPr="001C22B9">
        <w:rPr>
          <w:rFonts w:ascii="ITC Avant Garde" w:eastAsia="Calibri" w:hAnsi="ITC Avant Garde" w:cs="Times New Roman"/>
          <w:b w:val="0"/>
          <w:color w:val="auto"/>
          <w:kern w:val="2"/>
          <w:sz w:val="20"/>
          <w:szCs w:val="20"/>
          <w:lang w:val="es-MX"/>
          <w14:ligatures w14:val="standardContextual"/>
        </w:rPr>
        <w:t xml:space="preserve"> y, específicamente, sobre la Ventanilla Electrónica como plataforma para realizar trámites digitales</w:t>
      </w:r>
      <w:r>
        <w:rPr>
          <w:rFonts w:ascii="ITC Avant Garde" w:eastAsia="Calibri" w:hAnsi="ITC Avant Garde" w:cs="Times New Roman"/>
          <w:b w:val="0"/>
          <w:color w:val="auto"/>
          <w:kern w:val="2"/>
          <w:sz w:val="20"/>
          <w:szCs w:val="20"/>
          <w:lang w:val="es-MX"/>
          <w14:ligatures w14:val="standardContextual"/>
        </w:rPr>
        <w:t>, destacando</w:t>
      </w:r>
      <w:r w:rsidRPr="001C22B9">
        <w:rPr>
          <w:rFonts w:ascii="ITC Avant Garde" w:eastAsia="Calibri" w:hAnsi="ITC Avant Garde" w:cs="Times New Roman"/>
          <w:b w:val="0"/>
          <w:color w:val="auto"/>
          <w:kern w:val="2"/>
          <w:sz w:val="20"/>
          <w:szCs w:val="20"/>
          <w:lang w:val="es-MX"/>
          <w14:ligatures w14:val="standardContextual"/>
        </w:rPr>
        <w:t xml:space="preserve"> un nivel general de satisfacción positivo con ambos enfoques</w:t>
      </w:r>
      <w:r>
        <w:rPr>
          <w:rFonts w:ascii="ITC Avant Garde" w:eastAsia="Calibri" w:hAnsi="ITC Avant Garde" w:cs="Times New Roman"/>
          <w:b w:val="0"/>
          <w:color w:val="auto"/>
          <w:kern w:val="2"/>
          <w:sz w:val="20"/>
          <w:szCs w:val="20"/>
          <w:lang w:val="es-MX"/>
          <w14:ligatures w14:val="standardContextual"/>
        </w:rPr>
        <w:t xml:space="preserve"> metodológicos</w:t>
      </w:r>
      <w:r w:rsidRPr="001C22B9">
        <w:rPr>
          <w:rFonts w:ascii="ITC Avant Garde" w:eastAsia="Calibri" w:hAnsi="ITC Avant Garde" w:cs="Times New Roman"/>
          <w:b w:val="0"/>
          <w:color w:val="auto"/>
          <w:kern w:val="2"/>
          <w:sz w:val="20"/>
          <w:szCs w:val="20"/>
          <w:lang w:val="es-MX"/>
          <w14:ligatures w14:val="standardContextual"/>
        </w:rPr>
        <w:t>, aunque la Ventanilla Electrónica demuestra ser especialmente efectiva para optimizar el acceso y la gestión de trámites específicos.</w:t>
      </w:r>
    </w:p>
    <w:p w14:paraId="31D3D73D" w14:textId="77777777" w:rsidR="0066403F" w:rsidRPr="001C22B9" w:rsidRDefault="0066403F" w:rsidP="0066403F">
      <w:pPr>
        <w:numPr>
          <w:ilvl w:val="0"/>
          <w:numId w:val="32"/>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Satisfacción General</w:t>
      </w:r>
      <w:r w:rsidRPr="001C22B9">
        <w:rPr>
          <w:rFonts w:ascii="ITC Avant Garde" w:eastAsia="Calibri" w:hAnsi="ITC Avant Garde" w:cs="Times New Roman"/>
          <w:b w:val="0"/>
          <w:color w:val="auto"/>
          <w:kern w:val="2"/>
          <w:sz w:val="20"/>
          <w:szCs w:val="20"/>
          <w:lang w:val="es-MX"/>
          <w14:ligatures w14:val="standardContextual"/>
        </w:rPr>
        <w:t xml:space="preserve">: La mayoría de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reporta una experiencia satisfactoria con la Ventanilla Electrónica, con un 80% de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xml:space="preserve"> que califican su experiencia como “buena” o “muy buena”</w:t>
      </w:r>
      <w:r>
        <w:rPr>
          <w:rFonts w:ascii="ITC Avant Garde" w:eastAsia="Calibri" w:hAnsi="ITC Avant Garde" w:cs="Times New Roman"/>
          <w:b w:val="0"/>
          <w:color w:val="auto"/>
          <w:kern w:val="2"/>
          <w:sz w:val="20"/>
          <w:szCs w:val="20"/>
          <w:lang w:val="es-MX"/>
          <w14:ligatures w14:val="standardContextual"/>
        </w:rPr>
        <w:t>, es</w:t>
      </w:r>
      <w:r w:rsidRPr="001C22B9">
        <w:rPr>
          <w:rFonts w:ascii="ITC Avant Garde" w:eastAsia="Calibri" w:hAnsi="ITC Avant Garde" w:cs="Times New Roman"/>
          <w:b w:val="0"/>
          <w:color w:val="auto"/>
          <w:kern w:val="2"/>
          <w:sz w:val="20"/>
          <w:szCs w:val="20"/>
          <w:lang w:val="es-MX"/>
          <w14:ligatures w14:val="standardContextual"/>
        </w:rPr>
        <w:t>te nivel de satisfacción se atribuye a la facilidad de uso, la accesibilidad y la eficiencia de la plataforma para realizar trámites sin la necesidad de acudir a las oficinas del IFT.</w:t>
      </w:r>
    </w:p>
    <w:p w14:paraId="26F51794" w14:textId="77777777" w:rsidR="0066403F" w:rsidRPr="001C22B9" w:rsidRDefault="0066403F" w:rsidP="0066403F">
      <w:pPr>
        <w:numPr>
          <w:ilvl w:val="0"/>
          <w:numId w:val="32"/>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lastRenderedPageBreak/>
        <w:t>Percepción de Seguridad y Confianza</w:t>
      </w:r>
      <w:r w:rsidRPr="001C22B9">
        <w:rPr>
          <w:rFonts w:ascii="ITC Avant Garde" w:eastAsia="Calibri" w:hAnsi="ITC Avant Garde" w:cs="Times New Roman"/>
          <w:b w:val="0"/>
          <w:color w:val="auto"/>
          <w:kern w:val="2"/>
          <w:sz w:val="20"/>
          <w:szCs w:val="20"/>
          <w:lang w:val="es-MX"/>
          <w14:ligatures w14:val="standardContextual"/>
        </w:rPr>
        <w:t xml:space="preserve">: La seguridad es una prioridad en la experiencia digital, y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muestran confianza en la protección de sus datos en la Ventanilla Electrónica</w:t>
      </w:r>
      <w:r>
        <w:rPr>
          <w:rFonts w:ascii="ITC Avant Garde" w:eastAsia="Calibri" w:hAnsi="ITC Avant Garde" w:cs="Times New Roman"/>
          <w:b w:val="0"/>
          <w:color w:val="auto"/>
          <w:kern w:val="2"/>
          <w:sz w:val="20"/>
          <w:szCs w:val="20"/>
          <w:lang w:val="es-MX"/>
          <w14:ligatures w14:val="standardContextual"/>
        </w:rPr>
        <w:t>, dicho</w:t>
      </w:r>
      <w:r w:rsidRPr="001C22B9">
        <w:rPr>
          <w:rFonts w:ascii="ITC Avant Garde" w:eastAsia="Calibri" w:hAnsi="ITC Avant Garde" w:cs="Times New Roman"/>
          <w:b w:val="0"/>
          <w:color w:val="auto"/>
          <w:kern w:val="2"/>
          <w:sz w:val="20"/>
          <w:szCs w:val="20"/>
          <w:lang w:val="es-MX"/>
          <w14:ligatures w14:val="standardContextual"/>
        </w:rPr>
        <w:t xml:space="preserve"> aspecto es fundamental, ya que la seguridad y privacidad de los datos son esenciales para la aceptación y uso continuo de cualquier plataforma de gobierno electrónico.</w:t>
      </w:r>
    </w:p>
    <w:p w14:paraId="23964922" w14:textId="77777777" w:rsidR="0066403F" w:rsidRPr="001C22B9" w:rsidRDefault="0066403F" w:rsidP="0066403F">
      <w:pPr>
        <w:numPr>
          <w:ilvl w:val="0"/>
          <w:numId w:val="32"/>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Tiempos de Respuesta y Eficiencia</w:t>
      </w:r>
      <w:r w:rsidRPr="001C22B9">
        <w:rPr>
          <w:rFonts w:ascii="ITC Avant Garde" w:eastAsia="Calibri" w:hAnsi="ITC Avant Garde" w:cs="Times New Roman"/>
          <w:b w:val="0"/>
          <w:color w:val="auto"/>
          <w:kern w:val="2"/>
          <w:sz w:val="20"/>
          <w:szCs w:val="20"/>
          <w:lang w:val="es-MX"/>
          <w14:ligatures w14:val="standardContextual"/>
        </w:rPr>
        <w:t xml:space="preserve">: La reducción en los tiempos de respuesta es uno de los factores más valorados, permitiendo a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completar sus trámites de forma ágil</w:t>
      </w:r>
      <w:r>
        <w:rPr>
          <w:rFonts w:ascii="ITC Avant Garde" w:eastAsia="Calibri" w:hAnsi="ITC Avant Garde" w:cs="Times New Roman"/>
          <w:b w:val="0"/>
          <w:color w:val="auto"/>
          <w:kern w:val="2"/>
          <w:sz w:val="20"/>
          <w:szCs w:val="20"/>
          <w:lang w:val="es-MX"/>
          <w14:ligatures w14:val="standardContextual"/>
        </w:rPr>
        <w:t>, l</w:t>
      </w:r>
      <w:r w:rsidRPr="001C22B9">
        <w:rPr>
          <w:rFonts w:ascii="ITC Avant Garde" w:eastAsia="Calibri" w:hAnsi="ITC Avant Garde" w:cs="Times New Roman"/>
          <w:b w:val="0"/>
          <w:color w:val="auto"/>
          <w:kern w:val="2"/>
          <w:sz w:val="20"/>
          <w:szCs w:val="20"/>
          <w:lang w:val="es-MX"/>
          <w14:ligatures w14:val="standardContextual"/>
        </w:rPr>
        <w:t>as mejoras en la rapidez y la eliminación de pasos innecesarios han elevado la percepción de eficiencia, lo cual contribuye directamente al nivel de satisfacción.</w:t>
      </w:r>
    </w:p>
    <w:p w14:paraId="578051F3" w14:textId="77777777" w:rsidR="0066403F" w:rsidRPr="001C22B9" w:rsidRDefault="0066403F" w:rsidP="0066403F">
      <w:pPr>
        <w:numPr>
          <w:ilvl w:val="0"/>
          <w:numId w:val="32"/>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Cs/>
          <w:color w:val="auto"/>
          <w:kern w:val="2"/>
          <w:sz w:val="20"/>
          <w:szCs w:val="20"/>
          <w:lang w:val="es-MX"/>
          <w14:ligatures w14:val="standardContextual"/>
        </w:rPr>
        <w:t>Áreas de Mejora Identificadas</w:t>
      </w:r>
      <w:r w:rsidRPr="001C22B9">
        <w:rPr>
          <w:rFonts w:ascii="ITC Avant Garde" w:eastAsia="Calibri" w:hAnsi="ITC Avant Garde" w:cs="Times New Roman"/>
          <w:b w:val="0"/>
          <w:color w:val="auto"/>
          <w:kern w:val="2"/>
          <w:sz w:val="20"/>
          <w:szCs w:val="20"/>
          <w:lang w:val="es-MX"/>
          <w14:ligatures w14:val="standardContextual"/>
        </w:rPr>
        <w:t xml:space="preserve">: Aunque el nivel de satisfacción es alto,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han identificado áreas de oportunidad</w:t>
      </w:r>
      <w:r>
        <w:rPr>
          <w:rFonts w:ascii="ITC Avant Garde" w:eastAsia="Calibri" w:hAnsi="ITC Avant Garde" w:cs="Times New Roman"/>
          <w:b w:val="0"/>
          <w:color w:val="auto"/>
          <w:kern w:val="2"/>
          <w:sz w:val="20"/>
          <w:szCs w:val="20"/>
          <w:lang w:val="es-MX"/>
          <w14:ligatures w14:val="standardContextual"/>
        </w:rPr>
        <w:t>, a</w:t>
      </w:r>
      <w:r w:rsidRPr="001C22B9">
        <w:rPr>
          <w:rFonts w:ascii="ITC Avant Garde" w:eastAsia="Calibri" w:hAnsi="ITC Avant Garde" w:cs="Times New Roman"/>
          <w:b w:val="0"/>
          <w:color w:val="auto"/>
          <w:kern w:val="2"/>
          <w:sz w:val="20"/>
          <w:szCs w:val="20"/>
          <w:lang w:val="es-MX"/>
          <w14:ligatures w14:val="standardContextual"/>
        </w:rPr>
        <w:t>lgunas personas usuarias señalaron dificultades en la carga de documentos, mientras que otros mencionaron la necesidad de mejorar el soporte técnico y la compatibilidad de la plataforma con diferentes dispositivos y navegadores.</w:t>
      </w:r>
    </w:p>
    <w:p w14:paraId="70D4C4BF" w14:textId="77777777" w:rsidR="0066403F" w:rsidRPr="00834016"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La Ventanilla Electrónica ha logrado establecerse como una herramienta accesible y eficiente para la realización de trámites digitales, demostrando ser una solución eficaz para reducir la carga administrativa tanto para </w:t>
      </w:r>
      <w:r>
        <w:rPr>
          <w:rFonts w:ascii="ITC Avant Garde" w:eastAsia="Calibri" w:hAnsi="ITC Avant Garde" w:cs="Times New Roman"/>
          <w:b w:val="0"/>
          <w:color w:val="auto"/>
          <w:kern w:val="2"/>
          <w:sz w:val="20"/>
          <w:szCs w:val="20"/>
          <w:lang w:val="es-MX"/>
          <w14:ligatures w14:val="standardContextual"/>
        </w:rPr>
        <w:t>las personas usuarias</w:t>
      </w:r>
      <w:r w:rsidRPr="001C22B9">
        <w:rPr>
          <w:rFonts w:ascii="ITC Avant Garde" w:eastAsia="Calibri" w:hAnsi="ITC Avant Garde" w:cs="Times New Roman"/>
          <w:b w:val="0"/>
          <w:color w:val="auto"/>
          <w:kern w:val="2"/>
          <w:sz w:val="20"/>
          <w:szCs w:val="20"/>
          <w:lang w:val="es-MX"/>
          <w14:ligatures w14:val="standardContextual"/>
        </w:rPr>
        <w:t xml:space="preserve"> como para el IFT</w:t>
      </w:r>
      <w:r>
        <w:rPr>
          <w:rFonts w:ascii="ITC Avant Garde" w:eastAsia="Calibri" w:hAnsi="ITC Avant Garde" w:cs="Times New Roman"/>
          <w:b w:val="0"/>
          <w:color w:val="auto"/>
          <w:kern w:val="2"/>
          <w:sz w:val="20"/>
          <w:szCs w:val="20"/>
          <w:lang w:val="es-MX"/>
          <w14:ligatures w14:val="standardContextual"/>
        </w:rPr>
        <w:t>, si</w:t>
      </w:r>
      <w:r w:rsidRPr="001C22B9">
        <w:rPr>
          <w:rFonts w:ascii="ITC Avant Garde" w:eastAsia="Calibri" w:hAnsi="ITC Avant Garde" w:cs="Times New Roman"/>
          <w:b w:val="0"/>
          <w:color w:val="auto"/>
          <w:kern w:val="2"/>
          <w:sz w:val="20"/>
          <w:szCs w:val="20"/>
          <w:lang w:val="es-MX"/>
          <w14:ligatures w14:val="standardContextual"/>
        </w:rPr>
        <w:t>n embargo, las conclusiones sugieren que la experiencia del usuario puede beneficiarse de ajustes específicos, especialmente en momentos de alta demanda, como el cuarto trimestre de cada año, cuando los trámites suelen aumentar.</w:t>
      </w:r>
    </w:p>
    <w:p w14:paraId="2D8CBBB0"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Las recomendaciones </w:t>
      </w:r>
      <w:r>
        <w:rPr>
          <w:rFonts w:ascii="ITC Avant Garde" w:eastAsia="Calibri" w:hAnsi="ITC Avant Garde" w:cs="Times New Roman"/>
          <w:b w:val="0"/>
          <w:color w:val="auto"/>
          <w:kern w:val="2"/>
          <w:sz w:val="20"/>
          <w:szCs w:val="20"/>
          <w:lang w:val="es-MX"/>
          <w14:ligatures w14:val="standardContextual"/>
        </w:rPr>
        <w:t xml:space="preserve">planteadas en el numeral anterior, </w:t>
      </w:r>
      <w:r w:rsidRPr="001C22B9">
        <w:rPr>
          <w:rFonts w:ascii="ITC Avant Garde" w:eastAsia="Calibri" w:hAnsi="ITC Avant Garde" w:cs="Times New Roman"/>
          <w:b w:val="0"/>
          <w:color w:val="auto"/>
          <w:kern w:val="2"/>
          <w:sz w:val="20"/>
          <w:szCs w:val="20"/>
          <w:lang w:val="es-MX"/>
          <w14:ligatures w14:val="standardContextual"/>
        </w:rPr>
        <w:t>están orientadas a consolidar la posición de la Ventanilla Electrónica como una plataforma confiable, eficiente y accesible</w:t>
      </w:r>
      <w:r>
        <w:rPr>
          <w:rFonts w:ascii="ITC Avant Garde" w:eastAsia="Calibri" w:hAnsi="ITC Avant Garde" w:cs="Times New Roman"/>
          <w:b w:val="0"/>
          <w:color w:val="auto"/>
          <w:kern w:val="2"/>
          <w:sz w:val="20"/>
          <w:szCs w:val="20"/>
          <w:lang w:val="es-MX"/>
          <w14:ligatures w14:val="standardContextual"/>
        </w:rPr>
        <w:t xml:space="preserve">, lo que </w:t>
      </w:r>
      <w:r w:rsidRPr="001C22B9">
        <w:rPr>
          <w:rFonts w:ascii="ITC Avant Garde" w:eastAsia="Calibri" w:hAnsi="ITC Avant Garde" w:cs="Times New Roman"/>
          <w:b w:val="0"/>
          <w:color w:val="auto"/>
          <w:kern w:val="2"/>
          <w:sz w:val="20"/>
          <w:szCs w:val="20"/>
          <w:lang w:val="es-MX"/>
          <w14:ligatures w14:val="standardContextual"/>
        </w:rPr>
        <w:t>permitirán al IFT no solo responder a las necesidades actuales de las personas usuarias, sino también anticiparse a futuras demandas en un entorno digital en constante evolución</w:t>
      </w:r>
      <w:r>
        <w:rPr>
          <w:rFonts w:ascii="ITC Avant Garde" w:eastAsia="Calibri" w:hAnsi="ITC Avant Garde" w:cs="Times New Roman"/>
          <w:b w:val="0"/>
          <w:color w:val="auto"/>
          <w:kern w:val="2"/>
          <w:sz w:val="20"/>
          <w:szCs w:val="20"/>
          <w:lang w:val="es-MX"/>
          <w14:ligatures w14:val="standardContextual"/>
        </w:rPr>
        <w:t>, l</w:t>
      </w:r>
      <w:r w:rsidRPr="001C22B9">
        <w:rPr>
          <w:rFonts w:ascii="ITC Avant Garde" w:eastAsia="Calibri" w:hAnsi="ITC Avant Garde" w:cs="Times New Roman"/>
          <w:b w:val="0"/>
          <w:color w:val="auto"/>
          <w:kern w:val="2"/>
          <w:sz w:val="20"/>
          <w:szCs w:val="20"/>
          <w:lang w:val="es-MX"/>
          <w14:ligatures w14:val="standardContextual"/>
        </w:rPr>
        <w:t>a implementación de estas mejoras contribuirá a un entorno digital de gobierno más inclusivo, accesible y transparente, alineado con las mejores prácticas internacionales en la administración pública electrónica.</w:t>
      </w:r>
    </w:p>
    <w:p w14:paraId="0B0922C9" w14:textId="77777777" w:rsidR="0066403F"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1C22B9">
        <w:rPr>
          <w:rFonts w:ascii="ITC Avant Garde" w:eastAsia="Calibri" w:hAnsi="ITC Avant Garde" w:cs="Times New Roman"/>
          <w:b w:val="0"/>
          <w:color w:val="auto"/>
          <w:kern w:val="2"/>
          <w:sz w:val="20"/>
          <w:szCs w:val="20"/>
          <w:lang w:val="es-MX"/>
          <w14:ligatures w14:val="standardContextual"/>
        </w:rPr>
        <w:t xml:space="preserve">Con una estrategia de mejora continua, el IFT podrá fortalecer su Estrategia de Gobierno Electrónico y brindar una experiencia de usuario de alta calidad, asegurando que la Ventanilla Electrónica sea una herramienta efectiva y satisfactoria para todos los ciudadanos y </w:t>
      </w:r>
      <w:r>
        <w:rPr>
          <w:rFonts w:ascii="ITC Avant Garde" w:eastAsia="Calibri" w:hAnsi="ITC Avant Garde" w:cs="Times New Roman"/>
          <w:b w:val="0"/>
          <w:color w:val="auto"/>
          <w:kern w:val="2"/>
          <w:sz w:val="20"/>
          <w:szCs w:val="20"/>
          <w:lang w:val="es-MX"/>
          <w14:ligatures w14:val="standardContextual"/>
        </w:rPr>
        <w:t>personas usuarias</w:t>
      </w:r>
      <w:r w:rsidRPr="001C22B9">
        <w:rPr>
          <w:rFonts w:ascii="ITC Avant Garde" w:eastAsia="Calibri" w:hAnsi="ITC Avant Garde" w:cs="Times New Roman"/>
          <w:b w:val="0"/>
          <w:color w:val="auto"/>
          <w:kern w:val="2"/>
          <w:sz w:val="20"/>
          <w:szCs w:val="20"/>
          <w:lang w:val="es-MX"/>
          <w14:ligatures w14:val="standardContextual"/>
        </w:rPr>
        <w:t xml:space="preserve"> del sector de telecomunicaciones</w:t>
      </w:r>
      <w:r>
        <w:rPr>
          <w:rFonts w:ascii="ITC Avant Garde" w:eastAsia="Calibri" w:hAnsi="ITC Avant Garde" w:cs="Times New Roman"/>
          <w:b w:val="0"/>
          <w:color w:val="auto"/>
          <w:kern w:val="2"/>
          <w:sz w:val="20"/>
          <w:szCs w:val="20"/>
          <w:lang w:val="es-MX"/>
          <w14:ligatures w14:val="standardContextual"/>
        </w:rPr>
        <w:t>, e</w:t>
      </w:r>
      <w:r w:rsidRPr="001C22B9">
        <w:rPr>
          <w:rFonts w:ascii="ITC Avant Garde" w:eastAsia="Calibri" w:hAnsi="ITC Avant Garde" w:cs="Times New Roman"/>
          <w:b w:val="0"/>
          <w:color w:val="auto"/>
          <w:kern w:val="2"/>
          <w:sz w:val="20"/>
          <w:szCs w:val="20"/>
          <w:lang w:val="es-MX"/>
          <w14:ligatures w14:val="standardContextual"/>
        </w:rPr>
        <w:t>stas mejoras también contribuirán a consolidar la confianza en la administración digital del IFT, promoviendo la eficiencia y el acceso equitativo a los servicios públicos.</w:t>
      </w:r>
    </w:p>
    <w:p w14:paraId="7888364F" w14:textId="77777777" w:rsidR="0066403F"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p>
    <w:p w14:paraId="1C9864DF" w14:textId="77777777" w:rsidR="0066403F"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p>
    <w:p w14:paraId="1D626F58" w14:textId="77777777" w:rsidR="0066403F"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p>
    <w:p w14:paraId="64563C83" w14:textId="77777777" w:rsidR="0066403F"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p>
    <w:p w14:paraId="5B5C5A9C" w14:textId="77777777" w:rsidR="0066403F"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p>
    <w:p w14:paraId="010CF788"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p>
    <w:p w14:paraId="6980BC40" w14:textId="77777777" w:rsidR="0066403F" w:rsidRPr="00465E77" w:rsidRDefault="0066403F" w:rsidP="0066403F">
      <w:pPr>
        <w:keepNext/>
        <w:keepLines/>
        <w:spacing w:before="240" w:line="278" w:lineRule="auto"/>
        <w:jc w:val="both"/>
        <w:outlineLvl w:val="0"/>
        <w:rPr>
          <w:rFonts w:ascii="ITC Avant Garde" w:eastAsia="Calibri" w:hAnsi="ITC Avant Garde" w:cs="Times New Roman"/>
          <w:color w:val="auto"/>
          <w:kern w:val="2"/>
          <w:sz w:val="22"/>
          <w:lang w:val="es-MX"/>
          <w14:ligatures w14:val="standardContextual"/>
        </w:rPr>
      </w:pPr>
      <w:bookmarkStart w:id="79" w:name="_Toc183000962"/>
      <w:bookmarkStart w:id="80" w:name="_Toc185357326"/>
      <w:bookmarkStart w:id="81" w:name="_Toc185358254"/>
      <w:bookmarkStart w:id="82" w:name="_Toc185358508"/>
      <w:r w:rsidRPr="001C22B9">
        <w:rPr>
          <w:rFonts w:ascii="ITC Avant Garde" w:eastAsia="Times New Roman" w:hAnsi="ITC Avant Garde" w:cs="Times New Roman"/>
          <w:color w:val="auto"/>
          <w:kern w:val="2"/>
          <w:sz w:val="24"/>
          <w:szCs w:val="32"/>
          <w:lang w:val="es-MX"/>
          <w14:ligatures w14:val="standardContextual"/>
        </w:rPr>
        <w:lastRenderedPageBreak/>
        <w:t xml:space="preserve">10. </w:t>
      </w:r>
      <w:bookmarkEnd w:id="79"/>
      <w:r>
        <w:rPr>
          <w:rFonts w:ascii="ITC Avant Garde" w:eastAsia="Calibri" w:hAnsi="ITC Avant Garde" w:cs="Times New Roman"/>
          <w:color w:val="auto"/>
          <w:kern w:val="2"/>
          <w:sz w:val="22"/>
          <w:lang w:val="es-MX"/>
          <w14:ligatures w14:val="standardContextual"/>
        </w:rPr>
        <w:t>Bibliografía</w:t>
      </w:r>
      <w:bookmarkEnd w:id="80"/>
      <w:bookmarkEnd w:id="81"/>
      <w:bookmarkEnd w:id="82"/>
      <w:r>
        <w:rPr>
          <w:rFonts w:ascii="ITC Avant Garde" w:eastAsia="Calibri" w:hAnsi="ITC Avant Garde" w:cs="Times New Roman"/>
          <w:color w:val="auto"/>
          <w:kern w:val="2"/>
          <w:sz w:val="22"/>
          <w:lang w:val="es-MX"/>
          <w14:ligatures w14:val="standardContextual"/>
        </w:rPr>
        <w:t xml:space="preserve"> </w:t>
      </w:r>
    </w:p>
    <w:p w14:paraId="0AC2C4A9" w14:textId="77777777" w:rsidR="0066403F" w:rsidRPr="001C22B9" w:rsidRDefault="0066403F" w:rsidP="0066403F">
      <w:pPr>
        <w:spacing w:after="160" w:line="278" w:lineRule="auto"/>
        <w:jc w:val="both"/>
        <w:rPr>
          <w:rFonts w:ascii="ITC Avant Garde" w:eastAsia="Calibri" w:hAnsi="ITC Avant Garde" w:cs="Times New Roman"/>
          <w:b w:val="0"/>
          <w:color w:val="auto"/>
          <w:kern w:val="2"/>
          <w:sz w:val="20"/>
          <w:szCs w:val="20"/>
          <w:lang w:val="es-MX"/>
          <w14:ligatures w14:val="standardContextual"/>
        </w:rPr>
      </w:pPr>
    </w:p>
    <w:p w14:paraId="6CFF4B6D" w14:textId="77777777" w:rsidR="0066403F" w:rsidRPr="0066403F" w:rsidRDefault="0066403F" w:rsidP="0066403F">
      <w:pPr>
        <w:pStyle w:val="Prrafodelista"/>
        <w:numPr>
          <w:ilvl w:val="0"/>
          <w:numId w:val="44"/>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66403F">
        <w:rPr>
          <w:rFonts w:ascii="ITC Avant Garde" w:eastAsia="Calibri" w:hAnsi="ITC Avant Garde" w:cs="Times New Roman"/>
          <w:b w:val="0"/>
          <w:color w:val="auto"/>
          <w:kern w:val="2"/>
          <w:sz w:val="20"/>
          <w:szCs w:val="20"/>
          <w:lang w:val="es-MX"/>
          <w14:ligatures w14:val="standardContextual"/>
        </w:rPr>
        <w:t xml:space="preserve">Acuerdo P/IFT/040924/312, aprobado por unanimidad en la XXII Sesión Ordinaria del Pleno del Instituto Federal de Telecomunicaciones, celebrada el 04 de septiembre de 2024. Disponible en la siguiente liga electrónica: </w:t>
      </w:r>
      <w:hyperlink r:id="rId34" w:history="1">
        <w:r w:rsidRPr="0066403F">
          <w:rPr>
            <w:rFonts w:ascii="ITC Avant Garde" w:eastAsia="Calibri" w:hAnsi="ITC Avant Garde" w:cs="Times New Roman"/>
            <w:b w:val="0"/>
            <w:color w:val="0563C1"/>
            <w:kern w:val="2"/>
            <w:sz w:val="20"/>
            <w:szCs w:val="20"/>
            <w:u w:val="single"/>
            <w:lang w:val="es-MX"/>
            <w14:ligatures w14:val="standardContextual"/>
          </w:rPr>
          <w:t>https://www.ift.org.mx/sites/default/files/industria/temasrelevantes/24429/documentos/24-10-08-acuerdo-pift040924312cuestionario.pdf</w:t>
        </w:r>
      </w:hyperlink>
      <w:r w:rsidRPr="0066403F">
        <w:rPr>
          <w:rFonts w:ascii="ITC Avant Garde" w:eastAsia="Calibri" w:hAnsi="ITC Avant Garde" w:cs="Times New Roman"/>
          <w:b w:val="0"/>
          <w:color w:val="auto"/>
          <w:kern w:val="2"/>
          <w:sz w:val="20"/>
          <w:szCs w:val="20"/>
          <w:lang w:val="es-MX"/>
          <w14:ligatures w14:val="standardContextual"/>
        </w:rPr>
        <w:t xml:space="preserve"> (Recuperado el 17/12/2024)</w:t>
      </w:r>
    </w:p>
    <w:p w14:paraId="18FD921B" w14:textId="77777777" w:rsidR="0066403F" w:rsidRPr="0066403F" w:rsidRDefault="0066403F" w:rsidP="0066403F">
      <w:pPr>
        <w:pStyle w:val="Prrafodelista"/>
        <w:numPr>
          <w:ilvl w:val="0"/>
          <w:numId w:val="44"/>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66403F">
        <w:rPr>
          <w:rFonts w:ascii="ITC Avant Garde" w:eastAsia="Calibri" w:hAnsi="ITC Avant Garde" w:cs="Times New Roman"/>
          <w:b w:val="0"/>
          <w:color w:val="auto"/>
          <w:kern w:val="2"/>
          <w:sz w:val="20"/>
          <w:szCs w:val="20"/>
          <w:lang w:val="es-MX"/>
          <w14:ligatures w14:val="standardContextual"/>
        </w:rPr>
        <w:t xml:space="preserve">El gobierno electrónico en la gestión pública, CEPAL, Santiago de Chile, 2011, p. 42. Disponible en la siguiente liga electrónica: </w:t>
      </w:r>
      <w:hyperlink r:id="rId35" w:history="1">
        <w:r w:rsidRPr="0066403F">
          <w:rPr>
            <w:rFonts w:ascii="ITC Avant Garde" w:eastAsia="Calibri" w:hAnsi="ITC Avant Garde" w:cs="Times New Roman"/>
            <w:b w:val="0"/>
            <w:color w:val="0563C1"/>
            <w:kern w:val="2"/>
            <w:sz w:val="20"/>
            <w:szCs w:val="20"/>
            <w:u w:val="single"/>
            <w:lang w:val="es-MX"/>
            <w14:ligatures w14:val="standardContextual"/>
          </w:rPr>
          <w:t>https://repositorio.cepal.org/server/api/core/bitstreams/6b15060d-0f7d-48a0-8c69-2a6d6338a6ac/content</w:t>
        </w:r>
      </w:hyperlink>
      <w:r w:rsidRPr="0066403F">
        <w:rPr>
          <w:rFonts w:ascii="ITC Avant Garde" w:eastAsia="Calibri" w:hAnsi="ITC Avant Garde" w:cs="Times New Roman"/>
          <w:b w:val="0"/>
          <w:color w:val="auto"/>
          <w:kern w:val="2"/>
          <w:sz w:val="20"/>
          <w:szCs w:val="20"/>
          <w:lang w:val="es-MX"/>
          <w14:ligatures w14:val="standardContextual"/>
        </w:rPr>
        <w:t xml:space="preserve"> (Recuperado el 17/12/2024)</w:t>
      </w:r>
    </w:p>
    <w:p w14:paraId="52DAD2E0" w14:textId="77777777" w:rsidR="0066403F" w:rsidRPr="0066403F" w:rsidRDefault="0066403F" w:rsidP="0066403F">
      <w:pPr>
        <w:pStyle w:val="Prrafodelista"/>
        <w:numPr>
          <w:ilvl w:val="0"/>
          <w:numId w:val="44"/>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66403F">
        <w:rPr>
          <w:rFonts w:ascii="ITC Avant Garde" w:eastAsia="Calibri" w:hAnsi="ITC Avant Garde" w:cs="Times New Roman"/>
          <w:b w:val="0"/>
          <w:color w:val="auto"/>
          <w:kern w:val="2"/>
          <w:sz w:val="20"/>
          <w:szCs w:val="20"/>
          <w:lang w:val="es-MX"/>
          <w14:ligatures w14:val="standardContextual"/>
        </w:rPr>
        <w:t xml:space="preserve">Portal de Consultas Públicas del IFT. Disponible en la siguiente liga electrónica: </w:t>
      </w:r>
      <w:hyperlink r:id="rId36" w:history="1">
        <w:r w:rsidRPr="0066403F">
          <w:rPr>
            <w:rFonts w:ascii="ITC Avant Garde" w:eastAsia="Calibri" w:hAnsi="ITC Avant Garde" w:cs="Times New Roman"/>
            <w:b w:val="0"/>
            <w:color w:val="0563C1"/>
            <w:kern w:val="2"/>
            <w:sz w:val="20"/>
            <w:szCs w:val="20"/>
            <w:u w:val="single"/>
            <w:lang w:val="es-MX"/>
            <w14:ligatures w14:val="standardContextual"/>
          </w:rPr>
          <w:t>https://www.ift.org.mx/industria/consultas-publicas/ficha-de-consulta-publica?project_cp=24429</w:t>
        </w:r>
      </w:hyperlink>
      <w:r w:rsidRPr="0066403F">
        <w:rPr>
          <w:rFonts w:ascii="ITC Avant Garde" w:eastAsia="Calibri" w:hAnsi="ITC Avant Garde" w:cs="Times New Roman"/>
          <w:b w:val="0"/>
          <w:color w:val="auto"/>
          <w:kern w:val="2"/>
          <w:sz w:val="20"/>
          <w:szCs w:val="20"/>
          <w:lang w:val="es-MX"/>
          <w14:ligatures w14:val="standardContextual"/>
        </w:rPr>
        <w:t xml:space="preserve"> (Recuperado el 17/12/2024)</w:t>
      </w:r>
    </w:p>
    <w:p w14:paraId="2FD8B6A4" w14:textId="77777777" w:rsidR="0066403F" w:rsidRPr="0066403F" w:rsidRDefault="0066403F" w:rsidP="0066403F">
      <w:pPr>
        <w:pStyle w:val="Prrafodelista"/>
        <w:numPr>
          <w:ilvl w:val="0"/>
          <w:numId w:val="44"/>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66403F">
        <w:rPr>
          <w:rFonts w:ascii="ITC Avant Garde" w:eastAsia="Calibri" w:hAnsi="ITC Avant Garde" w:cs="Times New Roman"/>
          <w:b w:val="0"/>
          <w:color w:val="auto"/>
          <w:kern w:val="2"/>
          <w:sz w:val="20"/>
          <w:szCs w:val="20"/>
          <w:lang w:val="es-MX"/>
          <w14:ligatures w14:val="standardContextual"/>
        </w:rPr>
        <w:t xml:space="preserve">Programa Anual de Trabajo 2024. (IFT). Disponible en la siguiente liga electrónica: </w:t>
      </w:r>
      <w:hyperlink r:id="rId37" w:history="1">
        <w:r w:rsidRPr="0066403F">
          <w:rPr>
            <w:rFonts w:ascii="ITC Avant Garde" w:eastAsia="Calibri" w:hAnsi="ITC Avant Garde" w:cs="Times New Roman"/>
            <w:b w:val="0"/>
            <w:color w:val="0563C1"/>
            <w:kern w:val="2"/>
            <w:sz w:val="20"/>
            <w:szCs w:val="20"/>
            <w:u w:val="single"/>
            <w:lang w:val="es-MX"/>
            <w14:ligatures w14:val="standardContextual"/>
          </w:rPr>
          <w:t>https://www.ift.org.mx/sites/default/files/pat_2024.pdf</w:t>
        </w:r>
      </w:hyperlink>
      <w:r w:rsidRPr="0066403F">
        <w:rPr>
          <w:rFonts w:ascii="ITC Avant Garde" w:eastAsia="Calibri" w:hAnsi="ITC Avant Garde" w:cs="Times New Roman"/>
          <w:b w:val="0"/>
          <w:color w:val="auto"/>
          <w:kern w:val="2"/>
          <w:sz w:val="20"/>
          <w:szCs w:val="20"/>
          <w:lang w:val="es-MX"/>
          <w14:ligatures w14:val="standardContextual"/>
        </w:rPr>
        <w:t xml:space="preserve"> (Recuperado el 17/12/2024)</w:t>
      </w:r>
    </w:p>
    <w:p w14:paraId="27E36E32" w14:textId="77777777" w:rsidR="0066403F" w:rsidRPr="0066403F" w:rsidRDefault="0066403F" w:rsidP="0066403F">
      <w:pPr>
        <w:pStyle w:val="Prrafodelista"/>
        <w:numPr>
          <w:ilvl w:val="0"/>
          <w:numId w:val="44"/>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66403F">
        <w:rPr>
          <w:rFonts w:ascii="ITC Avant Garde" w:eastAsia="Calibri" w:hAnsi="ITC Avant Garde" w:cs="Times New Roman"/>
          <w:b w:val="0"/>
          <w:color w:val="auto"/>
          <w:kern w:val="2"/>
          <w:sz w:val="20"/>
          <w:szCs w:val="20"/>
          <w14:ligatures w14:val="standardContextual"/>
        </w:rPr>
        <w:t xml:space="preserve">Publicación en el Diario Oficial de la Federación el 05 de noviembre de 2019. Disponible en la siguiente liga electrónica: </w:t>
      </w:r>
      <w:hyperlink r:id="rId38" w:anchor="gsc.tab=0" w:history="1">
        <w:r w:rsidRPr="0066403F">
          <w:rPr>
            <w:rFonts w:ascii="ITC Avant Garde" w:eastAsia="Calibri" w:hAnsi="ITC Avant Garde" w:cs="Times New Roman"/>
            <w:b w:val="0"/>
            <w:color w:val="0563C1"/>
            <w:kern w:val="2"/>
            <w:sz w:val="20"/>
            <w:szCs w:val="20"/>
            <w:u w:val="single"/>
            <w14:ligatures w14:val="standardContextual"/>
          </w:rPr>
          <w:t>https://www.dof.gob.mx/nota_detalle.php?codigo=5577783&amp;fecha=05/11/2019#gsc.tab=0</w:t>
        </w:r>
      </w:hyperlink>
      <w:r w:rsidRPr="0066403F">
        <w:rPr>
          <w:rFonts w:ascii="ITC Avant Garde" w:eastAsia="Calibri" w:hAnsi="ITC Avant Garde" w:cs="Times New Roman"/>
          <w:b w:val="0"/>
          <w:color w:val="auto"/>
          <w:kern w:val="2"/>
          <w:sz w:val="20"/>
          <w:szCs w:val="20"/>
          <w:lang w:val="es-MX"/>
          <w14:ligatures w14:val="standardContextual"/>
        </w:rPr>
        <w:t xml:space="preserve"> (Recuperado el 17/12/2024)</w:t>
      </w:r>
    </w:p>
    <w:p w14:paraId="5B074BFB" w14:textId="77777777" w:rsidR="0066403F" w:rsidRPr="0066403F" w:rsidRDefault="0066403F" w:rsidP="0066403F">
      <w:pPr>
        <w:pStyle w:val="Prrafodelista"/>
        <w:numPr>
          <w:ilvl w:val="0"/>
          <w:numId w:val="44"/>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66403F">
        <w:rPr>
          <w:rFonts w:ascii="ITC Avant Garde" w:eastAsia="Calibri" w:hAnsi="ITC Avant Garde" w:cs="Times New Roman"/>
          <w:b w:val="0"/>
          <w:color w:val="auto"/>
          <w:kern w:val="2"/>
          <w:sz w:val="20"/>
          <w:szCs w:val="20"/>
          <w:lang w:val="es-MX"/>
          <w14:ligatures w14:val="standardContextual"/>
        </w:rPr>
        <w:t xml:space="preserve">Publicación en el Diario Oficial de la Federación el 14 de julio de 2014. Disponible en la siguiente liga electrónica: </w:t>
      </w:r>
      <w:hyperlink r:id="rId39" w:anchor="gsc.tab=0" w:history="1">
        <w:r w:rsidRPr="0066403F">
          <w:rPr>
            <w:rFonts w:ascii="ITC Avant Garde" w:eastAsia="Calibri" w:hAnsi="ITC Avant Garde" w:cs="Times New Roman"/>
            <w:b w:val="0"/>
            <w:bCs/>
            <w:color w:val="0563C1"/>
            <w:kern w:val="2"/>
            <w:sz w:val="20"/>
            <w:szCs w:val="20"/>
            <w:u w:val="single"/>
            <w14:ligatures w14:val="standardContextual"/>
          </w:rPr>
          <w:t>https://www.dof.gob.mx/nota_detalle.php?codigo=5352323&amp;fecha=14/07/2014#gsc.tab=0</w:t>
        </w:r>
      </w:hyperlink>
      <w:r w:rsidRPr="0066403F">
        <w:rPr>
          <w:rFonts w:ascii="ITC Avant Garde" w:eastAsia="Calibri" w:hAnsi="ITC Avant Garde" w:cs="Times New Roman"/>
          <w:b w:val="0"/>
          <w:color w:val="auto"/>
          <w:kern w:val="2"/>
          <w:sz w:val="20"/>
          <w:szCs w:val="20"/>
          <w:lang w:val="es-MX"/>
          <w14:ligatures w14:val="standardContextual"/>
        </w:rPr>
        <w:t xml:space="preserve"> (Recuperado el 17/12/2024)</w:t>
      </w:r>
    </w:p>
    <w:p w14:paraId="41FAB187" w14:textId="77777777" w:rsidR="0066403F" w:rsidRPr="0066403F" w:rsidRDefault="0066403F" w:rsidP="0066403F">
      <w:pPr>
        <w:pStyle w:val="Prrafodelista"/>
        <w:numPr>
          <w:ilvl w:val="0"/>
          <w:numId w:val="44"/>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66403F">
        <w:rPr>
          <w:rFonts w:ascii="ITC Avant Garde" w:eastAsia="Calibri" w:hAnsi="ITC Avant Garde" w:cs="Times New Roman"/>
          <w:b w:val="0"/>
          <w:color w:val="auto"/>
          <w:kern w:val="2"/>
          <w:sz w:val="20"/>
          <w:szCs w:val="20"/>
          <w:lang w:val="es-MX"/>
          <w14:ligatures w14:val="standardContextual"/>
        </w:rPr>
        <w:t xml:space="preserve">Publicación del Registro de Regulaciones del IFT, Acuerdo mediante el cual el Pleno del Instituto Federal de Telecomunicaciones extingue, abroga, deja sin efectos y modifica diversas disposiciones relacionadas con trámites a su cargo y que por diversas circunstancias han perdido su utilidad. Disponible en el Registro de Regulaciones del IFT: </w:t>
      </w:r>
      <w:hyperlink r:id="rId40" w:history="1">
        <w:r w:rsidRPr="0066403F">
          <w:rPr>
            <w:rFonts w:ascii="ITC Avant Garde" w:eastAsia="Calibri" w:hAnsi="ITC Avant Garde" w:cs="Times New Roman"/>
            <w:b w:val="0"/>
            <w:color w:val="0563C1"/>
            <w:kern w:val="2"/>
            <w:sz w:val="20"/>
            <w:szCs w:val="20"/>
            <w:u w:val="single"/>
            <w:lang w:val="es-MX"/>
            <w14:ligatures w14:val="standardContextual"/>
          </w:rPr>
          <w:t>https://www.ift.org.mx/sites/default/files/c-ca-27-deadseddt.pdf</w:t>
        </w:r>
      </w:hyperlink>
      <w:r w:rsidRPr="0066403F">
        <w:rPr>
          <w:rFonts w:ascii="ITC Avant Garde" w:eastAsia="Calibri" w:hAnsi="ITC Avant Garde" w:cs="Times New Roman"/>
          <w:b w:val="0"/>
          <w:color w:val="auto"/>
          <w:kern w:val="2"/>
          <w:sz w:val="20"/>
          <w:szCs w:val="20"/>
          <w:lang w:val="es-MX"/>
          <w14:ligatures w14:val="standardContextual"/>
        </w:rPr>
        <w:t xml:space="preserve"> (Recuperado el 17/12/2024)</w:t>
      </w:r>
    </w:p>
    <w:p w14:paraId="49795D9C" w14:textId="77777777" w:rsidR="0066403F" w:rsidRPr="0066403F" w:rsidRDefault="0066403F" w:rsidP="0066403F">
      <w:pPr>
        <w:pStyle w:val="Prrafodelista"/>
        <w:numPr>
          <w:ilvl w:val="0"/>
          <w:numId w:val="44"/>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66403F">
        <w:rPr>
          <w:rFonts w:ascii="ITC Avant Garde" w:eastAsia="Calibri" w:hAnsi="ITC Avant Garde" w:cs="Times New Roman"/>
          <w:b w:val="0"/>
          <w:color w:val="auto"/>
          <w:kern w:val="2"/>
          <w:sz w:val="20"/>
          <w:szCs w:val="20"/>
          <w:lang w:val="es-MX"/>
          <w14:ligatures w14:val="standardContextual"/>
        </w:rPr>
        <w:t xml:space="preserve">Publicación del Registro de Regulaciones del IFT, Lineamientos para la sustanciación de los trámites y servicios que se realicen ante el Instituto Federal de Telecomunicaciones, a través de la Ventanilla Electrónica. Disponible en el Registro de Regulaciones del IFT: </w:t>
      </w:r>
      <w:hyperlink r:id="rId41" w:anchor="/regulaciones/detalle/93" w:history="1">
        <w:r w:rsidRPr="0066403F">
          <w:rPr>
            <w:rFonts w:ascii="ITC Avant Garde" w:eastAsia="Calibri" w:hAnsi="ITC Avant Garde" w:cs="Times New Roman"/>
            <w:b w:val="0"/>
            <w:color w:val="0563C1"/>
            <w:kern w:val="2"/>
            <w:sz w:val="20"/>
            <w:szCs w:val="20"/>
            <w:u w:val="single"/>
            <w:lang w:val="es-MX"/>
            <w14:ligatures w14:val="standardContextual"/>
          </w:rPr>
          <w:t>https://registroregulaciones.ift.org.mx/#/regulaciones/detalle/93</w:t>
        </w:r>
      </w:hyperlink>
      <w:r w:rsidRPr="0066403F">
        <w:rPr>
          <w:rFonts w:ascii="ITC Avant Garde" w:eastAsia="Calibri" w:hAnsi="ITC Avant Garde" w:cs="Times New Roman"/>
          <w:b w:val="0"/>
          <w:color w:val="auto"/>
          <w:kern w:val="2"/>
          <w:sz w:val="20"/>
          <w:szCs w:val="20"/>
          <w:lang w:val="es-MX"/>
          <w14:ligatures w14:val="standardContextual"/>
        </w:rPr>
        <w:t xml:space="preserve"> (Recuperado el 17/12/2024)</w:t>
      </w:r>
    </w:p>
    <w:p w14:paraId="50091425" w14:textId="77777777" w:rsidR="0066403F" w:rsidRPr="0066403F" w:rsidRDefault="0066403F" w:rsidP="0066403F">
      <w:pPr>
        <w:pStyle w:val="Prrafodelista"/>
        <w:numPr>
          <w:ilvl w:val="0"/>
          <w:numId w:val="44"/>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66403F">
        <w:rPr>
          <w:rFonts w:ascii="ITC Avant Garde" w:eastAsia="Calibri" w:hAnsi="ITC Avant Garde" w:cs="Times New Roman"/>
          <w:b w:val="0"/>
          <w:color w:val="auto"/>
          <w:kern w:val="2"/>
          <w:sz w:val="20"/>
          <w:szCs w:val="20"/>
          <w:lang w:val="es-MX"/>
          <w14:ligatures w14:val="standardContextual"/>
        </w:rPr>
        <w:t xml:space="preserve">Recomendación del Consejo sobre Política y Gobernanza Regulatoria, OCDE, 2012. Disponible en la siguiente liga electrónica: </w:t>
      </w:r>
      <w:hyperlink r:id="rId42" w:history="1">
        <w:r w:rsidRPr="0066403F">
          <w:rPr>
            <w:rFonts w:ascii="ITC Avant Garde" w:eastAsia="Calibri" w:hAnsi="ITC Avant Garde" w:cs="Times New Roman"/>
            <w:b w:val="0"/>
            <w:color w:val="0563C1"/>
            <w:kern w:val="2"/>
            <w:sz w:val="20"/>
            <w:szCs w:val="20"/>
            <w:u w:val="single"/>
            <w14:ligatures w14:val="standardContextual"/>
          </w:rPr>
          <w:t>https://www.oecd.org/content/dam/oecd/es/publications/reports/2012/11/recommendation-of-the-council-on-regulatory-policy-and-governance_g1g3fce5/9789264209046-es.pdf</w:t>
        </w:r>
      </w:hyperlink>
      <w:r w:rsidRPr="0066403F">
        <w:rPr>
          <w:rFonts w:ascii="ITC Avant Garde" w:eastAsia="Calibri" w:hAnsi="ITC Avant Garde" w:cs="Times New Roman"/>
          <w:b w:val="0"/>
          <w:color w:val="auto"/>
          <w:kern w:val="2"/>
          <w:sz w:val="20"/>
          <w:szCs w:val="20"/>
          <w:lang w:val="es-MX"/>
          <w14:ligatures w14:val="standardContextual"/>
        </w:rPr>
        <w:t xml:space="preserve"> (Recuperado el 17/12/2024)</w:t>
      </w:r>
    </w:p>
    <w:p w14:paraId="0756AD8E" w14:textId="77777777" w:rsidR="009D6EDE" w:rsidRPr="0066403F" w:rsidRDefault="0066403F" w:rsidP="0066403F">
      <w:pPr>
        <w:pStyle w:val="Prrafodelista"/>
        <w:numPr>
          <w:ilvl w:val="0"/>
          <w:numId w:val="44"/>
        </w:numPr>
        <w:spacing w:after="160" w:line="278" w:lineRule="auto"/>
        <w:jc w:val="both"/>
        <w:rPr>
          <w:rFonts w:ascii="ITC Avant Garde" w:eastAsia="Calibri" w:hAnsi="ITC Avant Garde" w:cs="Times New Roman"/>
          <w:b w:val="0"/>
          <w:color w:val="auto"/>
          <w:kern w:val="2"/>
          <w:sz w:val="20"/>
          <w:szCs w:val="20"/>
          <w:lang w:val="es-MX"/>
          <w14:ligatures w14:val="standardContextual"/>
        </w:rPr>
      </w:pPr>
      <w:r w:rsidRPr="0066403F">
        <w:rPr>
          <w:rFonts w:ascii="ITC Avant Garde" w:eastAsia="Calibri" w:hAnsi="ITC Avant Garde" w:cs="Times New Roman"/>
          <w:b w:val="0"/>
          <w:color w:val="auto"/>
          <w:kern w:val="2"/>
          <w:sz w:val="20"/>
          <w:szCs w:val="20"/>
          <w:lang w:val="es-MX"/>
          <w14:ligatures w14:val="standardContextual"/>
        </w:rPr>
        <w:t xml:space="preserve">Ventanilla electrónica del IFT. Disponible en la siguiente liga electrónica: </w:t>
      </w:r>
      <w:hyperlink r:id="rId43" w:history="1">
        <w:r w:rsidRPr="0066403F">
          <w:rPr>
            <w:rFonts w:ascii="ITC Avant Garde" w:eastAsia="Calibri" w:hAnsi="ITC Avant Garde" w:cs="Times New Roman"/>
            <w:b w:val="0"/>
            <w:color w:val="0563C1"/>
            <w:kern w:val="2"/>
            <w:sz w:val="20"/>
            <w:szCs w:val="20"/>
            <w:u w:val="single"/>
            <w:lang w:val="es-MX"/>
            <w14:ligatures w14:val="standardContextual"/>
          </w:rPr>
          <w:t>https://ventanilla.ift.org.mx/VentanillaElectronica/index.php/Login</w:t>
        </w:r>
      </w:hyperlink>
      <w:bookmarkEnd w:id="6"/>
      <w:r w:rsidRPr="0066403F">
        <w:rPr>
          <w:rFonts w:ascii="ITC Avant Garde" w:eastAsia="Calibri" w:hAnsi="ITC Avant Garde" w:cs="Times New Roman"/>
          <w:b w:val="0"/>
          <w:color w:val="auto"/>
          <w:kern w:val="2"/>
          <w:sz w:val="20"/>
          <w:szCs w:val="20"/>
          <w:lang w:val="es-MX"/>
          <w14:ligatures w14:val="standardContextual"/>
        </w:rPr>
        <w:t xml:space="preserve"> (Recuperado el 17/12/2024)</w:t>
      </w:r>
    </w:p>
    <w:sectPr w:rsidR="009D6EDE" w:rsidRPr="0066403F" w:rsidSect="00300411">
      <w:headerReference w:type="even" r:id="rId44"/>
      <w:headerReference w:type="default" r:id="rId45"/>
      <w:footerReference w:type="even" r:id="rId46"/>
      <w:pgSz w:w="11906" w:h="16838" w:code="9"/>
      <w:pgMar w:top="1152" w:right="1274" w:bottom="720" w:left="1418" w:header="0" w:footer="0"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3C35C" w14:textId="77777777" w:rsidR="000C040A" w:rsidRDefault="000C040A" w:rsidP="0066403F">
      <w:pPr>
        <w:spacing w:line="240" w:lineRule="auto"/>
      </w:pPr>
      <w:r>
        <w:separator/>
      </w:r>
    </w:p>
  </w:endnote>
  <w:endnote w:type="continuationSeparator" w:id="0">
    <w:p w14:paraId="5F09EEBB" w14:textId="77777777" w:rsidR="000C040A" w:rsidRDefault="000C040A" w:rsidP="006640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TC Avant Garde">
    <w:panose1 w:val="020B0402020203020304"/>
    <w:charset w:val="00"/>
    <w:family w:val="swiss"/>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508C4" w14:textId="77777777" w:rsidR="00CB224C" w:rsidRDefault="000C040A" w:rsidP="007057F4">
    <w:pPr>
      <w:pStyle w:val="Piedepgina"/>
    </w:pPr>
    <w:sdt>
      <w:sdtPr>
        <w:rPr>
          <w:rFonts w:asciiTheme="majorHAnsi" w:eastAsiaTheme="majorEastAsia" w:hAnsiTheme="majorHAnsi" w:cstheme="majorBidi"/>
        </w:rPr>
        <w:id w:val="306900621"/>
        <w:temporary/>
        <w:showingPlcHdr/>
      </w:sdtPr>
      <w:sdtEndPr/>
      <w:sdtContent>
        <w:r w:rsidR="003B4022">
          <w:rPr>
            <w:lang w:bidi="es-ES"/>
          </w:rPr>
          <w:t>Escriba el título de capítulo (nivel 1)</w:t>
        </w:r>
      </w:sdtContent>
    </w:sdt>
    <w:r w:rsidR="003B4022">
      <w:rPr>
        <w:rFonts w:asciiTheme="majorHAnsi" w:eastAsiaTheme="majorEastAsia" w:hAnsiTheme="majorHAnsi" w:cstheme="majorBidi"/>
        <w:lang w:bidi="es-ES"/>
      </w:rPr>
      <w:ptab w:relativeTo="margin" w:alignment="right" w:leader="none"/>
    </w:r>
    <w:r w:rsidR="003B4022">
      <w:rPr>
        <w:rFonts w:asciiTheme="majorHAnsi" w:eastAsiaTheme="majorEastAsia" w:hAnsiTheme="majorHAnsi" w:cstheme="majorBidi"/>
        <w:lang w:bidi="es-ES"/>
      </w:rPr>
      <w:t xml:space="preserve">de título </w:t>
    </w:r>
    <w:r w:rsidR="003B4022">
      <w:rPr>
        <w:lang w:bidi="es-ES"/>
      </w:rPr>
      <w:fldChar w:fldCharType="begin"/>
    </w:r>
    <w:r w:rsidR="003B4022">
      <w:rPr>
        <w:lang w:bidi="es-ES"/>
      </w:rPr>
      <w:instrText xml:space="preserve"> PAGE   \* MERGEFORMAT </w:instrText>
    </w:r>
    <w:r w:rsidR="003B4022">
      <w:rPr>
        <w:lang w:bidi="es-ES"/>
      </w:rPr>
      <w:fldChar w:fldCharType="separate"/>
    </w:r>
    <w:r w:rsidR="003B4022">
      <w:rPr>
        <w:rFonts w:asciiTheme="majorHAnsi" w:eastAsiaTheme="majorEastAsia" w:hAnsiTheme="majorHAnsi" w:cstheme="majorBidi"/>
        <w:noProof/>
        <w:lang w:bidi="es-ES"/>
      </w:rPr>
      <w:t>4</w:t>
    </w:r>
    <w:r w:rsidR="003B4022">
      <w:rPr>
        <w:rFonts w:asciiTheme="majorHAnsi" w:eastAsiaTheme="majorEastAsia" w:hAnsiTheme="majorHAnsi" w:cstheme="majorBidi"/>
        <w:noProof/>
        <w:lang w:bidi="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575C91" w14:textId="77777777" w:rsidR="000C040A" w:rsidRDefault="000C040A" w:rsidP="0066403F">
      <w:pPr>
        <w:spacing w:line="240" w:lineRule="auto"/>
      </w:pPr>
      <w:r>
        <w:separator/>
      </w:r>
    </w:p>
  </w:footnote>
  <w:footnote w:type="continuationSeparator" w:id="0">
    <w:p w14:paraId="5006E958" w14:textId="77777777" w:rsidR="000C040A" w:rsidRDefault="000C040A" w:rsidP="0066403F">
      <w:pPr>
        <w:spacing w:line="240" w:lineRule="auto"/>
      </w:pPr>
      <w:r>
        <w:continuationSeparator/>
      </w:r>
    </w:p>
  </w:footnote>
  <w:footnote w:id="1">
    <w:p w14:paraId="37C03BB5" w14:textId="77777777" w:rsidR="0066403F" w:rsidRPr="00AF5A60" w:rsidRDefault="0066403F" w:rsidP="0066403F">
      <w:pPr>
        <w:pStyle w:val="Textonotapie1"/>
        <w:rPr>
          <w:rFonts w:ascii="ITC Avant Garde" w:hAnsi="ITC Avant Garde"/>
          <w:sz w:val="16"/>
          <w:szCs w:val="16"/>
        </w:rPr>
      </w:pPr>
      <w:r w:rsidRPr="00AF5A60">
        <w:rPr>
          <w:rStyle w:val="Refdenotaalpie"/>
          <w:rFonts w:ascii="ITC Avant Garde" w:hAnsi="ITC Avant Garde"/>
          <w:sz w:val="16"/>
          <w:szCs w:val="16"/>
        </w:rPr>
        <w:footnoteRef/>
      </w:r>
      <w:r w:rsidRPr="00AF5A60">
        <w:rPr>
          <w:rFonts w:ascii="ITC Avant Garde" w:hAnsi="ITC Avant Garde"/>
          <w:sz w:val="16"/>
          <w:szCs w:val="16"/>
        </w:rPr>
        <w:t xml:space="preserve"> Programa Anual de Trabajo 2024. Disponible en la siguiente liga electrónica: </w:t>
      </w:r>
      <w:hyperlink r:id="rId1" w:history="1">
        <w:r w:rsidRPr="00AF5A60">
          <w:rPr>
            <w:rStyle w:val="Hipervnculo"/>
            <w:rFonts w:ascii="ITC Avant Garde" w:hAnsi="ITC Avant Garde"/>
            <w:sz w:val="16"/>
            <w:szCs w:val="16"/>
          </w:rPr>
          <w:t>https://www.ift.org.mx/sites/default/files/pat_2024.pdf</w:t>
        </w:r>
      </w:hyperlink>
    </w:p>
  </w:footnote>
  <w:footnote w:id="2">
    <w:p w14:paraId="64BF68BE" w14:textId="77777777" w:rsidR="0066403F" w:rsidRPr="00C10DC8" w:rsidRDefault="0066403F" w:rsidP="0066403F">
      <w:pPr>
        <w:pStyle w:val="Textonotapie1"/>
        <w:spacing w:line="240" w:lineRule="atLeast"/>
        <w:rPr>
          <w:rFonts w:ascii="ITC Avant Garde" w:hAnsi="ITC Avant Garde"/>
          <w:sz w:val="16"/>
          <w:szCs w:val="16"/>
        </w:rPr>
      </w:pPr>
      <w:r w:rsidRPr="00C10DC8">
        <w:rPr>
          <w:rStyle w:val="Refdenotaalpie"/>
          <w:rFonts w:ascii="ITC Avant Garde" w:hAnsi="ITC Avant Garde"/>
          <w:sz w:val="16"/>
          <w:szCs w:val="16"/>
        </w:rPr>
        <w:footnoteRef/>
      </w:r>
      <w:r w:rsidRPr="00C10DC8">
        <w:rPr>
          <w:rFonts w:ascii="ITC Avant Garde" w:hAnsi="ITC Avant Garde"/>
          <w:sz w:val="16"/>
          <w:szCs w:val="16"/>
        </w:rPr>
        <w:t xml:space="preserve"> Portal de Consultas Públicas del IFT. Disponible en la siguiente liga electrónica:</w:t>
      </w:r>
      <w:hyperlink r:id="rId2" w:history="1">
        <w:r w:rsidRPr="00C10DC8">
          <w:rPr>
            <w:rStyle w:val="Hipervnculo"/>
            <w:rFonts w:ascii="ITC Avant Garde" w:hAnsi="ITC Avant Garde"/>
            <w:sz w:val="16"/>
            <w:szCs w:val="16"/>
          </w:rPr>
          <w:t>https://www.ift.org.mx/industria/consultas-publicas/ficha-de-consulta-publica?project_cp=24429</w:t>
        </w:r>
      </w:hyperlink>
    </w:p>
  </w:footnote>
  <w:footnote w:id="3">
    <w:p w14:paraId="1E2220A2" w14:textId="77777777" w:rsidR="0066403F" w:rsidRPr="00C10DC8" w:rsidRDefault="0066403F" w:rsidP="0066403F">
      <w:pPr>
        <w:pStyle w:val="Textonotapie1"/>
        <w:spacing w:line="240" w:lineRule="atLeast"/>
        <w:rPr>
          <w:rFonts w:ascii="ITC Avant Garde" w:hAnsi="ITC Avant Garde"/>
          <w:sz w:val="16"/>
          <w:szCs w:val="16"/>
        </w:rPr>
      </w:pPr>
      <w:r w:rsidRPr="00C10DC8">
        <w:rPr>
          <w:rStyle w:val="Refdenotaalpie"/>
          <w:rFonts w:ascii="ITC Avant Garde" w:hAnsi="ITC Avant Garde"/>
          <w:sz w:val="16"/>
          <w:szCs w:val="16"/>
        </w:rPr>
        <w:footnoteRef/>
      </w:r>
      <w:r w:rsidRPr="00C10DC8">
        <w:rPr>
          <w:rFonts w:ascii="ITC Avant Garde" w:hAnsi="ITC Avant Garde"/>
          <w:sz w:val="16"/>
          <w:szCs w:val="16"/>
        </w:rPr>
        <w:t xml:space="preserve"> Ventanilla electrónica del IFT. Disponible en la siguiente liga electrónica: </w:t>
      </w:r>
      <w:hyperlink r:id="rId3" w:history="1">
        <w:r w:rsidRPr="00C10DC8">
          <w:rPr>
            <w:rStyle w:val="Hipervnculo"/>
            <w:rFonts w:ascii="ITC Avant Garde" w:hAnsi="ITC Avant Garde"/>
            <w:sz w:val="16"/>
            <w:szCs w:val="16"/>
          </w:rPr>
          <w:t>https://ventanilla.ift.org.mx/VentanillaElectronica/index.php/Login</w:t>
        </w:r>
      </w:hyperlink>
      <w:r w:rsidRPr="00C10DC8">
        <w:rPr>
          <w:rFonts w:ascii="ITC Avant Garde" w:hAnsi="ITC Avant Garde"/>
          <w:sz w:val="16"/>
          <w:szCs w:val="16"/>
        </w:rPr>
        <w:t xml:space="preserve"> </w:t>
      </w:r>
    </w:p>
  </w:footnote>
  <w:footnote w:id="4">
    <w:p w14:paraId="1E4AB800" w14:textId="77777777" w:rsidR="0066403F" w:rsidRPr="00C10DC8" w:rsidRDefault="0066403F" w:rsidP="0066403F">
      <w:pPr>
        <w:pStyle w:val="Textonotapie"/>
        <w:rPr>
          <w:rFonts w:ascii="ITC Avant Garde" w:hAnsi="ITC Avant Garde"/>
          <w:b w:val="0"/>
          <w:sz w:val="16"/>
          <w:szCs w:val="16"/>
          <w:lang w:val="es-MX"/>
        </w:rPr>
      </w:pPr>
      <w:r w:rsidRPr="00C10DC8">
        <w:rPr>
          <w:rStyle w:val="Refdenotaalpie"/>
          <w:rFonts w:ascii="ITC Avant Garde" w:hAnsi="ITC Avant Garde"/>
          <w:b w:val="0"/>
          <w:sz w:val="16"/>
          <w:szCs w:val="16"/>
        </w:rPr>
        <w:footnoteRef/>
      </w:r>
      <w:r w:rsidRPr="00C10DC8">
        <w:rPr>
          <w:rFonts w:ascii="ITC Avant Garde" w:hAnsi="ITC Avant Garde"/>
          <w:sz w:val="16"/>
          <w:szCs w:val="16"/>
        </w:rPr>
        <w:t xml:space="preserve"> </w:t>
      </w:r>
      <w:r w:rsidRPr="00C10DC8">
        <w:rPr>
          <w:rFonts w:ascii="ITC Avant Garde" w:hAnsi="ITC Avant Garde"/>
          <w:b w:val="0"/>
          <w:sz w:val="16"/>
          <w:szCs w:val="16"/>
          <w:lang w:val="es-MX"/>
        </w:rPr>
        <w:t xml:space="preserve">Publicado en el Diario Oficial de la Federación el 14 de julio de 2014. </w:t>
      </w:r>
      <w:r w:rsidRPr="00C10DC8">
        <w:rPr>
          <w:rFonts w:ascii="ITC Avant Garde" w:hAnsi="ITC Avant Garde"/>
          <w:b w:val="0"/>
          <w:bCs/>
          <w:sz w:val="16"/>
          <w:szCs w:val="16"/>
          <w:lang w:val="es-MX"/>
        </w:rPr>
        <w:t>Disponible en la siguiente liga electrónica</w:t>
      </w:r>
      <w:r w:rsidRPr="00C10DC8">
        <w:rPr>
          <w:rFonts w:ascii="ITC Avant Garde" w:hAnsi="ITC Avant Garde"/>
          <w:sz w:val="16"/>
          <w:szCs w:val="16"/>
          <w:lang w:val="es-MX"/>
        </w:rPr>
        <w:t xml:space="preserve">: </w:t>
      </w:r>
      <w:hyperlink r:id="rId4" w:anchor="gsc.tab=0" w:history="1">
        <w:r w:rsidRPr="00C10DC8">
          <w:rPr>
            <w:rStyle w:val="Hipervnculo"/>
            <w:rFonts w:ascii="ITC Avant Garde" w:hAnsi="ITC Avant Garde"/>
            <w:b w:val="0"/>
            <w:bCs/>
            <w:sz w:val="16"/>
            <w:szCs w:val="16"/>
          </w:rPr>
          <w:t>https://www.dof.gob.mx/nota_detalle.php?codigo=5352323&amp;fecha=14/07/2014#gsc.tab=0</w:t>
        </w:r>
      </w:hyperlink>
    </w:p>
  </w:footnote>
  <w:footnote w:id="5">
    <w:p w14:paraId="3381A6FA" w14:textId="77777777" w:rsidR="0066403F" w:rsidRPr="00C10DC8" w:rsidRDefault="0066403F" w:rsidP="0066403F">
      <w:pPr>
        <w:pStyle w:val="Textonotapie1"/>
        <w:rPr>
          <w:rFonts w:ascii="ITC Avant Garde" w:hAnsi="ITC Avant Garde"/>
          <w:sz w:val="16"/>
          <w:szCs w:val="16"/>
        </w:rPr>
      </w:pPr>
      <w:r w:rsidRPr="00C10DC8">
        <w:rPr>
          <w:rStyle w:val="Refdenotaalpie"/>
          <w:rFonts w:ascii="ITC Avant Garde" w:hAnsi="ITC Avant Garde"/>
          <w:sz w:val="16"/>
          <w:szCs w:val="16"/>
        </w:rPr>
        <w:footnoteRef/>
      </w:r>
      <w:r w:rsidRPr="00C10DC8">
        <w:rPr>
          <w:rFonts w:ascii="ITC Avant Garde" w:hAnsi="ITC Avant Garde"/>
          <w:sz w:val="16"/>
          <w:szCs w:val="16"/>
        </w:rPr>
        <w:t xml:space="preserve"> Publicación en el Diario Oficial de la Federación con fecha del 05 de noviembre de 2019. Disponible en la siguiente liga electrónica: </w:t>
      </w:r>
      <w:hyperlink r:id="rId5" w:anchor="gsc.tab=0" w:history="1">
        <w:r w:rsidRPr="00C10DC8">
          <w:rPr>
            <w:rStyle w:val="Hipervnculo"/>
            <w:rFonts w:ascii="ITC Avant Garde" w:hAnsi="ITC Avant Garde"/>
            <w:sz w:val="16"/>
            <w:szCs w:val="16"/>
          </w:rPr>
          <w:t>https://www.dof.gob.mx/nota_detalle.php?codigo=5577783&amp;fecha=05/11/2019#gsc.tab=0</w:t>
        </w:r>
      </w:hyperlink>
    </w:p>
    <w:p w14:paraId="0FEF8988" w14:textId="77777777" w:rsidR="0066403F" w:rsidRPr="007E553F" w:rsidRDefault="0066403F" w:rsidP="0066403F">
      <w:pPr>
        <w:pStyle w:val="Textonotapie1"/>
        <w:rPr>
          <w:rFonts w:ascii="ITC Avant Garde" w:hAnsi="ITC Avant Garde"/>
          <w:sz w:val="16"/>
          <w:szCs w:val="16"/>
        </w:rPr>
      </w:pPr>
    </w:p>
  </w:footnote>
  <w:footnote w:id="6">
    <w:p w14:paraId="737BEF89" w14:textId="77777777" w:rsidR="0066403F" w:rsidRPr="00C51465" w:rsidRDefault="0066403F" w:rsidP="0066403F">
      <w:pPr>
        <w:pStyle w:val="Textonotapie"/>
        <w:rPr>
          <w:rFonts w:ascii="ITC Avant Garde" w:hAnsi="ITC Avant Garde"/>
          <w:b w:val="0"/>
          <w:sz w:val="16"/>
          <w:szCs w:val="16"/>
          <w:lang w:val="es-MX"/>
        </w:rPr>
      </w:pPr>
      <w:r w:rsidRPr="00C51465">
        <w:rPr>
          <w:rStyle w:val="Refdenotaalpie"/>
          <w:rFonts w:ascii="ITC Avant Garde" w:hAnsi="ITC Avant Garde"/>
          <w:b w:val="0"/>
          <w:sz w:val="16"/>
          <w:szCs w:val="16"/>
        </w:rPr>
        <w:footnoteRef/>
      </w:r>
      <w:r w:rsidRPr="00C51465">
        <w:rPr>
          <w:rFonts w:ascii="ITC Avant Garde" w:hAnsi="ITC Avant Garde"/>
          <w:b w:val="0"/>
          <w:sz w:val="16"/>
          <w:szCs w:val="16"/>
        </w:rPr>
        <w:t xml:space="preserve"> </w:t>
      </w:r>
      <w:r w:rsidRPr="00C51465">
        <w:rPr>
          <w:rFonts w:ascii="ITC Avant Garde" w:hAnsi="ITC Avant Garde"/>
          <w:b w:val="0"/>
          <w:sz w:val="16"/>
          <w:szCs w:val="16"/>
          <w:lang w:val="es-MX"/>
        </w:rPr>
        <w:t xml:space="preserve">Lineamientos para la sustanciación de los trámites y servicios que se realicen ante el Instituto Federal de Telecomunicaciones, a través de la Ventanilla Electrónica. Disponible en el Registro de Regulaciones del IFT: </w:t>
      </w:r>
      <w:hyperlink r:id="rId6" w:anchor="/regulaciones/detalle/93" w:history="1">
        <w:r w:rsidRPr="00C51465">
          <w:rPr>
            <w:rStyle w:val="Hipervnculo"/>
            <w:rFonts w:ascii="ITC Avant Garde" w:hAnsi="ITC Avant Garde"/>
            <w:b w:val="0"/>
            <w:sz w:val="16"/>
            <w:szCs w:val="16"/>
            <w:lang w:val="es-MX"/>
          </w:rPr>
          <w:t>https://registroregulaciones.ift.org.mx/#/regulaciones/detalle/93</w:t>
        </w:r>
      </w:hyperlink>
    </w:p>
    <w:p w14:paraId="74A13F65" w14:textId="77777777" w:rsidR="0066403F" w:rsidRPr="00B977DE" w:rsidRDefault="0066403F" w:rsidP="0066403F">
      <w:pPr>
        <w:pStyle w:val="Textonotapie"/>
        <w:rPr>
          <w:rFonts w:ascii="ITC Avant Garde" w:hAnsi="ITC Avant Garde"/>
          <w:b w:val="0"/>
          <w:sz w:val="16"/>
          <w:szCs w:val="16"/>
          <w:lang w:val="es-MX"/>
        </w:rPr>
      </w:pPr>
    </w:p>
    <w:p w14:paraId="690A03CB" w14:textId="77777777" w:rsidR="0066403F" w:rsidRPr="00B977DE" w:rsidRDefault="0066403F" w:rsidP="0066403F">
      <w:pPr>
        <w:pStyle w:val="Textonotapie"/>
        <w:rPr>
          <w:lang w:val="es-MX"/>
        </w:rPr>
      </w:pPr>
    </w:p>
  </w:footnote>
  <w:footnote w:id="7">
    <w:p w14:paraId="4040778F" w14:textId="77777777" w:rsidR="0066403F" w:rsidRPr="00C10DC8" w:rsidRDefault="0066403F" w:rsidP="0066403F">
      <w:pPr>
        <w:pStyle w:val="Textonotapie"/>
        <w:rPr>
          <w:rFonts w:ascii="ITC Avant Garde" w:hAnsi="ITC Avant Garde"/>
          <w:b w:val="0"/>
          <w:sz w:val="16"/>
          <w:szCs w:val="16"/>
        </w:rPr>
      </w:pPr>
      <w:r w:rsidRPr="00C10DC8">
        <w:rPr>
          <w:rStyle w:val="Refdenotaalpie"/>
          <w:rFonts w:ascii="ITC Avant Garde" w:hAnsi="ITC Avant Garde"/>
          <w:b w:val="0"/>
          <w:sz w:val="16"/>
          <w:szCs w:val="16"/>
        </w:rPr>
        <w:footnoteRef/>
      </w:r>
      <w:r w:rsidRPr="00C10DC8">
        <w:rPr>
          <w:rFonts w:ascii="ITC Avant Garde" w:hAnsi="ITC Avant Garde"/>
          <w:b w:val="0"/>
          <w:sz w:val="16"/>
          <w:szCs w:val="16"/>
        </w:rPr>
        <w:t xml:space="preserve"> </w:t>
      </w:r>
      <w:r w:rsidRPr="00C10DC8">
        <w:rPr>
          <w:rFonts w:ascii="ITC Avant Garde" w:eastAsia="Calibri" w:hAnsi="ITC Avant Garde" w:cs="Times New Roman"/>
          <w:b w:val="0"/>
          <w:color w:val="auto"/>
          <w:kern w:val="2"/>
          <w:sz w:val="16"/>
          <w:szCs w:val="16"/>
          <w:lang w:val="es-MX"/>
          <w14:ligatures w14:val="standardContextual"/>
        </w:rPr>
        <w:t xml:space="preserve">Recomendación del Consejo sobre Política y Gobernanza Regulatoria en 2012, OCDE, 2012. Página 6-19. Disponible en la siguiente liga electrónica: </w:t>
      </w:r>
      <w:hyperlink r:id="rId7" w:history="1">
        <w:r w:rsidRPr="00C10DC8">
          <w:rPr>
            <w:rStyle w:val="Hipervnculo"/>
            <w:rFonts w:ascii="ITC Avant Garde" w:hAnsi="ITC Avant Garde"/>
            <w:b w:val="0"/>
            <w:sz w:val="16"/>
            <w:szCs w:val="16"/>
          </w:rPr>
          <w:t>https://www.oecd.org/content/dam/oecd/es/publications/reports/2012/11/recommendation-of-the-council-on-regulatory-policy-and-governance_g1g3fce5/9789264209046-es.pdf</w:t>
        </w:r>
      </w:hyperlink>
    </w:p>
    <w:p w14:paraId="0437899C" w14:textId="77777777" w:rsidR="0066403F" w:rsidRPr="00B977DE" w:rsidRDefault="0066403F" w:rsidP="0066403F">
      <w:pPr>
        <w:pStyle w:val="Textonotapie"/>
        <w:jc w:val="both"/>
        <w:rPr>
          <w:lang w:val="es-MX"/>
        </w:rPr>
      </w:pPr>
    </w:p>
  </w:footnote>
  <w:footnote w:id="8">
    <w:p w14:paraId="61A6E549" w14:textId="77777777" w:rsidR="0066403F" w:rsidRPr="00AF5A60" w:rsidRDefault="0066403F" w:rsidP="0066403F">
      <w:pPr>
        <w:pStyle w:val="Textonotapie"/>
        <w:spacing w:line="240" w:lineRule="atLeast"/>
        <w:rPr>
          <w:rFonts w:ascii="ITC Avant Garde" w:hAnsi="ITC Avant Garde"/>
          <w:b w:val="0"/>
          <w:sz w:val="16"/>
          <w:szCs w:val="16"/>
          <w:lang w:val="es-MX"/>
        </w:rPr>
      </w:pPr>
      <w:r w:rsidRPr="00AF5A60">
        <w:rPr>
          <w:rStyle w:val="Refdenotaalpie"/>
          <w:rFonts w:ascii="ITC Avant Garde" w:hAnsi="ITC Avant Garde"/>
          <w:b w:val="0"/>
          <w:sz w:val="16"/>
          <w:szCs w:val="16"/>
        </w:rPr>
        <w:footnoteRef/>
      </w:r>
      <w:r w:rsidRPr="00AF5A60">
        <w:rPr>
          <w:rFonts w:ascii="ITC Avant Garde" w:hAnsi="ITC Avant Garde"/>
          <w:b w:val="0"/>
          <w:sz w:val="16"/>
          <w:szCs w:val="16"/>
        </w:rPr>
        <w:t xml:space="preserve"> </w:t>
      </w:r>
      <w:r w:rsidRPr="00AF5A60">
        <w:rPr>
          <w:rFonts w:ascii="ITC Avant Garde" w:hAnsi="ITC Avant Garde"/>
          <w:b w:val="0"/>
          <w:sz w:val="16"/>
          <w:szCs w:val="16"/>
          <w:lang w:val="es-MX"/>
        </w:rPr>
        <w:t xml:space="preserve">Disponible en la siguiente liga electrónica: </w:t>
      </w:r>
      <w:hyperlink r:id="rId8" w:history="1">
        <w:r w:rsidRPr="00AF5A60">
          <w:rPr>
            <w:rStyle w:val="Hipervnculo"/>
            <w:rFonts w:ascii="ITC Avant Garde" w:hAnsi="ITC Avant Garde"/>
            <w:b w:val="0"/>
            <w:sz w:val="16"/>
            <w:szCs w:val="16"/>
            <w:lang w:val="es-MX"/>
          </w:rPr>
          <w:t>https://www.ift.org.mx/industria/consultas-publicas/ficha-de-consulta-publica?project_cp=24429</w:t>
        </w:r>
      </w:hyperlink>
    </w:p>
  </w:footnote>
  <w:footnote w:id="9">
    <w:p w14:paraId="5AB70386" w14:textId="77777777" w:rsidR="0066403F" w:rsidRPr="00AF5A60" w:rsidRDefault="0066403F" w:rsidP="0066403F">
      <w:pPr>
        <w:pStyle w:val="Textonotapie"/>
        <w:spacing w:line="240" w:lineRule="atLeast"/>
        <w:rPr>
          <w:rFonts w:ascii="ITC Avant Garde" w:hAnsi="ITC Avant Garde"/>
          <w:b w:val="0"/>
          <w:sz w:val="16"/>
          <w:szCs w:val="16"/>
          <w:lang w:val="es-MX"/>
        </w:rPr>
      </w:pPr>
      <w:r w:rsidRPr="00AF5A60">
        <w:rPr>
          <w:rStyle w:val="Refdenotaalpie"/>
          <w:rFonts w:ascii="ITC Avant Garde" w:hAnsi="ITC Avant Garde"/>
          <w:b w:val="0"/>
          <w:sz w:val="16"/>
          <w:szCs w:val="16"/>
        </w:rPr>
        <w:footnoteRef/>
      </w:r>
      <w:r w:rsidRPr="00AF5A60">
        <w:rPr>
          <w:rFonts w:ascii="ITC Avant Garde" w:hAnsi="ITC Avant Garde"/>
          <w:b w:val="0"/>
          <w:sz w:val="16"/>
          <w:szCs w:val="16"/>
        </w:rPr>
        <w:t xml:space="preserve"> </w:t>
      </w:r>
      <w:r w:rsidRPr="00AF5A60">
        <w:rPr>
          <w:rFonts w:ascii="ITC Avant Garde" w:hAnsi="ITC Avant Garde"/>
          <w:b w:val="0"/>
          <w:sz w:val="16"/>
          <w:szCs w:val="16"/>
          <w:lang w:val="es-MX"/>
        </w:rPr>
        <w:t xml:space="preserve">Disponible en la siguiente liga electrónica: </w:t>
      </w:r>
      <w:hyperlink r:id="rId9" w:history="1">
        <w:r w:rsidRPr="00AF5A60">
          <w:rPr>
            <w:rStyle w:val="Hipervnculo"/>
            <w:rFonts w:ascii="ITC Avant Garde" w:hAnsi="ITC Avant Garde"/>
            <w:b w:val="0"/>
            <w:sz w:val="16"/>
            <w:szCs w:val="16"/>
            <w:lang w:val="es-MX"/>
          </w:rPr>
          <w:t>https://www.ift.org.mx/sites/default/files/industria/temasrelevantes/24429/documentos/24-10-08-acuerdo-pift040924312cuestionario.pdf</w:t>
        </w:r>
      </w:hyperlink>
    </w:p>
  </w:footnote>
  <w:footnote w:id="10">
    <w:p w14:paraId="3A0F1BFF" w14:textId="77777777" w:rsidR="0066403F" w:rsidRPr="00AF5A60" w:rsidRDefault="0066403F" w:rsidP="0066403F">
      <w:pPr>
        <w:pStyle w:val="Textonotapie"/>
        <w:spacing w:line="240" w:lineRule="atLeast"/>
        <w:rPr>
          <w:rFonts w:ascii="ITC Avant Garde" w:hAnsi="ITC Avant Garde"/>
          <w:b w:val="0"/>
          <w:sz w:val="16"/>
          <w:szCs w:val="16"/>
          <w:lang w:val="es-MX"/>
        </w:rPr>
      </w:pPr>
      <w:r w:rsidRPr="00AF5A60">
        <w:rPr>
          <w:rStyle w:val="Refdenotaalpie"/>
          <w:rFonts w:ascii="ITC Avant Garde" w:hAnsi="ITC Avant Garde"/>
          <w:b w:val="0"/>
          <w:sz w:val="16"/>
          <w:szCs w:val="16"/>
        </w:rPr>
        <w:footnoteRef/>
      </w:r>
      <w:r w:rsidRPr="00AF5A60">
        <w:rPr>
          <w:rFonts w:ascii="ITC Avant Garde" w:hAnsi="ITC Avant Garde"/>
          <w:b w:val="0"/>
          <w:sz w:val="16"/>
          <w:szCs w:val="16"/>
        </w:rPr>
        <w:t xml:space="preserve"> </w:t>
      </w:r>
      <w:r w:rsidRPr="00AF5A60">
        <w:rPr>
          <w:rFonts w:ascii="ITC Avant Garde" w:hAnsi="ITC Avant Garde"/>
          <w:b w:val="0"/>
          <w:sz w:val="16"/>
          <w:szCs w:val="16"/>
          <w:lang w:val="es-MX"/>
        </w:rPr>
        <w:t xml:space="preserve">Disponible en la siguiente liga electrónica: </w:t>
      </w:r>
      <w:hyperlink r:id="rId10" w:history="1">
        <w:r w:rsidRPr="00AF5A60">
          <w:rPr>
            <w:rStyle w:val="Hipervnculo"/>
            <w:rFonts w:ascii="ITC Avant Garde" w:hAnsi="ITC Avant Garde"/>
            <w:b w:val="0"/>
            <w:sz w:val="16"/>
            <w:szCs w:val="16"/>
            <w:lang w:val="es-MX"/>
          </w:rPr>
          <w:t>https://www.cepal.org/es/publicaciones/7330-gobierno-electronico-la-gestion-publica</w:t>
        </w:r>
      </w:hyperlink>
    </w:p>
    <w:p w14:paraId="70B1EA30" w14:textId="77777777" w:rsidR="0066403F" w:rsidRPr="00025C30" w:rsidRDefault="0066403F" w:rsidP="0066403F">
      <w:pPr>
        <w:pStyle w:val="Textonotapie"/>
        <w:rPr>
          <w:lang w:val="es-MX"/>
        </w:rPr>
      </w:pPr>
    </w:p>
  </w:footnote>
  <w:footnote w:id="11">
    <w:p w14:paraId="74722A7F" w14:textId="77777777" w:rsidR="0066403F" w:rsidRPr="00B64F96" w:rsidRDefault="0066403F" w:rsidP="0066403F">
      <w:pPr>
        <w:pStyle w:val="Textonotapie"/>
        <w:rPr>
          <w:rFonts w:ascii="ITC Avant Garde" w:hAnsi="ITC Avant Garde"/>
          <w:b w:val="0"/>
          <w:sz w:val="16"/>
          <w:szCs w:val="16"/>
        </w:rPr>
      </w:pPr>
      <w:r w:rsidRPr="00B64F96">
        <w:rPr>
          <w:rStyle w:val="Refdenotaalpie"/>
          <w:rFonts w:ascii="ITC Avant Garde" w:hAnsi="ITC Avant Garde"/>
          <w:b w:val="0"/>
          <w:sz w:val="16"/>
          <w:szCs w:val="16"/>
        </w:rPr>
        <w:footnoteRef/>
      </w:r>
      <w:r w:rsidRPr="00B64F96">
        <w:rPr>
          <w:rFonts w:ascii="ITC Avant Garde" w:hAnsi="ITC Avant Garde"/>
          <w:b w:val="0"/>
          <w:sz w:val="16"/>
          <w:szCs w:val="16"/>
        </w:rPr>
        <w:t xml:space="preserve"> La publicación se encuentra accesible en el Registro de Regulaciones del IFT y puede consultarse mediante el siguiente enlace electrónico: </w:t>
      </w:r>
      <w:hyperlink r:id="rId11" w:history="1">
        <w:r w:rsidRPr="00B64F96">
          <w:rPr>
            <w:rStyle w:val="Hipervnculo"/>
            <w:rFonts w:ascii="ITC Avant Garde" w:hAnsi="ITC Avant Garde"/>
            <w:b w:val="0"/>
            <w:sz w:val="16"/>
            <w:szCs w:val="16"/>
          </w:rPr>
          <w:t>https://www.ift.org.mx/sites/default/files/c-ca-27-deadseddt.pdf</w:t>
        </w:r>
      </w:hyperlink>
      <w:r w:rsidRPr="00B64F96">
        <w:rPr>
          <w:rFonts w:ascii="ITC Avant Garde" w:hAnsi="ITC Avant Garde"/>
          <w:b w:val="0"/>
          <w:sz w:val="16"/>
          <w:szCs w:val="16"/>
        </w:rPr>
        <w:t xml:space="preserve"> </w:t>
      </w:r>
      <w:r w:rsidRPr="00B64F96">
        <w:rPr>
          <w:rStyle w:val="Refdenotaalpie"/>
          <w:rFonts w:ascii="ITC Avant Garde" w:hAnsi="ITC Avant Garde"/>
          <w:b w:val="0"/>
          <w:sz w:val="16"/>
          <w:szCs w:val="16"/>
        </w:rPr>
        <w:t xml:space="preserve"> </w:t>
      </w:r>
      <w:r w:rsidRPr="00B64F96">
        <w:rPr>
          <w:rFonts w:ascii="ITC Avant Garde" w:hAnsi="ITC Avant Garde"/>
          <w:b w:val="0"/>
          <w:sz w:val="16"/>
          <w:szCs w:val="16"/>
        </w:rPr>
        <w:t xml:space="preserve"> </w:t>
      </w:r>
    </w:p>
  </w:footnote>
  <w:footnote w:id="12">
    <w:p w14:paraId="5AD53C1A" w14:textId="77777777" w:rsidR="0066403F" w:rsidRPr="00B64F96" w:rsidRDefault="0066403F" w:rsidP="0066403F">
      <w:pPr>
        <w:pStyle w:val="Textonotapie"/>
        <w:rPr>
          <w:rFonts w:ascii="ITC Avant Garde" w:hAnsi="ITC Avant Garde"/>
          <w:b w:val="0"/>
          <w:sz w:val="16"/>
          <w:szCs w:val="16"/>
          <w:lang w:val="es-MX"/>
        </w:rPr>
      </w:pPr>
      <w:r w:rsidRPr="00B64F96">
        <w:rPr>
          <w:rStyle w:val="Refdenotaalpie"/>
          <w:rFonts w:ascii="ITC Avant Garde" w:hAnsi="ITC Avant Garde"/>
          <w:b w:val="0"/>
          <w:sz w:val="16"/>
          <w:szCs w:val="16"/>
        </w:rPr>
        <w:footnoteRef/>
      </w:r>
      <w:r w:rsidRPr="00B64F96">
        <w:rPr>
          <w:rFonts w:ascii="ITC Avant Garde" w:hAnsi="ITC Avant Garde"/>
          <w:b w:val="0"/>
          <w:sz w:val="16"/>
          <w:szCs w:val="16"/>
        </w:rPr>
        <w:t xml:space="preserve"> Ventanilla Electrónica del Instituto Federal de Telecomunicaciones del IFT. Disponible en:  </w:t>
      </w:r>
      <w:hyperlink r:id="rId12" w:history="1">
        <w:r w:rsidRPr="00B64F96">
          <w:rPr>
            <w:rStyle w:val="Hipervnculo"/>
            <w:rFonts w:ascii="ITC Avant Garde" w:hAnsi="ITC Avant Garde"/>
            <w:b w:val="0"/>
            <w:sz w:val="16"/>
            <w:szCs w:val="16"/>
          </w:rPr>
          <w:t>https://ventanilla.ift.org.mx/VentanillaElectronica/index.php/Login</w:t>
        </w:r>
      </w:hyperlink>
    </w:p>
  </w:footnote>
  <w:footnote w:id="13">
    <w:p w14:paraId="416F95ED" w14:textId="77777777" w:rsidR="0066403F" w:rsidRPr="00C75C14" w:rsidRDefault="0066403F" w:rsidP="0066403F">
      <w:pPr>
        <w:pStyle w:val="Textonotapie"/>
        <w:rPr>
          <w:rFonts w:ascii="ITC Avant Garde" w:hAnsi="ITC Avant Garde"/>
          <w:b w:val="0"/>
          <w:sz w:val="16"/>
          <w:szCs w:val="16"/>
        </w:rPr>
      </w:pPr>
      <w:r w:rsidRPr="00B64F96">
        <w:rPr>
          <w:rStyle w:val="Refdenotaalpie"/>
          <w:rFonts w:ascii="ITC Avant Garde" w:hAnsi="ITC Avant Garde"/>
          <w:b w:val="0"/>
          <w:sz w:val="16"/>
          <w:szCs w:val="16"/>
        </w:rPr>
        <w:footnoteRef/>
      </w:r>
      <w:r w:rsidRPr="00B64F96">
        <w:rPr>
          <w:rFonts w:ascii="ITC Avant Garde" w:hAnsi="ITC Avant Garde"/>
          <w:b w:val="0"/>
          <w:sz w:val="16"/>
          <w:szCs w:val="16"/>
        </w:rPr>
        <w:t xml:space="preserve"> Ibidem, CEPAL, 2011.pág. 30-33.</w:t>
      </w:r>
    </w:p>
  </w:footnote>
  <w:footnote w:id="14">
    <w:p w14:paraId="70D76ED3" w14:textId="77777777" w:rsidR="0066403F" w:rsidRPr="00B64F96" w:rsidRDefault="0066403F" w:rsidP="0066403F">
      <w:pPr>
        <w:pStyle w:val="Textonotapie"/>
        <w:rPr>
          <w:rFonts w:ascii="ITC Avant Garde" w:hAnsi="ITC Avant Garde"/>
          <w:b w:val="0"/>
          <w:sz w:val="16"/>
          <w:szCs w:val="16"/>
        </w:rPr>
      </w:pPr>
      <w:r>
        <w:rPr>
          <w:rStyle w:val="Refdenotaalpie"/>
        </w:rPr>
        <w:footnoteRef/>
      </w:r>
      <w:r>
        <w:t xml:space="preserve"> </w:t>
      </w:r>
      <w:r w:rsidRPr="00B64F96">
        <w:rPr>
          <w:rFonts w:ascii="ITC Avant Garde" w:hAnsi="ITC Avant Garde"/>
          <w:b w:val="0"/>
          <w:sz w:val="16"/>
          <w:szCs w:val="16"/>
        </w:rPr>
        <w:t xml:space="preserve">Ibidem, CEPAL, 2011.pág. </w:t>
      </w:r>
      <w:r>
        <w:rPr>
          <w:rFonts w:ascii="ITC Avant Garde" w:hAnsi="ITC Avant Garde"/>
          <w:b w:val="0"/>
          <w:sz w:val="16"/>
          <w:szCs w:val="16"/>
        </w:rPr>
        <w:t>19</w:t>
      </w:r>
      <w:r w:rsidRPr="00B64F96">
        <w:rPr>
          <w:rFonts w:ascii="ITC Avant Garde" w:hAnsi="ITC Avant Garde"/>
          <w:b w:val="0"/>
          <w:sz w:val="16"/>
          <w:szCs w:val="16"/>
        </w:rPr>
        <w:t>-</w:t>
      </w:r>
      <w:r>
        <w:rPr>
          <w:rFonts w:ascii="ITC Avant Garde" w:hAnsi="ITC Avant Garde"/>
          <w:b w:val="0"/>
          <w:sz w:val="16"/>
          <w:szCs w:val="16"/>
        </w:rPr>
        <w:t>20</w:t>
      </w:r>
      <w:r w:rsidRPr="00B64F96">
        <w:rPr>
          <w:rFonts w:ascii="ITC Avant Garde" w:hAnsi="ITC Avant Garde"/>
          <w:b w:val="0"/>
          <w:sz w:val="16"/>
          <w:szCs w:val="16"/>
        </w:rPr>
        <w:t>.</w:t>
      </w:r>
    </w:p>
    <w:p w14:paraId="13C38AAB" w14:textId="77777777" w:rsidR="0066403F" w:rsidRPr="00C75C14" w:rsidRDefault="0066403F" w:rsidP="0066403F">
      <w:pPr>
        <w:pStyle w:val="Textonotapie"/>
        <w:rPr>
          <w:lang w:val="es-MX"/>
        </w:rPr>
      </w:pPr>
    </w:p>
  </w:footnote>
  <w:footnote w:id="15">
    <w:p w14:paraId="4FAB78E5" w14:textId="77777777" w:rsidR="0066403F" w:rsidRPr="00C75C14" w:rsidRDefault="0066403F" w:rsidP="0066403F">
      <w:pPr>
        <w:pStyle w:val="Textonotapie"/>
        <w:rPr>
          <w:lang w:val="es-MX"/>
        </w:rPr>
      </w:pPr>
      <w:r>
        <w:rPr>
          <w:rStyle w:val="Refdenotaalpie"/>
        </w:rPr>
        <w:footnoteRef/>
      </w:r>
      <w:r>
        <w:t xml:space="preserve"> </w:t>
      </w:r>
      <w:r w:rsidRPr="00B64F96">
        <w:rPr>
          <w:rFonts w:ascii="ITC Avant Garde" w:hAnsi="ITC Avant Garde"/>
          <w:b w:val="0"/>
          <w:sz w:val="16"/>
          <w:szCs w:val="16"/>
        </w:rPr>
        <w:t xml:space="preserve">Ibidem, CEPAL, 2011.pág. </w:t>
      </w:r>
      <w:r>
        <w:rPr>
          <w:rFonts w:ascii="ITC Avant Garde" w:hAnsi="ITC Avant Garde"/>
          <w:b w:val="0"/>
          <w:sz w:val="16"/>
          <w:szCs w:val="16"/>
        </w:rPr>
        <w:t>19</w:t>
      </w:r>
      <w:r w:rsidRPr="00B64F96">
        <w:rPr>
          <w:rFonts w:ascii="ITC Avant Garde" w:hAnsi="ITC Avant Garde"/>
          <w:b w:val="0"/>
          <w:sz w:val="16"/>
          <w:szCs w:val="16"/>
        </w:rPr>
        <w:t>-</w:t>
      </w:r>
      <w:r>
        <w:rPr>
          <w:rFonts w:ascii="ITC Avant Garde" w:hAnsi="ITC Avant Garde"/>
          <w:b w:val="0"/>
          <w:sz w:val="16"/>
          <w:szCs w:val="16"/>
        </w:rPr>
        <w:t>20</w:t>
      </w:r>
      <w:r w:rsidRPr="00B64F96">
        <w:rPr>
          <w:rFonts w:ascii="ITC Avant Garde" w:hAnsi="ITC Avant Garde"/>
          <w:b w:val="0"/>
          <w:sz w:val="16"/>
          <w:szCs w:val="16"/>
        </w:rPr>
        <w:t>.</w:t>
      </w:r>
    </w:p>
  </w:footnote>
  <w:footnote w:id="16">
    <w:p w14:paraId="0049BA91" w14:textId="77777777" w:rsidR="0066403F" w:rsidRPr="00C75C14" w:rsidRDefault="0066403F" w:rsidP="0066403F">
      <w:pPr>
        <w:pStyle w:val="Textonotapie"/>
        <w:rPr>
          <w:lang w:val="es-MX"/>
        </w:rPr>
      </w:pPr>
      <w:r>
        <w:rPr>
          <w:rStyle w:val="Refdenotaalpie"/>
        </w:rPr>
        <w:footnoteRef/>
      </w:r>
      <w:r>
        <w:t xml:space="preserve"> </w:t>
      </w:r>
      <w:r w:rsidRPr="00B64F96">
        <w:rPr>
          <w:rFonts w:ascii="ITC Avant Garde" w:hAnsi="ITC Avant Garde"/>
          <w:b w:val="0"/>
          <w:sz w:val="16"/>
          <w:szCs w:val="16"/>
        </w:rPr>
        <w:t xml:space="preserve">Ibidem, CEPAL, 2011.pág. </w:t>
      </w:r>
      <w:r>
        <w:rPr>
          <w:rFonts w:ascii="ITC Avant Garde" w:hAnsi="ITC Avant Garde"/>
          <w:b w:val="0"/>
          <w:sz w:val="16"/>
          <w:szCs w:val="16"/>
        </w:rPr>
        <w:t>19</w:t>
      </w:r>
      <w:r w:rsidRPr="00B64F96">
        <w:rPr>
          <w:rFonts w:ascii="ITC Avant Garde" w:hAnsi="ITC Avant Garde"/>
          <w:b w:val="0"/>
          <w:sz w:val="16"/>
          <w:szCs w:val="16"/>
        </w:rPr>
        <w:t>-</w:t>
      </w:r>
      <w:r>
        <w:rPr>
          <w:rFonts w:ascii="ITC Avant Garde" w:hAnsi="ITC Avant Garde"/>
          <w:b w:val="0"/>
          <w:sz w:val="16"/>
          <w:szCs w:val="16"/>
        </w:rPr>
        <w:t>20</w:t>
      </w:r>
      <w:r w:rsidRPr="00B64F96">
        <w:rPr>
          <w:rFonts w:ascii="ITC Avant Garde" w:hAnsi="ITC Avant Garde"/>
          <w:b w:val="0"/>
          <w:sz w:val="16"/>
          <w:szCs w:val="16"/>
        </w:rPr>
        <w:t>.</w:t>
      </w:r>
    </w:p>
  </w:footnote>
  <w:footnote w:id="17">
    <w:p w14:paraId="27870A32" w14:textId="77777777" w:rsidR="0066403F" w:rsidRPr="00C75C14" w:rsidRDefault="0066403F" w:rsidP="0066403F">
      <w:pPr>
        <w:pStyle w:val="Textonotapie"/>
        <w:rPr>
          <w:lang w:val="es-MX"/>
        </w:rPr>
      </w:pPr>
      <w:r>
        <w:rPr>
          <w:rStyle w:val="Refdenotaalpie"/>
        </w:rPr>
        <w:footnoteRef/>
      </w:r>
      <w:r>
        <w:t xml:space="preserve"> </w:t>
      </w:r>
      <w:r w:rsidRPr="00B64F96">
        <w:rPr>
          <w:rFonts w:ascii="ITC Avant Garde" w:hAnsi="ITC Avant Garde"/>
          <w:b w:val="0"/>
          <w:sz w:val="16"/>
          <w:szCs w:val="16"/>
        </w:rPr>
        <w:t xml:space="preserve">Ibidem, CEPAL, 2011.pág. </w:t>
      </w:r>
      <w:r>
        <w:rPr>
          <w:rFonts w:ascii="ITC Avant Garde" w:hAnsi="ITC Avant Garde"/>
          <w:b w:val="0"/>
          <w:sz w:val="16"/>
          <w:szCs w:val="16"/>
        </w:rPr>
        <w:t>19</w:t>
      </w:r>
      <w:r w:rsidRPr="00B64F96">
        <w:rPr>
          <w:rFonts w:ascii="ITC Avant Garde" w:hAnsi="ITC Avant Garde"/>
          <w:b w:val="0"/>
          <w:sz w:val="16"/>
          <w:szCs w:val="16"/>
        </w:rPr>
        <w:t>-</w:t>
      </w:r>
      <w:r>
        <w:rPr>
          <w:rFonts w:ascii="ITC Avant Garde" w:hAnsi="ITC Avant Garde"/>
          <w:b w:val="0"/>
          <w:sz w:val="16"/>
          <w:szCs w:val="16"/>
        </w:rPr>
        <w:t>20</w:t>
      </w:r>
      <w:r w:rsidRPr="00B64F96">
        <w:rPr>
          <w:rFonts w:ascii="ITC Avant Garde" w:hAnsi="ITC Avant Garde"/>
          <w:b w:val="0"/>
          <w:sz w:val="16"/>
          <w:szCs w:val="16"/>
        </w:rPr>
        <w:t>.</w:t>
      </w:r>
    </w:p>
  </w:footnote>
  <w:footnote w:id="18">
    <w:p w14:paraId="029ED884" w14:textId="77777777" w:rsidR="0066403F" w:rsidRPr="00D14E6A" w:rsidRDefault="0066403F" w:rsidP="0066403F">
      <w:pPr>
        <w:pStyle w:val="Textonotapie"/>
        <w:rPr>
          <w:lang w:val="es-MX"/>
        </w:rPr>
      </w:pPr>
      <w:r>
        <w:rPr>
          <w:rStyle w:val="Refdenotaalpie"/>
        </w:rPr>
        <w:footnoteRef/>
      </w:r>
      <w:r>
        <w:t xml:space="preserve"> </w:t>
      </w:r>
      <w:r w:rsidRPr="00B64F96">
        <w:rPr>
          <w:rFonts w:ascii="ITC Avant Garde" w:hAnsi="ITC Avant Garde"/>
          <w:b w:val="0"/>
          <w:sz w:val="16"/>
          <w:szCs w:val="16"/>
        </w:rPr>
        <w:t xml:space="preserve">Ibidem, CEPAL, 2011.pág. </w:t>
      </w:r>
      <w:r>
        <w:rPr>
          <w:rFonts w:ascii="ITC Avant Garde" w:hAnsi="ITC Avant Garde"/>
          <w:b w:val="0"/>
          <w:sz w:val="16"/>
          <w:szCs w:val="16"/>
        </w:rPr>
        <w:t>19</w:t>
      </w:r>
      <w:r w:rsidRPr="00B64F96">
        <w:rPr>
          <w:rFonts w:ascii="ITC Avant Garde" w:hAnsi="ITC Avant Garde"/>
          <w:b w:val="0"/>
          <w:sz w:val="16"/>
          <w:szCs w:val="16"/>
        </w:rPr>
        <w:t>-</w:t>
      </w:r>
      <w:r>
        <w:rPr>
          <w:rFonts w:ascii="ITC Avant Garde" w:hAnsi="ITC Avant Garde"/>
          <w:b w:val="0"/>
          <w:sz w:val="16"/>
          <w:szCs w:val="16"/>
        </w:rPr>
        <w:t>20</w:t>
      </w:r>
      <w:r w:rsidRPr="00B64F96">
        <w:rPr>
          <w:rFonts w:ascii="ITC Avant Garde" w:hAnsi="ITC Avant Garde"/>
          <w:b w:val="0"/>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B6565" w14:textId="77777777" w:rsidR="00CB224C" w:rsidRPr="00457BB3" w:rsidRDefault="003B4022" w:rsidP="007057F4">
    <w:pPr>
      <w:pStyle w:val="Encabezado"/>
      <w:rPr>
        <w:lang w:val="en-US"/>
      </w:rPr>
    </w:pPr>
    <w:r w:rsidRPr="00457BB3">
      <w:rPr>
        <w:lang w:val="en-US" w:bidi="es-ES"/>
      </w:rPr>
      <w:t>Plan de marketing de Adventure Works</w:t>
    </w:r>
  </w:p>
  <w:p w14:paraId="235DA85D" w14:textId="77777777" w:rsidR="00CB224C" w:rsidRPr="00457BB3" w:rsidRDefault="00CB224C" w:rsidP="007057F4">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311" w:type="dxa"/>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2" w:type="dxa"/>
        <w:left w:w="0" w:type="dxa"/>
        <w:right w:w="0" w:type="dxa"/>
      </w:tblCellMar>
      <w:tblLook w:val="0000" w:firstRow="0" w:lastRow="0" w:firstColumn="0" w:lastColumn="0" w:noHBand="0" w:noVBand="0"/>
    </w:tblPr>
    <w:tblGrid>
      <w:gridCol w:w="12660"/>
    </w:tblGrid>
    <w:tr w:rsidR="00AF5A60" w14:paraId="719DB6E7" w14:textId="77777777" w:rsidTr="007057F4">
      <w:trPr>
        <w:trHeight w:val="1712"/>
      </w:trPr>
      <w:tc>
        <w:tcPr>
          <w:tcW w:w="12311" w:type="dxa"/>
          <w:tcBorders>
            <w:top w:val="nil"/>
            <w:left w:val="nil"/>
            <w:bottom w:val="nil"/>
            <w:right w:val="nil"/>
          </w:tcBorders>
        </w:tcPr>
        <w:p w14:paraId="2AFCAA33" w14:textId="77777777" w:rsidR="00CB224C" w:rsidRDefault="003B4022" w:rsidP="007057F4">
          <w:pPr>
            <w:pStyle w:val="Encabezado"/>
          </w:pPr>
          <w:r>
            <w:rPr>
              <w:noProof/>
              <w:lang w:bidi="es-ES"/>
            </w:rPr>
            <mc:AlternateContent>
              <mc:Choice Requires="wps">
                <w:drawing>
                  <wp:anchor distT="0" distB="0" distL="114300" distR="114300" simplePos="0" relativeHeight="251659264" behindDoc="0" locked="0" layoutInCell="1" allowOverlap="1" wp14:anchorId="1CB15155" wp14:editId="5989E8BE">
                    <wp:simplePos x="0" y="0"/>
                    <wp:positionH relativeFrom="column">
                      <wp:posOffset>7118161</wp:posOffset>
                    </wp:positionH>
                    <wp:positionV relativeFrom="paragraph">
                      <wp:posOffset>242518</wp:posOffset>
                    </wp:positionV>
                    <wp:extent cx="778476" cy="298483"/>
                    <wp:effectExtent l="0" t="0" r="0" b="6350"/>
                    <wp:wrapNone/>
                    <wp:docPr id="21" name="Cuadro de texto 21"/>
                    <wp:cNvGraphicFramePr/>
                    <a:graphic xmlns:a="http://schemas.openxmlformats.org/drawingml/2006/main">
                      <a:graphicData uri="http://schemas.microsoft.com/office/word/2010/wordprocessingShape">
                        <wps:wsp>
                          <wps:cNvSpPr txBox="1"/>
                          <wps:spPr>
                            <a:xfrm>
                              <a:off x="0" y="0"/>
                              <a:ext cx="778476" cy="298483"/>
                            </a:xfrm>
                            <a:prstGeom prst="rect">
                              <a:avLst/>
                            </a:prstGeom>
                            <a:noFill/>
                            <a:ln w="6350">
                              <a:noFill/>
                            </a:ln>
                          </wps:spPr>
                          <wps:txbx>
                            <w:txbxContent>
                              <w:p w14:paraId="1807AFDF" w14:textId="77777777" w:rsidR="00CB224C" w:rsidRPr="00300CBC" w:rsidRDefault="003B4022" w:rsidP="004F2231">
                                <w:pPr>
                                  <w:rPr>
                                    <w:sz w:val="20"/>
                                    <w:szCs w:val="20"/>
                                  </w:rPr>
                                </w:pPr>
                                <w:r w:rsidRPr="00300CBC">
                                  <w:rPr>
                                    <w:sz w:val="20"/>
                                    <w:szCs w:val="20"/>
                                    <w:lang w:bidi="es-ES"/>
                                  </w:rPr>
                                  <w:fldChar w:fldCharType="begin"/>
                                </w:r>
                                <w:r w:rsidRPr="00300CBC">
                                  <w:rPr>
                                    <w:sz w:val="20"/>
                                    <w:szCs w:val="20"/>
                                    <w:lang w:bidi="es-ES"/>
                                  </w:rPr>
                                  <w:instrText xml:space="preserve"> PAGE  \* Arabic  \* MERGEFORMAT </w:instrText>
                                </w:r>
                                <w:r w:rsidRPr="00300CBC">
                                  <w:rPr>
                                    <w:sz w:val="20"/>
                                    <w:szCs w:val="20"/>
                                    <w:lang w:bidi="es-ES"/>
                                  </w:rPr>
                                  <w:fldChar w:fldCharType="separate"/>
                                </w:r>
                                <w:r w:rsidRPr="00300CBC">
                                  <w:rPr>
                                    <w:noProof/>
                                    <w:sz w:val="20"/>
                                    <w:szCs w:val="20"/>
                                    <w:lang w:bidi="es-ES"/>
                                  </w:rPr>
                                  <w:t>1</w:t>
                                </w:r>
                                <w:r w:rsidRPr="00300CBC">
                                  <w:rPr>
                                    <w:sz w:val="20"/>
                                    <w:szCs w:val="20"/>
                                    <w:lang w:bidi="es-ES"/>
                                  </w:rPr>
                                  <w:fldChar w:fldCharType="end"/>
                                </w:r>
                              </w:p>
                              <w:p w14:paraId="79F2C5DD" w14:textId="77777777" w:rsidR="00CB224C" w:rsidRPr="00300CBC" w:rsidRDefault="00CB224C" w:rsidP="004F223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B15155" id="_x0000_t202" coordsize="21600,21600" o:spt="202" path="m,l,21600r21600,l21600,xe">
                    <v:stroke joinstyle="miter"/>
                    <v:path gradientshapeok="t" o:connecttype="rect"/>
                  </v:shapetype>
                  <v:shape id="Cuadro de texto 21" o:spid="_x0000_s1029" type="#_x0000_t202" style="position:absolute;left:0;text-align:left;margin-left:560.5pt;margin-top:19.1pt;width:61.3pt;height:2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" filled="f" stroked="f" strokeweight=".5pt">
                    <v:textbox>
                      <w:txbxContent>
                        <w:p w14:paraId="1807AFDF" w14:textId="77777777" w:rsidR="00CB224C" w:rsidRPr="00300CBC" w:rsidRDefault="003B4022" w:rsidP="004F2231">
                          <w:pPr>
                            <w:rPr>
                              <w:sz w:val="20"/>
                              <w:szCs w:val="20"/>
                            </w:rPr>
                          </w:pPr>
                          <w:r w:rsidRPr="00300CBC">
                            <w:rPr>
                              <w:sz w:val="20"/>
                              <w:szCs w:val="20"/>
                              <w:lang w:bidi="es-ES"/>
                            </w:rPr>
                            <w:fldChar w:fldCharType="begin"/>
                          </w:r>
                          <w:r w:rsidRPr="00300CBC">
                            <w:rPr>
                              <w:sz w:val="20"/>
                              <w:szCs w:val="20"/>
                              <w:lang w:bidi="es-ES"/>
                            </w:rPr>
                            <w:instrText xml:space="preserve"> PAGE  \* Arabic  \* MERGEFORMAT </w:instrText>
                          </w:r>
                          <w:r w:rsidRPr="00300CBC">
                            <w:rPr>
                              <w:sz w:val="20"/>
                              <w:szCs w:val="20"/>
                              <w:lang w:bidi="es-ES"/>
                            </w:rPr>
                            <w:fldChar w:fldCharType="separate"/>
                          </w:r>
                          <w:r w:rsidRPr="00300CBC">
                            <w:rPr>
                              <w:noProof/>
                              <w:sz w:val="20"/>
                              <w:szCs w:val="20"/>
                              <w:lang w:bidi="es-ES"/>
                            </w:rPr>
                            <w:t>1</w:t>
                          </w:r>
                          <w:r w:rsidRPr="00300CBC">
                            <w:rPr>
                              <w:sz w:val="20"/>
                              <w:szCs w:val="20"/>
                              <w:lang w:bidi="es-ES"/>
                            </w:rPr>
                            <w:fldChar w:fldCharType="end"/>
                          </w:r>
                        </w:p>
                        <w:p w14:paraId="79F2C5DD" w14:textId="77777777" w:rsidR="00CB224C" w:rsidRPr="00300CBC" w:rsidRDefault="00CB224C" w:rsidP="004F2231">
                          <w:pPr>
                            <w:rPr>
                              <w:sz w:val="20"/>
                              <w:szCs w:val="20"/>
                            </w:rPr>
                          </w:pPr>
                        </w:p>
                      </w:txbxContent>
                    </v:textbox>
                  </v:shape>
                </w:pict>
              </mc:Fallback>
            </mc:AlternateContent>
          </w:r>
          <w:r>
            <w:rPr>
              <w:noProof/>
              <w:lang w:bidi="es-ES"/>
            </w:rPr>
            <mc:AlternateContent>
              <mc:Choice Requires="wpg">
                <w:drawing>
                  <wp:inline distT="0" distB="0" distL="0" distR="0" wp14:anchorId="1AB2AA13" wp14:editId="533367B4">
                    <wp:extent cx="8035162" cy="1333500"/>
                    <wp:effectExtent l="0" t="0" r="4445" b="0"/>
                    <wp:docPr id="20" name="Grupo 20" descr="encabezado de rectángulo de color"/>
                    <wp:cNvGraphicFramePr/>
                    <a:graphic xmlns:a="http://schemas.openxmlformats.org/drawingml/2006/main">
                      <a:graphicData uri="http://schemas.microsoft.com/office/word/2010/wordprocessingGroup">
                        <wpg:wgp>
                          <wpg:cNvGrpSpPr/>
                          <wpg:grpSpPr>
                            <a:xfrm>
                              <a:off x="0" y="0"/>
                              <a:ext cx="8035162" cy="1333500"/>
                              <a:chOff x="0" y="-65445"/>
                              <a:chExt cx="7884949" cy="1308907"/>
                            </a:xfrm>
                          </wpg:grpSpPr>
                          <pic:pic xmlns:pic="http://schemas.openxmlformats.org/drawingml/2006/picture">
                            <pic:nvPicPr>
                              <pic:cNvPr id="14" name="Gráfico 14" descr="rectángulo de colo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97708"/>
                                <a:ext cx="4250690" cy="974725"/>
                              </a:xfrm>
                              <a:prstGeom prst="rect">
                                <a:avLst/>
                              </a:prstGeom>
                            </pic:spPr>
                          </pic:pic>
                          <pic:pic xmlns:pic="http://schemas.openxmlformats.org/drawingml/2006/picture">
                            <pic:nvPicPr>
                              <pic:cNvPr id="16" name="Gráfico 16" descr="rectángulo de colo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609103" y="-65445"/>
                                <a:ext cx="909571" cy="1308907"/>
                              </a:xfrm>
                              <a:prstGeom prst="rect">
                                <a:avLst/>
                              </a:prstGeom>
                            </pic:spPr>
                          </pic:pic>
                          <pic:pic xmlns:pic="http://schemas.openxmlformats.org/drawingml/2006/picture">
                            <pic:nvPicPr>
                              <pic:cNvPr id="19" name="Gráfico 19" descr="rectángulo gris"/>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4624859" y="0"/>
                                <a:ext cx="3260090" cy="802640"/>
                              </a:xfrm>
                              <a:prstGeom prst="rect">
                                <a:avLst/>
                              </a:prstGeom>
                            </pic:spPr>
                          </pic:pic>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DEFDA96" id="Grupo 20" o:spid="_x0000_s1026" alt="encabezado de rectángulo de color" style="width:632.7pt;height:105pt;mso-position-horizontal-relative:char;mso-position-vertical-relative:line" coordorigin=",-654" coordsize="78849,13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4" o:spid="_x0000_s1027" type="#_x0000_t75" alt="rectángulo de color" style="position:absolute;top:1977;width:42506;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">
                      <v:imagedata r:id="rId7" o:title="rectángulo de color"/>
                    </v:shape>
                    <v:shape id="Gráfico 16" o:spid="_x0000_s1028" type="#_x0000_t75" alt="rectángulo de color" style="position:absolute;left:36091;top:-654;width:9095;height:1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">
                      <v:imagedata r:id="rId8" o:title="rectángulo de color"/>
                    </v:shape>
                    <v:shape id="Gráfico 19" o:spid="_x0000_s1029" type="#_x0000_t75" alt="rectángulo gris" style="position:absolute;left:46248;width:32601;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">
                      <v:imagedata r:id="rId9" o:title="rectángulo gris"/>
                    </v:shape>
                    <w10:anchorlock/>
                  </v:group>
                </w:pict>
              </mc:Fallback>
            </mc:AlternateContent>
          </w:r>
        </w:p>
      </w:tc>
    </w:tr>
  </w:tbl>
  <w:p w14:paraId="4A7EB36E" w14:textId="77777777" w:rsidR="00CB224C" w:rsidRDefault="00CB224C" w:rsidP="007057F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C2E7B"/>
    <w:multiLevelType w:val="multilevel"/>
    <w:tmpl w:val="D12C0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E24A5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7E6DB7"/>
    <w:multiLevelType w:val="multilevel"/>
    <w:tmpl w:val="A1D4C0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093A8C"/>
    <w:multiLevelType w:val="multilevel"/>
    <w:tmpl w:val="BD0AD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773BA"/>
    <w:multiLevelType w:val="hybridMultilevel"/>
    <w:tmpl w:val="3B28DA4C"/>
    <w:lvl w:ilvl="0" w:tplc="36F83E44">
      <w:start w:val="1"/>
      <w:numFmt w:val="decimal"/>
      <w:lvlText w:val="%1."/>
      <w:lvlJc w:val="left"/>
      <w:pPr>
        <w:ind w:left="720" w:hanging="360"/>
      </w:pPr>
      <w:rPr>
        <w:rFonts w:ascii="ITC Avant Garde" w:eastAsia="Times New Roman" w:hAnsi="ITC Avant Garde" w:cs="Times New Roman" w:hint="default"/>
        <w:b/>
        <w:color w:val="0563C1" w:themeColor="hyperlink"/>
        <w:sz w:val="28"/>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8A05B5"/>
    <w:multiLevelType w:val="multilevel"/>
    <w:tmpl w:val="665C32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0D2E52"/>
    <w:multiLevelType w:val="multilevel"/>
    <w:tmpl w:val="F05C8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322A54"/>
    <w:multiLevelType w:val="multilevel"/>
    <w:tmpl w:val="127A1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FF5CBC"/>
    <w:multiLevelType w:val="hybridMultilevel"/>
    <w:tmpl w:val="40B0F8FA"/>
    <w:lvl w:ilvl="0" w:tplc="95405D1A">
      <w:start w:val="1"/>
      <w:numFmt w:val="decimal"/>
      <w:lvlText w:val="%1."/>
      <w:lvlJc w:val="left"/>
      <w:pPr>
        <w:ind w:left="720" w:hanging="360"/>
      </w:pPr>
      <w:rPr>
        <w:rFonts w:eastAsia="Times New Roman" w:cs="Times New Roman" w:hint="default"/>
        <w:b/>
        <w:color w:val="0563C1" w:themeColor="hyperlink"/>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4F7318"/>
    <w:multiLevelType w:val="multilevel"/>
    <w:tmpl w:val="4A809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830DBC"/>
    <w:multiLevelType w:val="multilevel"/>
    <w:tmpl w:val="43129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7605C3"/>
    <w:multiLevelType w:val="multilevel"/>
    <w:tmpl w:val="52888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C76553"/>
    <w:multiLevelType w:val="multilevel"/>
    <w:tmpl w:val="C7F24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CA0A70"/>
    <w:multiLevelType w:val="multilevel"/>
    <w:tmpl w:val="2F74E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4D3D87"/>
    <w:multiLevelType w:val="multilevel"/>
    <w:tmpl w:val="5F34C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684E50"/>
    <w:multiLevelType w:val="multilevel"/>
    <w:tmpl w:val="10EA6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6C35E5"/>
    <w:multiLevelType w:val="multilevel"/>
    <w:tmpl w:val="93B64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161DBF"/>
    <w:multiLevelType w:val="multilevel"/>
    <w:tmpl w:val="9906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D50C0C"/>
    <w:multiLevelType w:val="hybridMultilevel"/>
    <w:tmpl w:val="52A4CFEE"/>
    <w:lvl w:ilvl="0" w:tplc="262831C2">
      <w:start w:val="1"/>
      <w:numFmt w:val="decimal"/>
      <w:lvlText w:val="%1."/>
      <w:lvlJc w:val="left"/>
      <w:pPr>
        <w:ind w:left="720" w:hanging="360"/>
      </w:pPr>
      <w:rPr>
        <w:rFonts w:ascii="ITC Avant Garde" w:eastAsia="Times New Roman" w:hAnsi="ITC Avant Garde" w:cs="Times New Roman" w:hint="default"/>
        <w:b/>
        <w:color w:val="0563C1" w:themeColor="hyperlink"/>
        <w:sz w:val="28"/>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FF66AE"/>
    <w:multiLevelType w:val="multilevel"/>
    <w:tmpl w:val="E8C80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D5566D"/>
    <w:multiLevelType w:val="hybridMultilevel"/>
    <w:tmpl w:val="9D46F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5E0413"/>
    <w:multiLevelType w:val="multilevel"/>
    <w:tmpl w:val="F05C8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6240E5"/>
    <w:multiLevelType w:val="hybridMultilevel"/>
    <w:tmpl w:val="DCFEADB2"/>
    <w:lvl w:ilvl="0" w:tplc="21E6E29E">
      <w:start w:val="1"/>
      <w:numFmt w:val="bullet"/>
      <w:pStyle w:val="Listaconvieta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38674C7"/>
    <w:multiLevelType w:val="multilevel"/>
    <w:tmpl w:val="70500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026549"/>
    <w:multiLevelType w:val="multilevel"/>
    <w:tmpl w:val="BBBE1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BC30DC"/>
    <w:multiLevelType w:val="multilevel"/>
    <w:tmpl w:val="3286C15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983A1D"/>
    <w:multiLevelType w:val="multilevel"/>
    <w:tmpl w:val="70980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2341C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CE038D1"/>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EB3402A"/>
    <w:multiLevelType w:val="multilevel"/>
    <w:tmpl w:val="9920D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8258FC"/>
    <w:multiLevelType w:val="multilevel"/>
    <w:tmpl w:val="276A7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C95112"/>
    <w:multiLevelType w:val="multilevel"/>
    <w:tmpl w:val="CE902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72F4258"/>
    <w:multiLevelType w:val="multilevel"/>
    <w:tmpl w:val="E7A2E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04305D"/>
    <w:multiLevelType w:val="multilevel"/>
    <w:tmpl w:val="50263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5161B2"/>
    <w:multiLevelType w:val="multilevel"/>
    <w:tmpl w:val="7ABE3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BB3AC4"/>
    <w:multiLevelType w:val="hybridMultilevel"/>
    <w:tmpl w:val="53C64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7D3ABB"/>
    <w:multiLevelType w:val="multilevel"/>
    <w:tmpl w:val="C92EA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DC2453"/>
    <w:multiLevelType w:val="multilevel"/>
    <w:tmpl w:val="8EF60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785707B"/>
    <w:multiLevelType w:val="multilevel"/>
    <w:tmpl w:val="D878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80A5B0D"/>
    <w:multiLevelType w:val="multilevel"/>
    <w:tmpl w:val="8736A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9725D1E"/>
    <w:multiLevelType w:val="multilevel"/>
    <w:tmpl w:val="42343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AC0104"/>
    <w:multiLevelType w:val="multilevel"/>
    <w:tmpl w:val="C37E5FFE"/>
    <w:lvl w:ilvl="0">
      <w:start w:val="1"/>
      <w:numFmt w:val="decimal"/>
      <w:pStyle w:val="Listaconnmeros"/>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42" w15:restartNumberingAfterBreak="0">
    <w:nsid w:val="7AAF6195"/>
    <w:multiLevelType w:val="multilevel"/>
    <w:tmpl w:val="D7B25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EF42A44"/>
    <w:multiLevelType w:val="multilevel"/>
    <w:tmpl w:val="52284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1"/>
  </w:num>
  <w:num w:numId="2">
    <w:abstractNumId w:val="22"/>
  </w:num>
  <w:num w:numId="3">
    <w:abstractNumId w:val="15"/>
  </w:num>
  <w:num w:numId="4">
    <w:abstractNumId w:val="23"/>
  </w:num>
  <w:num w:numId="5">
    <w:abstractNumId w:val="43"/>
  </w:num>
  <w:num w:numId="6">
    <w:abstractNumId w:val="2"/>
  </w:num>
  <w:num w:numId="7">
    <w:abstractNumId w:val="25"/>
  </w:num>
  <w:num w:numId="8">
    <w:abstractNumId w:val="9"/>
  </w:num>
  <w:num w:numId="9">
    <w:abstractNumId w:val="40"/>
  </w:num>
  <w:num w:numId="10">
    <w:abstractNumId w:val="27"/>
  </w:num>
  <w:num w:numId="11">
    <w:abstractNumId w:val="13"/>
  </w:num>
  <w:num w:numId="12">
    <w:abstractNumId w:val="21"/>
  </w:num>
  <w:num w:numId="13">
    <w:abstractNumId w:val="16"/>
  </w:num>
  <w:num w:numId="14">
    <w:abstractNumId w:val="24"/>
  </w:num>
  <w:num w:numId="15">
    <w:abstractNumId w:val="17"/>
  </w:num>
  <w:num w:numId="16">
    <w:abstractNumId w:val="36"/>
  </w:num>
  <w:num w:numId="17">
    <w:abstractNumId w:val="14"/>
  </w:num>
  <w:num w:numId="18">
    <w:abstractNumId w:val="42"/>
  </w:num>
  <w:num w:numId="19">
    <w:abstractNumId w:val="31"/>
  </w:num>
  <w:num w:numId="20">
    <w:abstractNumId w:val="38"/>
  </w:num>
  <w:num w:numId="21">
    <w:abstractNumId w:val="39"/>
  </w:num>
  <w:num w:numId="22">
    <w:abstractNumId w:val="11"/>
  </w:num>
  <w:num w:numId="23">
    <w:abstractNumId w:val="26"/>
  </w:num>
  <w:num w:numId="24">
    <w:abstractNumId w:val="30"/>
  </w:num>
  <w:num w:numId="25">
    <w:abstractNumId w:val="0"/>
  </w:num>
  <w:num w:numId="26">
    <w:abstractNumId w:val="12"/>
  </w:num>
  <w:num w:numId="27">
    <w:abstractNumId w:val="10"/>
  </w:num>
  <w:num w:numId="28">
    <w:abstractNumId w:val="33"/>
  </w:num>
  <w:num w:numId="29">
    <w:abstractNumId w:val="37"/>
  </w:num>
  <w:num w:numId="30">
    <w:abstractNumId w:val="34"/>
  </w:num>
  <w:num w:numId="31">
    <w:abstractNumId w:val="3"/>
  </w:num>
  <w:num w:numId="32">
    <w:abstractNumId w:val="32"/>
  </w:num>
  <w:num w:numId="33">
    <w:abstractNumId w:val="29"/>
  </w:num>
  <w:num w:numId="34">
    <w:abstractNumId w:val="19"/>
  </w:num>
  <w:num w:numId="35">
    <w:abstractNumId w:val="7"/>
  </w:num>
  <w:num w:numId="36">
    <w:abstractNumId w:val="18"/>
  </w:num>
  <w:num w:numId="37">
    <w:abstractNumId w:val="8"/>
  </w:num>
  <w:num w:numId="38">
    <w:abstractNumId w:val="4"/>
  </w:num>
  <w:num w:numId="39">
    <w:abstractNumId w:val="35"/>
  </w:num>
  <w:num w:numId="40">
    <w:abstractNumId w:val="5"/>
  </w:num>
  <w:num w:numId="41">
    <w:abstractNumId w:val="28"/>
  </w:num>
  <w:num w:numId="42">
    <w:abstractNumId w:val="1"/>
  </w:num>
  <w:num w:numId="43">
    <w:abstractNumId w:val="6"/>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03F"/>
    <w:rsid w:val="000507AE"/>
    <w:rsid w:val="00055E97"/>
    <w:rsid w:val="000C040A"/>
    <w:rsid w:val="00300CBC"/>
    <w:rsid w:val="00302C57"/>
    <w:rsid w:val="00365EB4"/>
    <w:rsid w:val="003B4022"/>
    <w:rsid w:val="003B4FFA"/>
    <w:rsid w:val="00457BB3"/>
    <w:rsid w:val="005C092B"/>
    <w:rsid w:val="00611D87"/>
    <w:rsid w:val="00621A65"/>
    <w:rsid w:val="00627BAA"/>
    <w:rsid w:val="0066403F"/>
    <w:rsid w:val="00715F31"/>
    <w:rsid w:val="007705CC"/>
    <w:rsid w:val="00831CEF"/>
    <w:rsid w:val="00831D56"/>
    <w:rsid w:val="00986E69"/>
    <w:rsid w:val="009C2E15"/>
    <w:rsid w:val="009D6EDE"/>
    <w:rsid w:val="00A009F1"/>
    <w:rsid w:val="00A20EDA"/>
    <w:rsid w:val="00A2128D"/>
    <w:rsid w:val="00C83D08"/>
    <w:rsid w:val="00CB224C"/>
    <w:rsid w:val="00D74B0E"/>
    <w:rsid w:val="00FB7D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698EB"/>
  <w15:chartTrackingRefBased/>
  <w15:docId w15:val="{7E68270F-D17A-4232-BF98-E078B86BF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403F"/>
    <w:pPr>
      <w:spacing w:after="0" w:line="276" w:lineRule="auto"/>
    </w:pPr>
    <w:rPr>
      <w:rFonts w:eastAsiaTheme="minorEastAsia"/>
      <w:b/>
      <w:color w:val="000000" w:themeColor="text1"/>
      <w:sz w:val="28"/>
      <w:lang w:val="es-ES"/>
    </w:rPr>
  </w:style>
  <w:style w:type="paragraph" w:styleId="Ttulo1">
    <w:name w:val="heading 1"/>
    <w:basedOn w:val="Normal"/>
    <w:next w:val="Normal"/>
    <w:link w:val="Ttulo1Car"/>
    <w:uiPriority w:val="9"/>
    <w:qFormat/>
    <w:rsid w:val="0066403F"/>
    <w:pPr>
      <w:keepNext/>
      <w:keepLines/>
      <w:framePr w:hSpace="180" w:wrap="around" w:vAnchor="page" w:hAnchor="margin" w:y="974"/>
      <w:contextualSpacing/>
      <w:jc w:val="both"/>
      <w:outlineLvl w:val="0"/>
    </w:pPr>
    <w:rPr>
      <w:rFonts w:asciiTheme="majorHAnsi" w:eastAsiaTheme="majorEastAsia" w:hAnsiTheme="majorHAnsi" w:cstheme="majorBidi"/>
      <w:bCs/>
      <w:sz w:val="48"/>
      <w:szCs w:val="28"/>
    </w:rPr>
  </w:style>
  <w:style w:type="paragraph" w:styleId="Ttulo2">
    <w:name w:val="heading 2"/>
    <w:basedOn w:val="Normal"/>
    <w:next w:val="Normal"/>
    <w:link w:val="Ttulo2Car"/>
    <w:uiPriority w:val="9"/>
    <w:unhideWhenUsed/>
    <w:qFormat/>
    <w:rsid w:val="0066403F"/>
    <w:pPr>
      <w:framePr w:hSpace="180" w:wrap="around" w:vAnchor="page" w:hAnchor="margin" w:y="3427"/>
      <w:spacing w:after="200"/>
      <w:outlineLvl w:val="1"/>
    </w:pPr>
    <w:rPr>
      <w:rFonts w:asciiTheme="majorHAnsi" w:hAnsiTheme="majorHAnsi"/>
      <w:color w:val="4472C4" w:themeColor="accent1"/>
      <w:sz w:val="40"/>
      <w:szCs w:val="40"/>
    </w:rPr>
  </w:style>
  <w:style w:type="paragraph" w:styleId="Ttulo3">
    <w:name w:val="heading 3"/>
    <w:basedOn w:val="Normal"/>
    <w:next w:val="Normal"/>
    <w:link w:val="Ttulo3Car"/>
    <w:uiPriority w:val="9"/>
    <w:unhideWhenUsed/>
    <w:qFormat/>
    <w:rsid w:val="0066403F"/>
    <w:pPr>
      <w:outlineLvl w:val="2"/>
    </w:pPr>
    <w:rPr>
      <w:rFonts w:asciiTheme="majorHAnsi" w:hAnsiTheme="majorHAnsi"/>
      <w:sz w:val="32"/>
      <w:szCs w:val="32"/>
    </w:rPr>
  </w:style>
  <w:style w:type="paragraph" w:styleId="Ttulo4">
    <w:name w:val="heading 4"/>
    <w:basedOn w:val="Normal"/>
    <w:next w:val="Normal"/>
    <w:link w:val="Ttulo4Car"/>
    <w:uiPriority w:val="9"/>
    <w:unhideWhenUsed/>
    <w:qFormat/>
    <w:rsid w:val="0066403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unhideWhenUsed/>
    <w:rsid w:val="009C2E15"/>
    <w:pPr>
      <w:spacing w:after="100" w:line="278" w:lineRule="auto"/>
    </w:pPr>
    <w:rPr>
      <w:rFonts w:ascii="ITC Avant Garde" w:hAnsi="ITC Avant Garde"/>
      <w:kern w:val="2"/>
      <w:sz w:val="20"/>
      <w:szCs w:val="24"/>
      <w14:ligatures w14:val="standardContextual"/>
    </w:rPr>
  </w:style>
  <w:style w:type="character" w:customStyle="1" w:styleId="Ttulo1Car">
    <w:name w:val="Título 1 Car"/>
    <w:basedOn w:val="Fuentedeprrafopredeter"/>
    <w:link w:val="Ttulo1"/>
    <w:uiPriority w:val="9"/>
    <w:rsid w:val="0066403F"/>
    <w:rPr>
      <w:rFonts w:asciiTheme="majorHAnsi" w:eastAsiaTheme="majorEastAsia" w:hAnsiTheme="majorHAnsi" w:cstheme="majorBidi"/>
      <w:b/>
      <w:bCs/>
      <w:color w:val="000000" w:themeColor="text1"/>
      <w:sz w:val="48"/>
      <w:szCs w:val="28"/>
      <w:lang w:val="es-ES"/>
    </w:rPr>
  </w:style>
  <w:style w:type="character" w:customStyle="1" w:styleId="Ttulo2Car">
    <w:name w:val="Título 2 Car"/>
    <w:basedOn w:val="Fuentedeprrafopredeter"/>
    <w:link w:val="Ttulo2"/>
    <w:uiPriority w:val="9"/>
    <w:rsid w:val="0066403F"/>
    <w:rPr>
      <w:rFonts w:asciiTheme="majorHAnsi" w:eastAsiaTheme="minorEastAsia" w:hAnsiTheme="majorHAnsi"/>
      <w:b/>
      <w:color w:val="4472C4" w:themeColor="accent1"/>
      <w:sz w:val="40"/>
      <w:szCs w:val="40"/>
      <w:lang w:val="es-ES"/>
    </w:rPr>
  </w:style>
  <w:style w:type="character" w:customStyle="1" w:styleId="Ttulo3Car">
    <w:name w:val="Título 3 Car"/>
    <w:basedOn w:val="Fuentedeprrafopredeter"/>
    <w:link w:val="Ttulo3"/>
    <w:uiPriority w:val="9"/>
    <w:rsid w:val="0066403F"/>
    <w:rPr>
      <w:rFonts w:asciiTheme="majorHAnsi" w:eastAsiaTheme="minorEastAsia" w:hAnsiTheme="majorHAnsi"/>
      <w:b/>
      <w:color w:val="000000" w:themeColor="text1"/>
      <w:sz w:val="32"/>
      <w:szCs w:val="32"/>
      <w:lang w:val="es-ES"/>
    </w:rPr>
  </w:style>
  <w:style w:type="character" w:customStyle="1" w:styleId="Ttulo4Car">
    <w:name w:val="Título 4 Car"/>
    <w:basedOn w:val="Fuentedeprrafopredeter"/>
    <w:link w:val="Ttulo4"/>
    <w:uiPriority w:val="9"/>
    <w:rsid w:val="0066403F"/>
    <w:rPr>
      <w:rFonts w:asciiTheme="majorHAnsi" w:eastAsiaTheme="majorEastAsia" w:hAnsiTheme="majorHAnsi" w:cstheme="majorBidi"/>
      <w:b/>
      <w:i/>
      <w:iCs/>
      <w:color w:val="2F5496" w:themeColor="accent1" w:themeShade="BF"/>
      <w:sz w:val="28"/>
      <w:lang w:val="es-ES"/>
    </w:rPr>
  </w:style>
  <w:style w:type="character" w:styleId="Ttulodellibro">
    <w:name w:val="Book Title"/>
    <w:basedOn w:val="Fuentedeprrafopredeter"/>
    <w:uiPriority w:val="33"/>
    <w:unhideWhenUsed/>
    <w:qFormat/>
    <w:rsid w:val="0066403F"/>
    <w:rPr>
      <w:b/>
      <w:bCs/>
      <w:i/>
      <w:iCs/>
      <w:spacing w:val="0"/>
    </w:rPr>
  </w:style>
  <w:style w:type="character" w:styleId="Referenciaintensa">
    <w:name w:val="Intense Reference"/>
    <w:basedOn w:val="Fuentedeprrafopredeter"/>
    <w:uiPriority w:val="32"/>
    <w:unhideWhenUsed/>
    <w:qFormat/>
    <w:rsid w:val="0066403F"/>
    <w:rPr>
      <w:b/>
      <w:bCs/>
      <w:caps w:val="0"/>
      <w:smallCaps/>
      <w:color w:val="4472C4" w:themeColor="accent1"/>
      <w:spacing w:val="0"/>
    </w:rPr>
  </w:style>
  <w:style w:type="paragraph" w:styleId="Listaconvietas">
    <w:name w:val="List Bullet"/>
    <w:basedOn w:val="Contenido"/>
    <w:uiPriority w:val="11"/>
    <w:qFormat/>
    <w:rsid w:val="0066403F"/>
    <w:pPr>
      <w:framePr w:wrap="around"/>
      <w:numPr>
        <w:numId w:val="2"/>
      </w:numPr>
    </w:pPr>
    <w:rPr>
      <w:noProof/>
    </w:rPr>
  </w:style>
  <w:style w:type="paragraph" w:customStyle="1" w:styleId="AlignedText">
    <w:name w:val="Aligned Text"/>
    <w:basedOn w:val="Ttulo3"/>
    <w:uiPriority w:val="2"/>
    <w:qFormat/>
    <w:rsid w:val="0066403F"/>
  </w:style>
  <w:style w:type="paragraph" w:styleId="TDC2">
    <w:name w:val="toc 2"/>
    <w:basedOn w:val="Normal"/>
    <w:uiPriority w:val="39"/>
    <w:rsid w:val="0066403F"/>
    <w:pPr>
      <w:tabs>
        <w:tab w:val="right" w:leader="dot" w:pos="5040"/>
      </w:tabs>
    </w:pPr>
  </w:style>
  <w:style w:type="paragraph" w:styleId="Ttulo">
    <w:name w:val="Title"/>
    <w:basedOn w:val="Normal"/>
    <w:link w:val="TtuloCar"/>
    <w:uiPriority w:val="1"/>
    <w:qFormat/>
    <w:rsid w:val="0066403F"/>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tuloCar">
    <w:name w:val="Título Car"/>
    <w:basedOn w:val="Fuentedeprrafopredeter"/>
    <w:link w:val="Ttulo"/>
    <w:uiPriority w:val="1"/>
    <w:rsid w:val="0066403F"/>
    <w:rPr>
      <w:rFonts w:asciiTheme="majorHAnsi" w:eastAsiaTheme="majorEastAsia" w:hAnsiTheme="majorHAnsi" w:cstheme="majorBidi"/>
      <w:b/>
      <w:color w:val="000000" w:themeColor="text1"/>
      <w:kern w:val="28"/>
      <w:sz w:val="80"/>
      <w:szCs w:val="80"/>
      <w:lang w:val="es-ES"/>
    </w:rPr>
  </w:style>
  <w:style w:type="paragraph" w:styleId="TtuloTDC">
    <w:name w:val="TOC Heading"/>
    <w:basedOn w:val="Ttulo1"/>
    <w:next w:val="Normal"/>
    <w:uiPriority w:val="39"/>
    <w:qFormat/>
    <w:rsid w:val="0066403F"/>
    <w:pPr>
      <w:pageBreakBefore/>
      <w:framePr w:wrap="around"/>
      <w:outlineLvl w:val="9"/>
    </w:pPr>
    <w:rPr>
      <w:caps/>
    </w:rPr>
  </w:style>
  <w:style w:type="paragraph" w:styleId="Piedepgina">
    <w:name w:val="footer"/>
    <w:basedOn w:val="Normal"/>
    <w:link w:val="PiedepginaCar"/>
    <w:uiPriority w:val="99"/>
    <w:rsid w:val="0066403F"/>
    <w:pPr>
      <w:spacing w:line="240" w:lineRule="auto"/>
      <w:ind w:right="130"/>
      <w:jc w:val="right"/>
    </w:pPr>
  </w:style>
  <w:style w:type="character" w:customStyle="1" w:styleId="PiedepginaCar">
    <w:name w:val="Pie de página Car"/>
    <w:basedOn w:val="Fuentedeprrafopredeter"/>
    <w:link w:val="Piedepgina"/>
    <w:uiPriority w:val="99"/>
    <w:rsid w:val="0066403F"/>
    <w:rPr>
      <w:rFonts w:eastAsiaTheme="minorEastAsia"/>
      <w:b/>
      <w:color w:val="000000" w:themeColor="text1"/>
      <w:sz w:val="28"/>
      <w:lang w:val="es-ES"/>
    </w:rPr>
  </w:style>
  <w:style w:type="paragraph" w:styleId="Encabezado">
    <w:name w:val="header"/>
    <w:basedOn w:val="Normal"/>
    <w:link w:val="EncabezadoCar"/>
    <w:uiPriority w:val="99"/>
    <w:rsid w:val="0066403F"/>
    <w:pPr>
      <w:spacing w:line="240" w:lineRule="auto"/>
      <w:jc w:val="right"/>
    </w:pPr>
  </w:style>
  <w:style w:type="character" w:customStyle="1" w:styleId="EncabezadoCar">
    <w:name w:val="Encabezado Car"/>
    <w:basedOn w:val="Fuentedeprrafopredeter"/>
    <w:link w:val="Encabezado"/>
    <w:uiPriority w:val="99"/>
    <w:rsid w:val="0066403F"/>
    <w:rPr>
      <w:rFonts w:eastAsiaTheme="minorEastAsia"/>
      <w:b/>
      <w:color w:val="000000" w:themeColor="text1"/>
      <w:sz w:val="28"/>
      <w:lang w:val="es-ES"/>
    </w:rPr>
  </w:style>
  <w:style w:type="table" w:styleId="Tablaconcuadrcula">
    <w:name w:val="Table Grid"/>
    <w:basedOn w:val="Tablanormal"/>
    <w:rsid w:val="0066403F"/>
    <w:pPr>
      <w:spacing w:after="0" w:line="240" w:lineRule="auto"/>
    </w:pPr>
    <w:rPr>
      <w:rFonts w:eastAsiaTheme="minorEastAsia"/>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6403F"/>
    <w:rPr>
      <w:color w:val="808080"/>
    </w:rPr>
  </w:style>
  <w:style w:type="paragraph" w:styleId="Textodeglobo">
    <w:name w:val="Balloon Text"/>
    <w:basedOn w:val="Normal"/>
    <w:link w:val="TextodegloboCar"/>
    <w:uiPriority w:val="99"/>
    <w:semiHidden/>
    <w:unhideWhenUsed/>
    <w:rsid w:val="0066403F"/>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03F"/>
    <w:rPr>
      <w:rFonts w:ascii="Segoe UI" w:eastAsiaTheme="minorEastAsia" w:hAnsi="Segoe UI" w:cs="Segoe UI"/>
      <w:b/>
      <w:color w:val="000000" w:themeColor="text1"/>
      <w:sz w:val="18"/>
      <w:szCs w:val="18"/>
      <w:lang w:val="es-ES"/>
    </w:rPr>
  </w:style>
  <w:style w:type="paragraph" w:styleId="Listaconnmeros">
    <w:name w:val="List Number"/>
    <w:basedOn w:val="Normal"/>
    <w:uiPriority w:val="10"/>
    <w:qFormat/>
    <w:rsid w:val="0066403F"/>
    <w:pPr>
      <w:numPr>
        <w:numId w:val="1"/>
      </w:numPr>
    </w:pPr>
    <w:rPr>
      <w:rFonts w:eastAsiaTheme="minorHAnsi"/>
      <w:b w:val="0"/>
    </w:rPr>
  </w:style>
  <w:style w:type="paragraph" w:styleId="TDC3">
    <w:name w:val="toc 3"/>
    <w:basedOn w:val="Normal"/>
    <w:next w:val="Normal"/>
    <w:autoRedefine/>
    <w:uiPriority w:val="39"/>
    <w:unhideWhenUsed/>
    <w:rsid w:val="0066403F"/>
    <w:pPr>
      <w:spacing w:after="100"/>
      <w:ind w:left="560"/>
    </w:pPr>
  </w:style>
  <w:style w:type="character" w:styleId="Hipervnculo">
    <w:name w:val="Hyperlink"/>
    <w:basedOn w:val="Fuentedeprrafopredeter"/>
    <w:uiPriority w:val="99"/>
    <w:unhideWhenUsed/>
    <w:rsid w:val="0066403F"/>
    <w:rPr>
      <w:color w:val="0563C1" w:themeColor="hyperlink"/>
      <w:u w:val="single"/>
    </w:rPr>
  </w:style>
  <w:style w:type="paragraph" w:customStyle="1" w:styleId="Contenido">
    <w:name w:val="Contenido"/>
    <w:basedOn w:val="Normal"/>
    <w:link w:val="Carcterdecontenido"/>
    <w:qFormat/>
    <w:rsid w:val="0066403F"/>
    <w:pPr>
      <w:framePr w:hSpace="180" w:wrap="around" w:vAnchor="page" w:hAnchor="margin" w:y="3427"/>
      <w:spacing w:line="240" w:lineRule="auto"/>
    </w:pPr>
    <w:rPr>
      <w:b w:val="0"/>
    </w:rPr>
  </w:style>
  <w:style w:type="character" w:styleId="nfasis">
    <w:name w:val="Emphasis"/>
    <w:basedOn w:val="Fuentedeprrafopredeter"/>
    <w:uiPriority w:val="20"/>
    <w:unhideWhenUsed/>
    <w:qFormat/>
    <w:rsid w:val="0066403F"/>
    <w:rPr>
      <w:i/>
      <w:iCs/>
    </w:rPr>
  </w:style>
  <w:style w:type="character" w:customStyle="1" w:styleId="Carcterdecontenido">
    <w:name w:val="Carácter de contenido"/>
    <w:basedOn w:val="Fuentedeprrafopredeter"/>
    <w:link w:val="Contenido"/>
    <w:rsid w:val="0066403F"/>
    <w:rPr>
      <w:rFonts w:eastAsiaTheme="minorEastAsia"/>
      <w:color w:val="000000" w:themeColor="text1"/>
      <w:sz w:val="28"/>
      <w:lang w:val="es-ES"/>
    </w:rPr>
  </w:style>
  <w:style w:type="paragraph" w:customStyle="1" w:styleId="Textonotapie1">
    <w:name w:val="Texto nota pie1"/>
    <w:basedOn w:val="Normal"/>
    <w:next w:val="Textonotapie"/>
    <w:link w:val="TextonotapieCar"/>
    <w:uiPriority w:val="99"/>
    <w:semiHidden/>
    <w:unhideWhenUsed/>
    <w:rsid w:val="0066403F"/>
    <w:pPr>
      <w:spacing w:line="240" w:lineRule="auto"/>
    </w:pPr>
    <w:rPr>
      <w:b w:val="0"/>
      <w:color w:val="auto"/>
      <w:kern w:val="2"/>
      <w:sz w:val="20"/>
      <w:szCs w:val="20"/>
      <w:lang w:eastAsia="ja-JP"/>
      <w14:ligatures w14:val="standardContextual"/>
    </w:rPr>
  </w:style>
  <w:style w:type="character" w:customStyle="1" w:styleId="TextonotapieCar">
    <w:name w:val="Texto nota pie Car"/>
    <w:basedOn w:val="Fuentedeprrafopredeter"/>
    <w:link w:val="Textonotapie1"/>
    <w:uiPriority w:val="99"/>
    <w:semiHidden/>
    <w:rsid w:val="0066403F"/>
    <w:rPr>
      <w:rFonts w:eastAsiaTheme="minorEastAsia"/>
      <w:kern w:val="2"/>
      <w:sz w:val="20"/>
      <w:szCs w:val="20"/>
      <w:lang w:val="es-ES" w:eastAsia="ja-JP"/>
      <w14:ligatures w14:val="standardContextual"/>
    </w:rPr>
  </w:style>
  <w:style w:type="character" w:styleId="Refdenotaalpie">
    <w:name w:val="footnote reference"/>
    <w:basedOn w:val="Fuentedeprrafopredeter"/>
    <w:uiPriority w:val="99"/>
    <w:unhideWhenUsed/>
    <w:rsid w:val="0066403F"/>
    <w:rPr>
      <w:vertAlign w:val="superscript"/>
    </w:rPr>
  </w:style>
  <w:style w:type="paragraph" w:styleId="Textonotapie">
    <w:name w:val="footnote text"/>
    <w:basedOn w:val="Normal"/>
    <w:link w:val="TextonotapieCar1"/>
    <w:uiPriority w:val="99"/>
    <w:unhideWhenUsed/>
    <w:rsid w:val="0066403F"/>
    <w:pPr>
      <w:spacing w:line="240" w:lineRule="auto"/>
    </w:pPr>
    <w:rPr>
      <w:sz w:val="20"/>
      <w:szCs w:val="20"/>
    </w:rPr>
  </w:style>
  <w:style w:type="character" w:customStyle="1" w:styleId="TextonotapieCar1">
    <w:name w:val="Texto nota pie Car1"/>
    <w:basedOn w:val="Fuentedeprrafopredeter"/>
    <w:link w:val="Textonotapie"/>
    <w:uiPriority w:val="99"/>
    <w:rsid w:val="0066403F"/>
    <w:rPr>
      <w:rFonts w:eastAsiaTheme="minorEastAsia"/>
      <w:b/>
      <w:color w:val="000000" w:themeColor="text1"/>
      <w:sz w:val="20"/>
      <w:szCs w:val="20"/>
      <w:lang w:val="es-ES"/>
    </w:rPr>
  </w:style>
  <w:style w:type="paragraph" w:styleId="Prrafodelista">
    <w:name w:val="List Paragraph"/>
    <w:basedOn w:val="Normal"/>
    <w:uiPriority w:val="34"/>
    <w:unhideWhenUsed/>
    <w:qFormat/>
    <w:rsid w:val="0066403F"/>
    <w:pPr>
      <w:ind w:left="720"/>
      <w:contextualSpacing/>
    </w:pPr>
  </w:style>
  <w:style w:type="character" w:styleId="Mencinsinresolver">
    <w:name w:val="Unresolved Mention"/>
    <w:basedOn w:val="Fuentedeprrafopredeter"/>
    <w:uiPriority w:val="99"/>
    <w:semiHidden/>
    <w:unhideWhenUsed/>
    <w:rsid w:val="0066403F"/>
    <w:rPr>
      <w:color w:val="605E5C"/>
      <w:shd w:val="clear" w:color="auto" w:fill="E1DFDD"/>
    </w:rPr>
  </w:style>
  <w:style w:type="paragraph" w:styleId="NormalWeb">
    <w:name w:val="Normal (Web)"/>
    <w:basedOn w:val="Normal"/>
    <w:uiPriority w:val="99"/>
    <w:semiHidden/>
    <w:unhideWhenUsed/>
    <w:rsid w:val="0066403F"/>
    <w:rPr>
      <w:rFonts w:ascii="Times New Roman" w:hAnsi="Times New Roman" w:cs="Times New Roman"/>
      <w:sz w:val="24"/>
      <w:szCs w:val="24"/>
    </w:rPr>
  </w:style>
  <w:style w:type="table" w:styleId="Tablaconcuadrcula4-nfasis3">
    <w:name w:val="Grid Table 4 Accent 3"/>
    <w:basedOn w:val="Tablanormal"/>
    <w:uiPriority w:val="49"/>
    <w:rsid w:val="0066403F"/>
    <w:pPr>
      <w:spacing w:after="0" w:line="240" w:lineRule="auto"/>
    </w:pPr>
    <w:rPr>
      <w:rFonts w:eastAsiaTheme="minorEastAsia"/>
      <w:lang w:val="es-ES" w:eastAsia="ja-JP"/>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3">
    <w:name w:val="List Table 3"/>
    <w:basedOn w:val="Tablanormal"/>
    <w:uiPriority w:val="48"/>
    <w:rsid w:val="0066403F"/>
    <w:pPr>
      <w:spacing w:after="0" w:line="240" w:lineRule="auto"/>
    </w:pPr>
    <w:rPr>
      <w:rFonts w:eastAsiaTheme="minorEastAsia"/>
      <w:lang w:val="es-ES" w:eastAsia="ja-JP"/>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4-nfasis5">
    <w:name w:val="List Table 4 Accent 5"/>
    <w:basedOn w:val="Tablanormal"/>
    <w:uiPriority w:val="49"/>
    <w:rsid w:val="0066403F"/>
    <w:pPr>
      <w:spacing w:after="0" w:line="240" w:lineRule="auto"/>
    </w:pPr>
    <w:rPr>
      <w:rFonts w:eastAsiaTheme="minorEastAsia"/>
      <w:lang w:val="es-ES" w:eastAsia="ja-JP"/>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Refdecomentario">
    <w:name w:val="annotation reference"/>
    <w:basedOn w:val="Fuentedeprrafopredeter"/>
    <w:uiPriority w:val="99"/>
    <w:semiHidden/>
    <w:unhideWhenUsed/>
    <w:rsid w:val="0066403F"/>
    <w:rPr>
      <w:sz w:val="16"/>
      <w:szCs w:val="16"/>
    </w:rPr>
  </w:style>
  <w:style w:type="paragraph" w:styleId="Textocomentario">
    <w:name w:val="annotation text"/>
    <w:basedOn w:val="Normal"/>
    <w:link w:val="TextocomentarioCar"/>
    <w:uiPriority w:val="99"/>
    <w:unhideWhenUsed/>
    <w:rsid w:val="0066403F"/>
    <w:pPr>
      <w:spacing w:line="240" w:lineRule="auto"/>
    </w:pPr>
    <w:rPr>
      <w:sz w:val="20"/>
      <w:szCs w:val="20"/>
    </w:rPr>
  </w:style>
  <w:style w:type="character" w:customStyle="1" w:styleId="TextocomentarioCar">
    <w:name w:val="Texto comentario Car"/>
    <w:basedOn w:val="Fuentedeprrafopredeter"/>
    <w:link w:val="Textocomentario"/>
    <w:uiPriority w:val="99"/>
    <w:rsid w:val="0066403F"/>
    <w:rPr>
      <w:rFonts w:eastAsiaTheme="minorEastAsia"/>
      <w:b/>
      <w:color w:val="000000" w:themeColor="text1"/>
      <w:sz w:val="20"/>
      <w:szCs w:val="20"/>
      <w:lang w:val="es-ES"/>
    </w:rPr>
  </w:style>
  <w:style w:type="paragraph" w:styleId="Asuntodelcomentario">
    <w:name w:val="annotation subject"/>
    <w:basedOn w:val="Textocomentario"/>
    <w:next w:val="Textocomentario"/>
    <w:link w:val="AsuntodelcomentarioCar"/>
    <w:uiPriority w:val="99"/>
    <w:semiHidden/>
    <w:unhideWhenUsed/>
    <w:rsid w:val="0066403F"/>
    <w:rPr>
      <w:bCs/>
    </w:rPr>
  </w:style>
  <w:style w:type="character" w:customStyle="1" w:styleId="AsuntodelcomentarioCar">
    <w:name w:val="Asunto del comentario Car"/>
    <w:basedOn w:val="TextocomentarioCar"/>
    <w:link w:val="Asuntodelcomentario"/>
    <w:uiPriority w:val="99"/>
    <w:semiHidden/>
    <w:rsid w:val="0066403F"/>
    <w:rPr>
      <w:rFonts w:eastAsiaTheme="minorEastAsia"/>
      <w:b/>
      <w:bCs/>
      <w:color w:val="000000" w:themeColor="text1"/>
      <w:sz w:val="20"/>
      <w:szCs w:val="20"/>
      <w:lang w:val="es-ES"/>
    </w:rPr>
  </w:style>
  <w:style w:type="paragraph" w:styleId="Revisin">
    <w:name w:val="Revision"/>
    <w:hidden/>
    <w:uiPriority w:val="99"/>
    <w:semiHidden/>
    <w:rsid w:val="0066403F"/>
    <w:pPr>
      <w:spacing w:after="0" w:line="240" w:lineRule="auto"/>
    </w:pPr>
    <w:rPr>
      <w:rFonts w:eastAsiaTheme="minorEastAsia"/>
      <w:b/>
      <w:color w:val="000000" w:themeColor="text1"/>
      <w:sz w:val="2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hyperlink" Target="https://www.dof.gob.mx/nota_detalle.php?codigo=5352323&amp;fecha=14/07/2014" TargetMode="External"/><Relationship Id="rId21" Type="http://schemas.openxmlformats.org/officeDocument/2006/relationships/chart" Target="charts/chart7.xml"/><Relationship Id="rId34" Type="http://schemas.openxmlformats.org/officeDocument/2006/relationships/hyperlink" Target="https://www.ift.org.mx/sites/default/files/industria/temasrelevantes/24429/documentos/24-10-08-acuerdo-pift040924312cuestionario.pdf" TargetMode="External"/><Relationship Id="rId42" Type="http://schemas.openxmlformats.org/officeDocument/2006/relationships/hyperlink" Target="https://www.oecd.org/content/dam/oecd/es/publications/reports/2012/11/recommendation-of-the-council-on-regulatory-policy-and-governance_g1g3fce5/9789264209046-es.pdf"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hyperlink" Target="https://www.ift.org.mx/sites/default/files/pat_2024.pdf" TargetMode="External"/><Relationship Id="rId40" Type="http://schemas.openxmlformats.org/officeDocument/2006/relationships/hyperlink" Target="https://www.ift.org.mx/sites/default/files/c-ca-27-deadseddt.pdf"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yperlink" Target="https://www.ift.org.mx/industria/consultas-publicas/ficha-de-consulta-publica?project_cp=24429" TargetMode="Externa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hyperlink" Target="https://repositorio.cepal.org/server/api/core/bitstreams/6b15060d-0f7d-48a0-8c69-2a6d6338a6ac/content" TargetMode="External"/><Relationship Id="rId43" Type="http://schemas.openxmlformats.org/officeDocument/2006/relationships/hyperlink" Target="https://ventanilla.ift.org.mx/VentanillaElectronica/index.php/Login"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hyperlink" Target="https://www.dof.gob.mx/nota_detalle.php?codigo=5577783&amp;fecha=05/11/2019" TargetMode="External"/><Relationship Id="rId46" Type="http://schemas.openxmlformats.org/officeDocument/2006/relationships/footer" Target="footer1.xml"/><Relationship Id="rId20" Type="http://schemas.openxmlformats.org/officeDocument/2006/relationships/chart" Target="charts/chart6.xml"/><Relationship Id="rId41" Type="http://schemas.openxmlformats.org/officeDocument/2006/relationships/hyperlink" Target="https://registroregulaciones.ift.org.m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ft.org.mx/industria/consultas-publicas/ficha-de-consulta-publica?project_cp=24429" TargetMode="External"/><Relationship Id="rId3" Type="http://schemas.openxmlformats.org/officeDocument/2006/relationships/hyperlink" Target="https://ventanilla.ift.org.mx/VentanillaElectronica/index.php/Login" TargetMode="External"/><Relationship Id="rId7" Type="http://schemas.openxmlformats.org/officeDocument/2006/relationships/hyperlink" Target="https://www.oecd.org/content/dam/oecd/es/publications/reports/2012/11/recommendation-of-the-council-on-regulatory-policy-and-governance_g1g3fce5/9789264209046-es.pdf" TargetMode="External"/><Relationship Id="rId12" Type="http://schemas.openxmlformats.org/officeDocument/2006/relationships/hyperlink" Target="https://ventanilla.ift.org.mx/VentanillaElectronica/index.php/Login" TargetMode="External"/><Relationship Id="rId2" Type="http://schemas.openxmlformats.org/officeDocument/2006/relationships/hyperlink" Target="https://www.ift.org.mx/industria/consultas-publicas/ficha-de-consulta-publica?project_cp=24429" TargetMode="External"/><Relationship Id="rId1" Type="http://schemas.openxmlformats.org/officeDocument/2006/relationships/hyperlink" Target="https://www.ift.org.mx/sites/default/files/pat_2024.pdf" TargetMode="External"/><Relationship Id="rId6" Type="http://schemas.openxmlformats.org/officeDocument/2006/relationships/hyperlink" Target="https://registroregulaciones.ift.org.mx/" TargetMode="External"/><Relationship Id="rId11" Type="http://schemas.openxmlformats.org/officeDocument/2006/relationships/hyperlink" Target="https://www.ift.org.mx/sites/default/files/c-ca-27-deadseddt.pdf" TargetMode="External"/><Relationship Id="rId5" Type="http://schemas.openxmlformats.org/officeDocument/2006/relationships/hyperlink" Target="https://www.dof.gob.mx/nota_detalle.php?codigo=5577783&amp;fecha=05/11/2019" TargetMode="External"/><Relationship Id="rId10" Type="http://schemas.openxmlformats.org/officeDocument/2006/relationships/hyperlink" Target="https://www.cepal.org/es/publicaciones/7330-gobierno-electronico-la-gestion-publica" TargetMode="External"/><Relationship Id="rId4" Type="http://schemas.openxmlformats.org/officeDocument/2006/relationships/hyperlink" Target="https://www.dof.gob.mx/nota_detalle.php?codigo=5352323&amp;fecha=14/07/2014" TargetMode="External"/><Relationship Id="rId9" Type="http://schemas.openxmlformats.org/officeDocument/2006/relationships/hyperlink" Target="https://www.ift.org.mx/sites/default/files/industria/temasrelevantes/24429/documentos/24-10-08-acuerdo-pift040924312cuestionario.pdf"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0.png"/><Relationship Id="rId7" Type="http://schemas.openxmlformats.org/officeDocument/2006/relationships/image" Target="media/image15.pn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3.svg"/><Relationship Id="rId5" Type="http://schemas.openxmlformats.org/officeDocument/2006/relationships/image" Target="media/image12.png"/><Relationship Id="rId4" Type="http://schemas.openxmlformats.org/officeDocument/2006/relationships/image" Target="media/image11.svg"/><Relationship Id="rId9"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oleObject" Target="https://iftorgmx-my.sharepoint.com/personal/alinne_fuentes_ift_org_mx/Documents/Reporte%20Especial/Encuestas%20VE-DPI/24-10-09_Graficas_Trimestre_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iftorgmx-my.sharepoint.com/personal/alinne_fuentes_ift_org_mx/Documents/Reporte%20Especial/Encuestas%20VE-DPI/24-10-09_Graficas_Trimestre_3.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iftorgmx-my.sharepoint.com/personal/alinne_fuentes_ift_org_mx/Documents/Reporte%20Especial/Encuestas%20VE-DPI/24-10-09_Graficas_Trimestre_3.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60" b="0" i="0" u="none" strike="noStrike" kern="1200" spc="0" baseline="0">
                <a:solidFill>
                  <a:sysClr val="windowText" lastClr="000000"/>
                </a:solidFill>
                <a:latin typeface="ITC Avant Garde" panose="020B0402020203020304" pitchFamily="34" charset="0"/>
                <a:ea typeface="+mn-ea"/>
                <a:cs typeface="+mn-cs"/>
              </a:defRPr>
            </a:pPr>
            <a:r>
              <a:rPr lang="es-MX"/>
              <a:t>Tabla 1. Satisfacción en la calidad de los servicios</a:t>
            </a:r>
          </a:p>
        </c:rich>
      </c:tx>
      <c:layout>
        <c:manualLayout>
          <c:xMode val="edge"/>
          <c:yMode val="edge"/>
          <c:x val="0.21871518664333625"/>
          <c:y val="3.5714285714285712E-2"/>
        </c:manualLayout>
      </c:layout>
      <c:overlay val="0"/>
      <c:spPr>
        <a:noFill/>
        <a:ln>
          <a:noFill/>
        </a:ln>
        <a:effectLst/>
      </c:spPr>
      <c:txPr>
        <a:bodyPr rot="0" spcFirstLastPara="1" vertOverflow="ellipsis" vert="horz" wrap="square" anchor="ctr" anchorCtr="1"/>
        <a:lstStyle/>
        <a:p>
          <a:pPr algn="ctr">
            <a:defRPr sz="960" b="0" i="0" u="none" strike="noStrike" kern="1200" spc="0" baseline="0">
              <a:solidFill>
                <a:sysClr val="windowText" lastClr="000000"/>
              </a:solidFill>
              <a:latin typeface="ITC Avant Garde" panose="020B0402020203020304" pitchFamily="34" charset="0"/>
              <a:ea typeface="+mn-ea"/>
              <a:cs typeface="+mn-cs"/>
            </a:defRPr>
          </a:pPr>
          <a:endParaRPr lang="es-MX"/>
        </a:p>
      </c:txPr>
    </c:title>
    <c:autoTitleDeleted val="0"/>
    <c:plotArea>
      <c:layout/>
      <c:barChart>
        <c:barDir val="col"/>
        <c:grouping val="clustered"/>
        <c:varyColors val="0"/>
        <c:ser>
          <c:idx val="0"/>
          <c:order val="0"/>
          <c:tx>
            <c:strRef>
              <c:f>Hoja1!$B$1</c:f>
              <c:strCache>
                <c:ptCount val="1"/>
                <c:pt idx="0">
                  <c:v>Medidas de privacidad</c:v>
                </c:pt>
              </c:strCache>
            </c:strRef>
          </c:tx>
          <c:spPr>
            <a:solidFill>
              <a:srgbClr val="92D050"/>
            </a:solidFill>
            <a:ln>
              <a:solidFill>
                <a:srgbClr val="92D050"/>
              </a:solidFill>
            </a:ln>
            <a:effectLst/>
          </c:spPr>
          <c:invertIfNegative val="0"/>
          <c:cat>
            <c:strRef>
              <c:f>Hoja1!$A$2:$A$8</c:f>
              <c:strCache>
                <c:ptCount val="7"/>
                <c:pt idx="0">
                  <c:v>Muy satisfecha</c:v>
                </c:pt>
                <c:pt idx="1">
                  <c:v>Satisfecha</c:v>
                </c:pt>
                <c:pt idx="2">
                  <c:v>Muy segura</c:v>
                </c:pt>
                <c:pt idx="3">
                  <c:v>Segura</c:v>
                </c:pt>
                <c:pt idx="4">
                  <c:v>Frecuentemente</c:v>
                </c:pt>
                <c:pt idx="5">
                  <c:v>Ocasionalmente</c:v>
                </c:pt>
                <c:pt idx="6">
                  <c:v>Raramente</c:v>
                </c:pt>
              </c:strCache>
            </c:strRef>
          </c:cat>
          <c:val>
            <c:numRef>
              <c:f>Hoja1!$B$2:$B$8</c:f>
              <c:numCache>
                <c:formatCode>General</c:formatCode>
                <c:ptCount val="7"/>
                <c:pt idx="1">
                  <c:v>5</c:v>
                </c:pt>
              </c:numCache>
            </c:numRef>
          </c:val>
          <c:extLst>
            <c:ext xmlns:c16="http://schemas.microsoft.com/office/drawing/2014/chart" uri="{C3380CC4-5D6E-409C-BE32-E72D297353CC}">
              <c16:uniqueId val="{00000000-86BA-499B-9F8C-475857F92199}"/>
            </c:ext>
          </c:extLst>
        </c:ser>
        <c:ser>
          <c:idx val="1"/>
          <c:order val="1"/>
          <c:tx>
            <c:strRef>
              <c:f>Hoja1!$C$1</c:f>
              <c:strCache>
                <c:ptCount val="1"/>
                <c:pt idx="0">
                  <c:v>Proceso de autenticación </c:v>
                </c:pt>
              </c:strCache>
            </c:strRef>
          </c:tx>
          <c:spPr>
            <a:solidFill>
              <a:schemeClr val="bg2">
                <a:lumMod val="50000"/>
              </a:schemeClr>
            </a:solidFill>
            <a:ln>
              <a:noFill/>
            </a:ln>
            <a:effectLst/>
          </c:spPr>
          <c:invertIfNegative val="0"/>
          <c:cat>
            <c:strRef>
              <c:f>Hoja1!$A$2:$A$8</c:f>
              <c:strCache>
                <c:ptCount val="7"/>
                <c:pt idx="0">
                  <c:v>Muy satisfecha</c:v>
                </c:pt>
                <c:pt idx="1">
                  <c:v>Satisfecha</c:v>
                </c:pt>
                <c:pt idx="2">
                  <c:v>Muy segura</c:v>
                </c:pt>
                <c:pt idx="3">
                  <c:v>Segura</c:v>
                </c:pt>
                <c:pt idx="4">
                  <c:v>Frecuentemente</c:v>
                </c:pt>
                <c:pt idx="5">
                  <c:v>Ocasionalmente</c:v>
                </c:pt>
                <c:pt idx="6">
                  <c:v>Raramente</c:v>
                </c:pt>
              </c:strCache>
            </c:strRef>
          </c:cat>
          <c:val>
            <c:numRef>
              <c:f>Hoja1!$C$2:$C$8</c:f>
              <c:numCache>
                <c:formatCode>General</c:formatCode>
                <c:ptCount val="7"/>
                <c:pt idx="0">
                  <c:v>1</c:v>
                </c:pt>
                <c:pt idx="1">
                  <c:v>4</c:v>
                </c:pt>
              </c:numCache>
            </c:numRef>
          </c:val>
          <c:extLst>
            <c:ext xmlns:c16="http://schemas.microsoft.com/office/drawing/2014/chart" uri="{C3380CC4-5D6E-409C-BE32-E72D297353CC}">
              <c16:uniqueId val="{00000001-86BA-499B-9F8C-475857F92199}"/>
            </c:ext>
          </c:extLst>
        </c:ser>
        <c:ser>
          <c:idx val="2"/>
          <c:order val="2"/>
          <c:tx>
            <c:strRef>
              <c:f>Hoja1!$D$1</c:f>
              <c:strCache>
                <c:ptCount val="1"/>
                <c:pt idx="0">
                  <c:v>Seguridad-software malicioso</c:v>
                </c:pt>
              </c:strCache>
            </c:strRef>
          </c:tx>
          <c:spPr>
            <a:solidFill>
              <a:srgbClr val="00B050"/>
            </a:solidFill>
            <a:ln>
              <a:noFill/>
            </a:ln>
            <a:effectLst/>
          </c:spPr>
          <c:invertIfNegative val="0"/>
          <c:cat>
            <c:strRef>
              <c:f>Hoja1!$A$2:$A$8</c:f>
              <c:strCache>
                <c:ptCount val="7"/>
                <c:pt idx="0">
                  <c:v>Muy satisfecha</c:v>
                </c:pt>
                <c:pt idx="1">
                  <c:v>Satisfecha</c:v>
                </c:pt>
                <c:pt idx="2">
                  <c:v>Muy segura</c:v>
                </c:pt>
                <c:pt idx="3">
                  <c:v>Segura</c:v>
                </c:pt>
                <c:pt idx="4">
                  <c:v>Frecuentemente</c:v>
                </c:pt>
                <c:pt idx="5">
                  <c:v>Ocasionalmente</c:v>
                </c:pt>
                <c:pt idx="6">
                  <c:v>Raramente</c:v>
                </c:pt>
              </c:strCache>
            </c:strRef>
          </c:cat>
          <c:val>
            <c:numRef>
              <c:f>Hoja1!$D$2:$D$8</c:f>
              <c:numCache>
                <c:formatCode>General</c:formatCode>
                <c:ptCount val="7"/>
                <c:pt idx="2">
                  <c:v>1</c:v>
                </c:pt>
                <c:pt idx="3">
                  <c:v>4</c:v>
                </c:pt>
              </c:numCache>
            </c:numRef>
          </c:val>
          <c:extLst>
            <c:ext xmlns:c16="http://schemas.microsoft.com/office/drawing/2014/chart" uri="{C3380CC4-5D6E-409C-BE32-E72D297353CC}">
              <c16:uniqueId val="{00000002-86BA-499B-9F8C-475857F92199}"/>
            </c:ext>
          </c:extLst>
        </c:ser>
        <c:ser>
          <c:idx val="3"/>
          <c:order val="3"/>
          <c:tx>
            <c:strRef>
              <c:f>Hoja1!$E$1</c:f>
              <c:strCache>
                <c:ptCount val="1"/>
                <c:pt idx="0">
                  <c:v>Problemas de compatibilidad</c:v>
                </c:pt>
              </c:strCache>
            </c:strRef>
          </c:tx>
          <c:spPr>
            <a:solidFill>
              <a:schemeClr val="bg2">
                <a:lumMod val="90000"/>
              </a:schemeClr>
            </a:solidFill>
            <a:ln>
              <a:noFill/>
            </a:ln>
            <a:effectLst/>
          </c:spPr>
          <c:invertIfNegative val="0"/>
          <c:cat>
            <c:strRef>
              <c:f>Hoja1!$A$2:$A$8</c:f>
              <c:strCache>
                <c:ptCount val="7"/>
                <c:pt idx="0">
                  <c:v>Muy satisfecha</c:v>
                </c:pt>
                <c:pt idx="1">
                  <c:v>Satisfecha</c:v>
                </c:pt>
                <c:pt idx="2">
                  <c:v>Muy segura</c:v>
                </c:pt>
                <c:pt idx="3">
                  <c:v>Segura</c:v>
                </c:pt>
                <c:pt idx="4">
                  <c:v>Frecuentemente</c:v>
                </c:pt>
                <c:pt idx="5">
                  <c:v>Ocasionalmente</c:v>
                </c:pt>
                <c:pt idx="6">
                  <c:v>Raramente</c:v>
                </c:pt>
              </c:strCache>
            </c:strRef>
          </c:cat>
          <c:val>
            <c:numRef>
              <c:f>Hoja1!$E$2:$E$8</c:f>
              <c:numCache>
                <c:formatCode>General</c:formatCode>
                <c:ptCount val="7"/>
                <c:pt idx="4">
                  <c:v>1</c:v>
                </c:pt>
                <c:pt idx="5">
                  <c:v>2</c:v>
                </c:pt>
                <c:pt idx="6">
                  <c:v>2</c:v>
                </c:pt>
              </c:numCache>
            </c:numRef>
          </c:val>
          <c:extLst>
            <c:ext xmlns:c16="http://schemas.microsoft.com/office/drawing/2014/chart" uri="{C3380CC4-5D6E-409C-BE32-E72D297353CC}">
              <c16:uniqueId val="{00000003-86BA-499B-9F8C-475857F92199}"/>
            </c:ext>
          </c:extLst>
        </c:ser>
        <c:dLbls>
          <c:showLegendKey val="0"/>
          <c:showVal val="0"/>
          <c:showCatName val="0"/>
          <c:showSerName val="0"/>
          <c:showPercent val="0"/>
          <c:showBubbleSize val="0"/>
        </c:dLbls>
        <c:gapWidth val="219"/>
        <c:overlap val="-27"/>
        <c:axId val="453941440"/>
        <c:axId val="1250758415"/>
      </c:barChart>
      <c:catAx>
        <c:axId val="45394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crossAx val="1250758415"/>
        <c:crosses val="autoZero"/>
        <c:auto val="1"/>
        <c:lblAlgn val="ctr"/>
        <c:lblOffset val="100"/>
        <c:noMultiLvlLbl val="0"/>
      </c:catAx>
      <c:valAx>
        <c:axId val="12507584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crossAx val="45394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ITC Avant Garde" panose="020B0402020203020304" pitchFamily="34" charset="0"/>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ITC Avant Garde" panose="020B0402020203020304" pitchFamily="34" charset="0"/>
                <a:ea typeface="+mn-ea"/>
                <a:cs typeface="+mn-cs"/>
              </a:defRPr>
            </a:pPr>
            <a:r>
              <a:rPr lang="en-US"/>
              <a:t>Tabla 10. Participación en las consultas públicas sobre la Ventanilla Electrónica</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ITC Avant Garde" panose="020B0402020203020304" pitchFamily="34" charset="0"/>
              <a:ea typeface="+mn-ea"/>
              <a:cs typeface="+mn-cs"/>
            </a:defRPr>
          </a:pPr>
          <a:endParaRPr lang="es-MX"/>
        </a:p>
      </c:txPr>
    </c:title>
    <c:autoTitleDeleted val="0"/>
    <c:plotArea>
      <c:layout/>
      <c:barChart>
        <c:barDir val="col"/>
        <c:grouping val="clustered"/>
        <c:varyColors val="0"/>
        <c:ser>
          <c:idx val="0"/>
          <c:order val="0"/>
          <c:tx>
            <c:strRef>
              <c:f>Hoja1!$B$1</c:f>
              <c:strCache>
                <c:ptCount val="1"/>
                <c:pt idx="0">
                  <c:v>Participación en las consultas públicas sobre la Ventanilla Electrónica</c:v>
                </c:pt>
              </c:strCache>
            </c:strRef>
          </c:tx>
          <c:spPr>
            <a:solidFill>
              <a:srgbClr val="92D050"/>
            </a:solidFill>
            <a:ln>
              <a:noFill/>
            </a:ln>
            <a:effectLst/>
          </c:spPr>
          <c:invertIfNegative val="0"/>
          <c:cat>
            <c:strRef>
              <c:f>Hoja1!$A$2:$A$6</c:f>
              <c:strCache>
                <c:ptCount val="5"/>
                <c:pt idx="0">
                  <c:v>No he participado</c:v>
                </c:pt>
                <c:pt idx="1">
                  <c:v>Participación mínima</c:v>
                </c:pt>
                <c:pt idx="2">
                  <c:v>Participación moderada</c:v>
                </c:pt>
                <c:pt idx="3">
                  <c:v>Participación activa</c:v>
                </c:pt>
                <c:pt idx="4">
                  <c:v>Participación muy activa</c:v>
                </c:pt>
              </c:strCache>
            </c:strRef>
          </c:cat>
          <c:val>
            <c:numRef>
              <c:f>Hoja1!$B$2:$B$6</c:f>
              <c:numCache>
                <c:formatCode>General</c:formatCode>
                <c:ptCount val="5"/>
                <c:pt idx="0">
                  <c:v>0</c:v>
                </c:pt>
                <c:pt idx="1">
                  <c:v>0</c:v>
                </c:pt>
                <c:pt idx="2">
                  <c:v>1</c:v>
                </c:pt>
                <c:pt idx="3">
                  <c:v>2</c:v>
                </c:pt>
                <c:pt idx="4">
                  <c:v>2</c:v>
                </c:pt>
              </c:numCache>
            </c:numRef>
          </c:val>
          <c:extLst>
            <c:ext xmlns:c16="http://schemas.microsoft.com/office/drawing/2014/chart" uri="{C3380CC4-5D6E-409C-BE32-E72D297353CC}">
              <c16:uniqueId val="{00000000-D79D-4ADA-87B1-9354A0E5FB93}"/>
            </c:ext>
          </c:extLst>
        </c:ser>
        <c:dLbls>
          <c:showLegendKey val="0"/>
          <c:showVal val="0"/>
          <c:showCatName val="0"/>
          <c:showSerName val="0"/>
          <c:showPercent val="0"/>
          <c:showBubbleSize val="0"/>
        </c:dLbls>
        <c:gapWidth val="219"/>
        <c:overlap val="-27"/>
        <c:axId val="1117286351"/>
        <c:axId val="1849930895"/>
      </c:barChart>
      <c:catAx>
        <c:axId val="1117286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crossAx val="1849930895"/>
        <c:crosses val="autoZero"/>
        <c:auto val="1"/>
        <c:lblAlgn val="ctr"/>
        <c:lblOffset val="100"/>
        <c:noMultiLvlLbl val="0"/>
      </c:catAx>
      <c:valAx>
        <c:axId val="1849930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crossAx val="1117286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ITC Avant Garde" panose="020B0402020203020304" pitchFamily="34" charset="0"/>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ITC Avant Garde" panose="020B0402020203020304" pitchFamily="34" charset="0"/>
              <a:ea typeface="+mn-ea"/>
              <a:cs typeface="+mn-cs"/>
            </a:defRPr>
          </a:pPr>
          <a:endParaRPr lang="es-MX"/>
        </a:p>
      </c:txPr>
    </c:title>
    <c:autoTitleDeleted val="0"/>
    <c:plotArea>
      <c:layout/>
      <c:barChart>
        <c:barDir val="col"/>
        <c:grouping val="clustered"/>
        <c:varyColors val="0"/>
        <c:ser>
          <c:idx val="0"/>
          <c:order val="0"/>
          <c:tx>
            <c:strRef>
              <c:f>Hoja1!$B$1</c:f>
              <c:strCache>
                <c:ptCount val="1"/>
                <c:pt idx="0">
                  <c:v>Tabla 11. Claridad de los Lineamientos de VE</c:v>
                </c:pt>
              </c:strCache>
            </c:strRef>
          </c:tx>
          <c:spPr>
            <a:solidFill>
              <a:srgbClr val="92D050"/>
            </a:solidFill>
            <a:ln>
              <a:noFill/>
            </a:ln>
            <a:effectLst/>
          </c:spPr>
          <c:invertIfNegative val="0"/>
          <c:cat>
            <c:strRef>
              <c:f>Hoja1!$A$2:$A$6</c:f>
              <c:strCache>
                <c:ptCount val="5"/>
                <c:pt idx="0">
                  <c:v>No los conozco</c:v>
                </c:pt>
                <c:pt idx="1">
                  <c:v>Poco claros</c:v>
                </c:pt>
                <c:pt idx="2">
                  <c:v>Neutral</c:v>
                </c:pt>
                <c:pt idx="3">
                  <c:v>Claros</c:v>
                </c:pt>
                <c:pt idx="4">
                  <c:v>Muy claros</c:v>
                </c:pt>
              </c:strCache>
            </c:strRef>
          </c:cat>
          <c:val>
            <c:numRef>
              <c:f>Hoja1!$B$2:$B$6</c:f>
              <c:numCache>
                <c:formatCode>General</c:formatCode>
                <c:ptCount val="5"/>
                <c:pt idx="0">
                  <c:v>0</c:v>
                </c:pt>
                <c:pt idx="1">
                  <c:v>1</c:v>
                </c:pt>
                <c:pt idx="2">
                  <c:v>1</c:v>
                </c:pt>
                <c:pt idx="3">
                  <c:v>3</c:v>
                </c:pt>
                <c:pt idx="4">
                  <c:v>0</c:v>
                </c:pt>
              </c:numCache>
            </c:numRef>
          </c:val>
          <c:extLst>
            <c:ext xmlns:c16="http://schemas.microsoft.com/office/drawing/2014/chart" uri="{C3380CC4-5D6E-409C-BE32-E72D297353CC}">
              <c16:uniqueId val="{00000000-B459-4736-8DE8-BB4C34BCC18D}"/>
            </c:ext>
          </c:extLst>
        </c:ser>
        <c:dLbls>
          <c:showLegendKey val="0"/>
          <c:showVal val="0"/>
          <c:showCatName val="0"/>
          <c:showSerName val="0"/>
          <c:showPercent val="0"/>
          <c:showBubbleSize val="0"/>
        </c:dLbls>
        <c:gapWidth val="219"/>
        <c:overlap val="-27"/>
        <c:axId val="357810960"/>
        <c:axId val="357811440"/>
      </c:barChart>
      <c:catAx>
        <c:axId val="35781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crossAx val="357811440"/>
        <c:crosses val="autoZero"/>
        <c:auto val="1"/>
        <c:lblAlgn val="ctr"/>
        <c:lblOffset val="100"/>
        <c:noMultiLvlLbl val="0"/>
      </c:catAx>
      <c:valAx>
        <c:axId val="357811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crossAx val="35781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ITC Avant Garde" panose="020B0402020203020304" pitchFamily="34" charset="0"/>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ITC Avant Garde" panose="020B0402020203020304" pitchFamily="34" charset="0"/>
                <a:ea typeface="+mn-ea"/>
                <a:cs typeface="+mn-cs"/>
              </a:defRPr>
            </a:pPr>
            <a:r>
              <a:rPr lang="en-US"/>
              <a:t>Tabla 12. Claridad de la regulación para la presentación de los trámites y servicios a través de la Ventanilla Electrónica</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ITC Avant Garde" panose="020B0402020203020304" pitchFamily="34" charset="0"/>
              <a:ea typeface="+mn-ea"/>
              <a:cs typeface="+mn-cs"/>
            </a:defRPr>
          </a:pPr>
          <a:endParaRPr lang="es-MX"/>
        </a:p>
      </c:txPr>
    </c:title>
    <c:autoTitleDeleted val="0"/>
    <c:plotArea>
      <c:layout/>
      <c:barChart>
        <c:barDir val="col"/>
        <c:grouping val="clustered"/>
        <c:varyColors val="0"/>
        <c:ser>
          <c:idx val="0"/>
          <c:order val="0"/>
          <c:tx>
            <c:strRef>
              <c:f>Hoja1!$B$1</c:f>
              <c:strCache>
                <c:ptCount val="1"/>
                <c:pt idx="0">
                  <c:v>Claridad de la regulación para la presentación de los trámites y servicios a través de la Ventanilla Electrónica</c:v>
                </c:pt>
              </c:strCache>
            </c:strRef>
          </c:tx>
          <c:spPr>
            <a:solidFill>
              <a:srgbClr val="92D050"/>
            </a:solidFill>
            <a:ln>
              <a:noFill/>
            </a:ln>
            <a:effectLst/>
          </c:spPr>
          <c:invertIfNegative val="0"/>
          <c:cat>
            <c:strRef>
              <c:f>Hoja1!$A$2:$A$6</c:f>
              <c:strCache>
                <c:ptCount val="5"/>
                <c:pt idx="0">
                  <c:v>No los conozco</c:v>
                </c:pt>
                <c:pt idx="1">
                  <c:v>Poco claros</c:v>
                </c:pt>
                <c:pt idx="2">
                  <c:v>Neutral</c:v>
                </c:pt>
                <c:pt idx="3">
                  <c:v>Claros</c:v>
                </c:pt>
                <c:pt idx="4">
                  <c:v>Muy claros</c:v>
                </c:pt>
              </c:strCache>
            </c:strRef>
          </c:cat>
          <c:val>
            <c:numRef>
              <c:f>Hoja1!$B$2:$B$6</c:f>
              <c:numCache>
                <c:formatCode>General</c:formatCode>
                <c:ptCount val="5"/>
                <c:pt idx="0">
                  <c:v>0</c:v>
                </c:pt>
                <c:pt idx="1">
                  <c:v>2</c:v>
                </c:pt>
                <c:pt idx="2">
                  <c:v>1</c:v>
                </c:pt>
                <c:pt idx="3">
                  <c:v>2</c:v>
                </c:pt>
                <c:pt idx="4">
                  <c:v>0</c:v>
                </c:pt>
              </c:numCache>
            </c:numRef>
          </c:val>
          <c:extLst>
            <c:ext xmlns:c16="http://schemas.microsoft.com/office/drawing/2014/chart" uri="{C3380CC4-5D6E-409C-BE32-E72D297353CC}">
              <c16:uniqueId val="{00000000-08CC-4BF4-960B-7C91C01C5508}"/>
            </c:ext>
          </c:extLst>
        </c:ser>
        <c:dLbls>
          <c:showLegendKey val="0"/>
          <c:showVal val="0"/>
          <c:showCatName val="0"/>
          <c:showSerName val="0"/>
          <c:showPercent val="0"/>
          <c:showBubbleSize val="0"/>
        </c:dLbls>
        <c:gapWidth val="219"/>
        <c:overlap val="-27"/>
        <c:axId val="2077930815"/>
        <c:axId val="2077931295"/>
      </c:barChart>
      <c:catAx>
        <c:axId val="2077930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crossAx val="2077931295"/>
        <c:crosses val="autoZero"/>
        <c:auto val="1"/>
        <c:lblAlgn val="ctr"/>
        <c:lblOffset val="100"/>
        <c:noMultiLvlLbl val="0"/>
      </c:catAx>
      <c:valAx>
        <c:axId val="2077931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crossAx val="2077930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ITC Avant Garde" panose="020B0402020203020304" pitchFamily="34" charset="0"/>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ITC Avant Garde" panose="020B0402020203020304" pitchFamily="34" charset="0"/>
                <a:ea typeface="+mn-ea"/>
                <a:cs typeface="+mn-cs"/>
              </a:defRPr>
            </a:pPr>
            <a:r>
              <a:rPr lang="en-US"/>
              <a:t> Tabla 13. Cumplimiento del marco regulatorio de la Ventanilla Electrónica</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ITC Avant Garde" panose="020B0402020203020304" pitchFamily="34" charset="0"/>
              <a:ea typeface="+mn-ea"/>
              <a:cs typeface="+mn-cs"/>
            </a:defRPr>
          </a:pPr>
          <a:endParaRPr lang="es-MX"/>
        </a:p>
      </c:txPr>
    </c:title>
    <c:autoTitleDeleted val="0"/>
    <c:plotArea>
      <c:layout/>
      <c:barChart>
        <c:barDir val="col"/>
        <c:grouping val="clustered"/>
        <c:varyColors val="0"/>
        <c:ser>
          <c:idx val="0"/>
          <c:order val="0"/>
          <c:tx>
            <c:strRef>
              <c:f>Hoja1!$B$1</c:f>
              <c:strCache>
                <c:ptCount val="1"/>
                <c:pt idx="0">
                  <c:v> Cumplimiento del marco regulatorio de la Ventanilla Electrónica</c:v>
                </c:pt>
              </c:strCache>
            </c:strRef>
          </c:tx>
          <c:spPr>
            <a:solidFill>
              <a:srgbClr val="92D050"/>
            </a:solidFill>
            <a:ln>
              <a:noFill/>
            </a:ln>
            <a:effectLst/>
          </c:spPr>
          <c:invertIfNegative val="0"/>
          <c:cat>
            <c:strRef>
              <c:f>Hoja1!$A$2:$A$6</c:f>
              <c:strCache>
                <c:ptCount val="5"/>
                <c:pt idx="0">
                  <c:v>No cumple en absoluto</c:v>
                </c:pt>
                <c:pt idx="1">
                  <c:v>Cumple poco</c:v>
                </c:pt>
                <c:pt idx="2">
                  <c:v>Neutral</c:v>
                </c:pt>
                <c:pt idx="3">
                  <c:v>Cumple bien</c:v>
                </c:pt>
                <c:pt idx="4">
                  <c:v>Cumple completamente</c:v>
                </c:pt>
              </c:strCache>
            </c:strRef>
          </c:cat>
          <c:val>
            <c:numRef>
              <c:f>Hoja1!$B$2:$B$6</c:f>
              <c:numCache>
                <c:formatCode>General</c:formatCode>
                <c:ptCount val="5"/>
                <c:pt idx="0">
                  <c:v>0</c:v>
                </c:pt>
                <c:pt idx="1">
                  <c:v>0</c:v>
                </c:pt>
                <c:pt idx="2">
                  <c:v>1</c:v>
                </c:pt>
                <c:pt idx="3">
                  <c:v>4</c:v>
                </c:pt>
                <c:pt idx="4">
                  <c:v>0</c:v>
                </c:pt>
              </c:numCache>
            </c:numRef>
          </c:val>
          <c:extLst>
            <c:ext xmlns:c16="http://schemas.microsoft.com/office/drawing/2014/chart" uri="{C3380CC4-5D6E-409C-BE32-E72D297353CC}">
              <c16:uniqueId val="{00000000-E353-4B61-8AA9-58F6CD029AEC}"/>
            </c:ext>
          </c:extLst>
        </c:ser>
        <c:dLbls>
          <c:showLegendKey val="0"/>
          <c:showVal val="0"/>
          <c:showCatName val="0"/>
          <c:showSerName val="0"/>
          <c:showPercent val="0"/>
          <c:showBubbleSize val="0"/>
        </c:dLbls>
        <c:gapWidth val="219"/>
        <c:overlap val="-27"/>
        <c:axId val="165857728"/>
        <c:axId val="165858688"/>
      </c:barChart>
      <c:catAx>
        <c:axId val="16585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crossAx val="165858688"/>
        <c:crosses val="autoZero"/>
        <c:auto val="1"/>
        <c:lblAlgn val="ctr"/>
        <c:lblOffset val="100"/>
        <c:noMultiLvlLbl val="0"/>
      </c:catAx>
      <c:valAx>
        <c:axId val="165858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crossAx val="16585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ITC Avant Garde" panose="020B0402020203020304" pitchFamily="34" charset="0"/>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ITC Avant Garde" panose="020B0402020203020304" pitchFamily="34" charset="0"/>
                <a:ea typeface="+mn-ea"/>
                <a:cs typeface="+mn-cs"/>
              </a:defRPr>
            </a:pPr>
            <a:r>
              <a:rPr lang="en-US"/>
              <a:t>Tabla 14. Tipo de interacción de la persona usuaria con la Ventanilla Electrónica</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ITC Avant Garde" panose="020B0402020203020304" pitchFamily="34" charset="0"/>
              <a:ea typeface="+mn-ea"/>
              <a:cs typeface="+mn-cs"/>
            </a:defRPr>
          </a:pPr>
          <a:endParaRPr lang="es-MX"/>
        </a:p>
      </c:txPr>
    </c:title>
    <c:autoTitleDeleted val="0"/>
    <c:plotArea>
      <c:layout/>
      <c:barChart>
        <c:barDir val="col"/>
        <c:grouping val="clustered"/>
        <c:varyColors val="0"/>
        <c:ser>
          <c:idx val="0"/>
          <c:order val="0"/>
          <c:tx>
            <c:strRef>
              <c:f>Hoja1!$B$1</c:f>
              <c:strCache>
                <c:ptCount val="1"/>
                <c:pt idx="0">
                  <c:v>Tipo de interacción de la persona usuaria con la Ventanilla Electrónica</c:v>
                </c:pt>
              </c:strCache>
            </c:strRef>
          </c:tx>
          <c:spPr>
            <a:solidFill>
              <a:srgbClr val="92D050"/>
            </a:solidFill>
            <a:ln>
              <a:noFill/>
            </a:ln>
            <a:effectLst/>
          </c:spPr>
          <c:invertIfNegative val="0"/>
          <c:cat>
            <c:strRef>
              <c:f>Hoja1!$A$2:$A$5</c:f>
              <c:strCache>
                <c:ptCount val="4"/>
                <c:pt idx="0">
                  <c:v>Proporciona información básica</c:v>
                </c:pt>
                <c:pt idx="1">
                  <c:v>Proporciona diversos sitios web y la interacción por medios electrónicos</c:v>
                </c:pt>
                <c:pt idx="2">
                  <c:v>Ofrece servicios para el llenado y envío de formularios electrónicos</c:v>
                </c:pt>
                <c:pt idx="3">
                  <c:v>Ofrece la gestión completa de un trámite desde su presentación hasta su resolución</c:v>
                </c:pt>
              </c:strCache>
            </c:strRef>
          </c:cat>
          <c:val>
            <c:numRef>
              <c:f>Hoja1!$B$2:$B$5</c:f>
              <c:numCache>
                <c:formatCode>General</c:formatCode>
                <c:ptCount val="4"/>
                <c:pt idx="0">
                  <c:v>1</c:v>
                </c:pt>
                <c:pt idx="1">
                  <c:v>0</c:v>
                </c:pt>
                <c:pt idx="2">
                  <c:v>4</c:v>
                </c:pt>
                <c:pt idx="3">
                  <c:v>2</c:v>
                </c:pt>
              </c:numCache>
            </c:numRef>
          </c:val>
          <c:extLst>
            <c:ext xmlns:c16="http://schemas.microsoft.com/office/drawing/2014/chart" uri="{C3380CC4-5D6E-409C-BE32-E72D297353CC}">
              <c16:uniqueId val="{00000000-8F9B-4968-B171-A2F88938A3DC}"/>
            </c:ext>
          </c:extLst>
        </c:ser>
        <c:dLbls>
          <c:showLegendKey val="0"/>
          <c:showVal val="0"/>
          <c:showCatName val="0"/>
          <c:showSerName val="0"/>
          <c:showPercent val="0"/>
          <c:showBubbleSize val="0"/>
        </c:dLbls>
        <c:gapWidth val="219"/>
        <c:overlap val="-27"/>
        <c:axId val="2041072639"/>
        <c:axId val="2041073119"/>
      </c:barChart>
      <c:catAx>
        <c:axId val="2041072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crossAx val="2041073119"/>
        <c:crosses val="autoZero"/>
        <c:auto val="1"/>
        <c:lblAlgn val="ctr"/>
        <c:lblOffset val="100"/>
        <c:noMultiLvlLbl val="0"/>
      </c:catAx>
      <c:valAx>
        <c:axId val="20410731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crossAx val="2041072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ITC Avant Garde" panose="020B0402020203020304" pitchFamily="34" charset="0"/>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50">
                <a:latin typeface="ITC Avant Garde" panose="020B0402020203020304" pitchFamily="34" charset="0"/>
              </a:rPr>
              <a:t>Tabla 15. Experiencia con otros sistemas de gestión electrónicos con los que cuenta el IFT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Experiencia con otros sistemas de gestión electrónicos con los que cuenta el IFT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TC Avant Garde" panose="020B04020202030203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Muy eficientes y ampliamente utilizados</c:v>
                </c:pt>
                <c:pt idx="1">
                  <c:v>Eficientes, pero con baja utilización</c:v>
                </c:pt>
                <c:pt idx="2">
                  <c:v>Moderadamente eficientes y moderadamente utilizados</c:v>
                </c:pt>
                <c:pt idx="3">
                  <c:v>Poco eficientes y poco utilizados</c:v>
                </c:pt>
                <c:pt idx="4">
                  <c:v>No eficientes y nada utilizados</c:v>
                </c:pt>
                <c:pt idx="5">
                  <c:v>No tengo conocimiento ni experiencia con estos sistemas</c:v>
                </c:pt>
              </c:strCache>
            </c:strRef>
          </c:cat>
          <c:val>
            <c:numRef>
              <c:f>Hoja1!$B$2:$B$7</c:f>
              <c:numCache>
                <c:formatCode>General</c:formatCode>
                <c:ptCount val="6"/>
                <c:pt idx="0">
                  <c:v>1</c:v>
                </c:pt>
                <c:pt idx="1">
                  <c:v>0</c:v>
                </c:pt>
                <c:pt idx="2">
                  <c:v>3</c:v>
                </c:pt>
                <c:pt idx="3">
                  <c:v>0</c:v>
                </c:pt>
                <c:pt idx="4">
                  <c:v>0</c:v>
                </c:pt>
                <c:pt idx="5">
                  <c:v>1</c:v>
                </c:pt>
              </c:numCache>
            </c:numRef>
          </c:val>
          <c:extLst>
            <c:ext xmlns:c16="http://schemas.microsoft.com/office/drawing/2014/chart" uri="{C3380CC4-5D6E-409C-BE32-E72D297353CC}">
              <c16:uniqueId val="{00000000-1048-45F7-A38F-9A9D3B80A853}"/>
            </c:ext>
          </c:extLst>
        </c:ser>
        <c:dLbls>
          <c:dLblPos val="outEnd"/>
          <c:showLegendKey val="0"/>
          <c:showVal val="1"/>
          <c:showCatName val="0"/>
          <c:showSerName val="0"/>
          <c:showPercent val="0"/>
          <c:showBubbleSize val="0"/>
        </c:dLbls>
        <c:gapWidth val="219"/>
        <c:overlap val="-27"/>
        <c:axId val="129971232"/>
        <c:axId val="129968832"/>
      </c:barChart>
      <c:catAx>
        <c:axId val="12997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ITC Avant Garde" panose="020B0402020203020304" pitchFamily="34" charset="0"/>
                <a:ea typeface="+mn-ea"/>
                <a:cs typeface="+mn-cs"/>
              </a:defRPr>
            </a:pPr>
            <a:endParaRPr lang="es-MX"/>
          </a:p>
        </c:txPr>
        <c:crossAx val="129968832"/>
        <c:crosses val="autoZero"/>
        <c:auto val="1"/>
        <c:lblAlgn val="ctr"/>
        <c:lblOffset val="100"/>
        <c:noMultiLvlLbl val="0"/>
      </c:catAx>
      <c:valAx>
        <c:axId val="12996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TC Avant Garde" panose="020B0402020203020304" pitchFamily="34" charset="0"/>
                <a:ea typeface="+mn-ea"/>
                <a:cs typeface="+mn-cs"/>
              </a:defRPr>
            </a:pPr>
            <a:endParaRPr lang="es-MX"/>
          </a:p>
        </c:txPr>
        <c:crossAx val="12997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ITC Avant Garde" panose="020B04020202030203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900" b="1" i="0" u="none" strike="noStrike" kern="1200" spc="0" baseline="0">
                <a:solidFill>
                  <a:sysClr val="windowText" lastClr="000000"/>
                </a:solidFill>
                <a:latin typeface="ITC Avant Garde" panose="020B0402020203020304" pitchFamily="34" charset="0"/>
                <a:ea typeface="+mn-ea"/>
                <a:cs typeface="+mn-cs"/>
              </a:defRPr>
            </a:pPr>
            <a:r>
              <a:rPr lang="es-MX" sz="900" b="1">
                <a:solidFill>
                  <a:sysClr val="windowText" lastClr="000000"/>
                </a:solidFill>
              </a:rPr>
              <a:t> Tabla 16.Distribución de usuarios por tiempo de respuesta en recibir resolución de un trámite ante la VE</a:t>
            </a:r>
          </a:p>
        </c:rich>
      </c:tx>
      <c:layout>
        <c:manualLayout>
          <c:xMode val="edge"/>
          <c:yMode val="edge"/>
          <c:x val="0.13976223560290257"/>
          <c:y val="2.8985537881590303E-2"/>
        </c:manualLayout>
      </c:layout>
      <c:overlay val="0"/>
      <c:spPr>
        <a:noFill/>
        <a:ln>
          <a:noFill/>
        </a:ln>
        <a:effectLst/>
      </c:spPr>
      <c:txPr>
        <a:bodyPr rot="0" spcFirstLastPara="1" vertOverflow="ellipsis" vert="horz" wrap="square" anchor="ctr" anchorCtr="1"/>
        <a:lstStyle/>
        <a:p>
          <a:pPr algn="ctr">
            <a:defRPr sz="900" b="1" i="0" u="none" strike="noStrike" kern="1200" spc="0" baseline="0">
              <a:solidFill>
                <a:sysClr val="windowText" lastClr="000000"/>
              </a:solidFill>
              <a:latin typeface="ITC Avant Garde" panose="020B0402020203020304" pitchFamily="34" charset="0"/>
              <a:ea typeface="+mn-ea"/>
              <a:cs typeface="+mn-cs"/>
            </a:defRPr>
          </a:pPr>
          <a:endParaRPr lang="es-MX"/>
        </a:p>
      </c:txPr>
    </c:title>
    <c:autoTitleDeleted val="0"/>
    <c:plotArea>
      <c:layout/>
      <c:barChart>
        <c:barDir val="col"/>
        <c:grouping val="clustered"/>
        <c:varyColors val="0"/>
        <c:ser>
          <c:idx val="0"/>
          <c:order val="0"/>
          <c:tx>
            <c:strRef>
              <c:f>'Gráficas Históricas'!$L$39</c:f>
              <c:strCache>
                <c:ptCount val="1"/>
                <c:pt idx="0">
                  <c:v>Muy adecuado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ITC Avant Garde" panose="020B04020202030203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'Gráficas Históricas'!$M$37:$S$38</c:f>
              <c:multiLvlStrCache>
                <c:ptCount val="7"/>
                <c:lvl>
                  <c:pt idx="0">
                    <c:v>T1</c:v>
                  </c:pt>
                  <c:pt idx="1">
                    <c:v>T2</c:v>
                  </c:pt>
                  <c:pt idx="2">
                    <c:v>T3</c:v>
                  </c:pt>
                  <c:pt idx="3">
                    <c:v>T4</c:v>
                  </c:pt>
                  <c:pt idx="4">
                    <c:v>T1</c:v>
                  </c:pt>
                  <c:pt idx="5">
                    <c:v>T2</c:v>
                  </c:pt>
                  <c:pt idx="6">
                    <c:v>T3</c:v>
                  </c:pt>
                </c:lvl>
                <c:lvl>
                  <c:pt idx="0">
                    <c:v>2023</c:v>
                  </c:pt>
                  <c:pt idx="1">
                    <c:v>2023</c:v>
                  </c:pt>
                  <c:pt idx="2">
                    <c:v>2023</c:v>
                  </c:pt>
                  <c:pt idx="3">
                    <c:v>2023</c:v>
                  </c:pt>
                  <c:pt idx="4">
                    <c:v>2024</c:v>
                  </c:pt>
                  <c:pt idx="5">
                    <c:v>2024</c:v>
                  </c:pt>
                  <c:pt idx="6">
                    <c:v>2024</c:v>
                  </c:pt>
                </c:lvl>
              </c:multiLvlStrCache>
            </c:multiLvlStrRef>
          </c:cat>
          <c:val>
            <c:numRef>
              <c:f>'Gráficas Históricas'!$M$39:$S$39</c:f>
              <c:numCache>
                <c:formatCode>0%</c:formatCode>
                <c:ptCount val="7"/>
                <c:pt idx="0">
                  <c:v>0.3</c:v>
                </c:pt>
                <c:pt idx="1">
                  <c:v>0.44827586206896552</c:v>
                </c:pt>
                <c:pt idx="2">
                  <c:v>0.72</c:v>
                </c:pt>
                <c:pt idx="3">
                  <c:v>0.43478260869565216</c:v>
                </c:pt>
                <c:pt idx="4">
                  <c:v>0.43478260869565216</c:v>
                </c:pt>
                <c:pt idx="5">
                  <c:v>0.3783783783783784</c:v>
                </c:pt>
                <c:pt idx="6">
                  <c:v>0.3888888888888889</c:v>
                </c:pt>
              </c:numCache>
            </c:numRef>
          </c:val>
          <c:extLst>
            <c:ext xmlns:c16="http://schemas.microsoft.com/office/drawing/2014/chart" uri="{C3380CC4-5D6E-409C-BE32-E72D297353CC}">
              <c16:uniqueId val="{00000000-87B0-40AE-B254-56CCFA9B88CB}"/>
            </c:ext>
          </c:extLst>
        </c:ser>
        <c:ser>
          <c:idx val="1"/>
          <c:order val="1"/>
          <c:tx>
            <c:strRef>
              <c:f>'Gráficas Históricas'!$L$40</c:f>
              <c:strCache>
                <c:ptCount val="1"/>
                <c:pt idx="0">
                  <c:v>Adecuado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ITC Avant Garde" panose="020B04020202030203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'Gráficas Históricas'!$M$37:$S$38</c:f>
              <c:multiLvlStrCache>
                <c:ptCount val="7"/>
                <c:lvl>
                  <c:pt idx="0">
                    <c:v>T1</c:v>
                  </c:pt>
                  <c:pt idx="1">
                    <c:v>T2</c:v>
                  </c:pt>
                  <c:pt idx="2">
                    <c:v>T3</c:v>
                  </c:pt>
                  <c:pt idx="3">
                    <c:v>T4</c:v>
                  </c:pt>
                  <c:pt idx="4">
                    <c:v>T1</c:v>
                  </c:pt>
                  <c:pt idx="5">
                    <c:v>T2</c:v>
                  </c:pt>
                  <c:pt idx="6">
                    <c:v>T3</c:v>
                  </c:pt>
                </c:lvl>
                <c:lvl>
                  <c:pt idx="0">
                    <c:v>2023</c:v>
                  </c:pt>
                  <c:pt idx="1">
                    <c:v>2023</c:v>
                  </c:pt>
                  <c:pt idx="2">
                    <c:v>2023</c:v>
                  </c:pt>
                  <c:pt idx="3">
                    <c:v>2023</c:v>
                  </c:pt>
                  <c:pt idx="4">
                    <c:v>2024</c:v>
                  </c:pt>
                  <c:pt idx="5">
                    <c:v>2024</c:v>
                  </c:pt>
                  <c:pt idx="6">
                    <c:v>2024</c:v>
                  </c:pt>
                </c:lvl>
              </c:multiLvlStrCache>
            </c:multiLvlStrRef>
          </c:cat>
          <c:val>
            <c:numRef>
              <c:f>'Gráficas Históricas'!$M$40:$S$40</c:f>
              <c:numCache>
                <c:formatCode>0%</c:formatCode>
                <c:ptCount val="7"/>
                <c:pt idx="0">
                  <c:v>0.4</c:v>
                </c:pt>
                <c:pt idx="1">
                  <c:v>0.34482758620689657</c:v>
                </c:pt>
                <c:pt idx="2">
                  <c:v>0.2</c:v>
                </c:pt>
                <c:pt idx="3">
                  <c:v>0.39130434782608697</c:v>
                </c:pt>
                <c:pt idx="4">
                  <c:v>0.39130434782608697</c:v>
                </c:pt>
                <c:pt idx="5">
                  <c:v>0.48648648648648651</c:v>
                </c:pt>
                <c:pt idx="6">
                  <c:v>0.40740740740740738</c:v>
                </c:pt>
              </c:numCache>
            </c:numRef>
          </c:val>
          <c:extLst>
            <c:ext xmlns:c16="http://schemas.microsoft.com/office/drawing/2014/chart" uri="{C3380CC4-5D6E-409C-BE32-E72D297353CC}">
              <c16:uniqueId val="{00000001-87B0-40AE-B254-56CCFA9B88CB}"/>
            </c:ext>
          </c:extLst>
        </c:ser>
        <c:ser>
          <c:idx val="2"/>
          <c:order val="2"/>
          <c:tx>
            <c:strRef>
              <c:f>'Gráficas Históricas'!$L$41</c:f>
              <c:strCache>
                <c:ptCount val="1"/>
                <c:pt idx="0">
                  <c:v>Regular</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ITC Avant Garde" panose="020B04020202030203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'Gráficas Históricas'!$M$37:$S$38</c:f>
              <c:multiLvlStrCache>
                <c:ptCount val="7"/>
                <c:lvl>
                  <c:pt idx="0">
                    <c:v>T1</c:v>
                  </c:pt>
                  <c:pt idx="1">
                    <c:v>T2</c:v>
                  </c:pt>
                  <c:pt idx="2">
                    <c:v>T3</c:v>
                  </c:pt>
                  <c:pt idx="3">
                    <c:v>T4</c:v>
                  </c:pt>
                  <c:pt idx="4">
                    <c:v>T1</c:v>
                  </c:pt>
                  <c:pt idx="5">
                    <c:v>T2</c:v>
                  </c:pt>
                  <c:pt idx="6">
                    <c:v>T3</c:v>
                  </c:pt>
                </c:lvl>
                <c:lvl>
                  <c:pt idx="0">
                    <c:v>2023</c:v>
                  </c:pt>
                  <c:pt idx="1">
                    <c:v>2023</c:v>
                  </c:pt>
                  <c:pt idx="2">
                    <c:v>2023</c:v>
                  </c:pt>
                  <c:pt idx="3">
                    <c:v>2023</c:v>
                  </c:pt>
                  <c:pt idx="4">
                    <c:v>2024</c:v>
                  </c:pt>
                  <c:pt idx="5">
                    <c:v>2024</c:v>
                  </c:pt>
                  <c:pt idx="6">
                    <c:v>2024</c:v>
                  </c:pt>
                </c:lvl>
              </c:multiLvlStrCache>
            </c:multiLvlStrRef>
          </c:cat>
          <c:val>
            <c:numRef>
              <c:f>'Gráficas Históricas'!$M$41:$S$41</c:f>
              <c:numCache>
                <c:formatCode>0%</c:formatCode>
                <c:ptCount val="7"/>
                <c:pt idx="0">
                  <c:v>0.2</c:v>
                </c:pt>
                <c:pt idx="1">
                  <c:v>0.20689655172413793</c:v>
                </c:pt>
                <c:pt idx="2">
                  <c:v>0.08</c:v>
                </c:pt>
                <c:pt idx="3">
                  <c:v>0.17391304347826086</c:v>
                </c:pt>
                <c:pt idx="4">
                  <c:v>0.17391304347826086</c:v>
                </c:pt>
                <c:pt idx="5">
                  <c:v>0.10810810810810811</c:v>
                </c:pt>
                <c:pt idx="6">
                  <c:v>0.18518518518518517</c:v>
                </c:pt>
              </c:numCache>
            </c:numRef>
          </c:val>
          <c:extLst>
            <c:ext xmlns:c16="http://schemas.microsoft.com/office/drawing/2014/chart" uri="{C3380CC4-5D6E-409C-BE32-E72D297353CC}">
              <c16:uniqueId val="{00000002-87B0-40AE-B254-56CCFA9B88CB}"/>
            </c:ext>
          </c:extLst>
        </c:ser>
        <c:ser>
          <c:idx val="3"/>
          <c:order val="3"/>
          <c:tx>
            <c:strRef>
              <c:f>'Gráficas Históricas'!$L$42</c:f>
              <c:strCache>
                <c:ptCount val="1"/>
                <c:pt idx="0">
                  <c:v>Inadecuado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ITC Avant Garde" panose="020B04020202030203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'Gráficas Históricas'!$M$37:$S$38</c:f>
              <c:multiLvlStrCache>
                <c:ptCount val="7"/>
                <c:lvl>
                  <c:pt idx="0">
                    <c:v>T1</c:v>
                  </c:pt>
                  <c:pt idx="1">
                    <c:v>T2</c:v>
                  </c:pt>
                  <c:pt idx="2">
                    <c:v>T3</c:v>
                  </c:pt>
                  <c:pt idx="3">
                    <c:v>T4</c:v>
                  </c:pt>
                  <c:pt idx="4">
                    <c:v>T1</c:v>
                  </c:pt>
                  <c:pt idx="5">
                    <c:v>T2</c:v>
                  </c:pt>
                  <c:pt idx="6">
                    <c:v>T3</c:v>
                  </c:pt>
                </c:lvl>
                <c:lvl>
                  <c:pt idx="0">
                    <c:v>2023</c:v>
                  </c:pt>
                  <c:pt idx="1">
                    <c:v>2023</c:v>
                  </c:pt>
                  <c:pt idx="2">
                    <c:v>2023</c:v>
                  </c:pt>
                  <c:pt idx="3">
                    <c:v>2023</c:v>
                  </c:pt>
                  <c:pt idx="4">
                    <c:v>2024</c:v>
                  </c:pt>
                  <c:pt idx="5">
                    <c:v>2024</c:v>
                  </c:pt>
                  <c:pt idx="6">
                    <c:v>2024</c:v>
                  </c:pt>
                </c:lvl>
              </c:multiLvlStrCache>
            </c:multiLvlStrRef>
          </c:cat>
          <c:val>
            <c:numRef>
              <c:f>'Gráficas Históricas'!$M$42:$S$42</c:f>
              <c:numCache>
                <c:formatCode>0%</c:formatCode>
                <c:ptCount val="7"/>
                <c:pt idx="0">
                  <c:v>0.1</c:v>
                </c:pt>
                <c:pt idx="1">
                  <c:v>0</c:v>
                </c:pt>
                <c:pt idx="2">
                  <c:v>0</c:v>
                </c:pt>
                <c:pt idx="3">
                  <c:v>0</c:v>
                </c:pt>
                <c:pt idx="4">
                  <c:v>0</c:v>
                </c:pt>
                <c:pt idx="5">
                  <c:v>2.7027027027027029E-2</c:v>
                </c:pt>
                <c:pt idx="6">
                  <c:v>1.8518518518518517E-2</c:v>
                </c:pt>
              </c:numCache>
            </c:numRef>
          </c:val>
          <c:extLst>
            <c:ext xmlns:c16="http://schemas.microsoft.com/office/drawing/2014/chart" uri="{C3380CC4-5D6E-409C-BE32-E72D297353CC}">
              <c16:uniqueId val="{00000003-87B0-40AE-B254-56CCFA9B88CB}"/>
            </c:ext>
          </c:extLst>
        </c:ser>
        <c:dLbls>
          <c:dLblPos val="outEnd"/>
          <c:showLegendKey val="0"/>
          <c:showVal val="1"/>
          <c:showCatName val="0"/>
          <c:showSerName val="0"/>
          <c:showPercent val="0"/>
          <c:showBubbleSize val="0"/>
        </c:dLbls>
        <c:gapWidth val="219"/>
        <c:overlap val="-27"/>
        <c:axId val="848491183"/>
        <c:axId val="688719791"/>
        <c:extLst>
          <c:ext xmlns:c15="http://schemas.microsoft.com/office/drawing/2012/chart" uri="{02D57815-91ED-43cb-92C2-25804820EDAC}">
            <c15:filteredBarSeries>
              <c15:ser>
                <c:idx val="4"/>
                <c:order val="4"/>
                <c:tx>
                  <c:strRef>
                    <c:extLst>
                      <c:ext uri="{02D57815-91ED-43cb-92C2-25804820EDAC}">
                        <c15:formulaRef>
                          <c15:sqref>'Gráficas Históricas'!$L$43</c15:sqref>
                        </c15:formulaRef>
                      </c:ext>
                    </c:extLst>
                    <c:strCache>
                      <c:ptCount val="1"/>
                      <c:pt idx="0">
                        <c:v>Total general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ITC Avant Garde" panose="020B0402020203020304" pitchFamily="34" charset="0"/>
                          <a:ea typeface="+mn-ea"/>
                          <a:cs typeface="+mn-cs"/>
                        </a:defRPr>
                      </a:pPr>
                      <a:endParaRPr lang="es-MX"/>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'Gráficas Históricas'!$M$37:$S$38</c15:sqref>
                        </c15:formulaRef>
                      </c:ext>
                    </c:extLst>
                    <c:multiLvlStrCache>
                      <c:ptCount val="7"/>
                      <c:lvl>
                        <c:pt idx="0">
                          <c:v>T1</c:v>
                        </c:pt>
                        <c:pt idx="1">
                          <c:v>T2</c:v>
                        </c:pt>
                        <c:pt idx="2">
                          <c:v>T3</c:v>
                        </c:pt>
                        <c:pt idx="3">
                          <c:v>T4</c:v>
                        </c:pt>
                        <c:pt idx="4">
                          <c:v>T1</c:v>
                        </c:pt>
                        <c:pt idx="5">
                          <c:v>T2</c:v>
                        </c:pt>
                        <c:pt idx="6">
                          <c:v>T3</c:v>
                        </c:pt>
                      </c:lvl>
                      <c:lvl>
                        <c:pt idx="0">
                          <c:v>2023</c:v>
                        </c:pt>
                        <c:pt idx="1">
                          <c:v>2023</c:v>
                        </c:pt>
                        <c:pt idx="2">
                          <c:v>2023</c:v>
                        </c:pt>
                        <c:pt idx="3">
                          <c:v>2023</c:v>
                        </c:pt>
                        <c:pt idx="4">
                          <c:v>2024</c:v>
                        </c:pt>
                        <c:pt idx="5">
                          <c:v>2024</c:v>
                        </c:pt>
                        <c:pt idx="6">
                          <c:v>2024</c:v>
                        </c:pt>
                      </c:lvl>
                    </c:multiLvlStrCache>
                  </c:multiLvlStrRef>
                </c:cat>
                <c:val>
                  <c:numRef>
                    <c:extLst>
                      <c:ext uri="{02D57815-91ED-43cb-92C2-25804820EDAC}">
                        <c15:formulaRef>
                          <c15:sqref>'Gráficas Históricas'!$M$43:$S$43</c15:sqref>
                        </c15:formulaRef>
                      </c:ext>
                    </c:extLst>
                    <c:numCache>
                      <c:formatCode>0.00%</c:formatCode>
                      <c:ptCount val="7"/>
                      <c:pt idx="0">
                        <c:v>0.99999999999999989</c:v>
                      </c:pt>
                      <c:pt idx="1">
                        <c:v>1</c:v>
                      </c:pt>
                      <c:pt idx="2">
                        <c:v>0.99999999999999989</c:v>
                      </c:pt>
                      <c:pt idx="3">
                        <c:v>1</c:v>
                      </c:pt>
                      <c:pt idx="4">
                        <c:v>1</c:v>
                      </c:pt>
                      <c:pt idx="5">
                        <c:v>1</c:v>
                      </c:pt>
                      <c:pt idx="6">
                        <c:v>0.99999999999999989</c:v>
                      </c:pt>
                    </c:numCache>
                  </c:numRef>
                </c:val>
                <c:extLst>
                  <c:ext xmlns:c16="http://schemas.microsoft.com/office/drawing/2014/chart" uri="{C3380CC4-5D6E-409C-BE32-E72D297353CC}">
                    <c16:uniqueId val="{00000004-87B0-40AE-B254-56CCFA9B88CB}"/>
                  </c:ext>
                </c:extLst>
              </c15:ser>
            </c15:filteredBarSeries>
          </c:ext>
        </c:extLst>
      </c:barChart>
      <c:catAx>
        <c:axId val="8484911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ITC Avant Garde" panose="020B0402020203020304" pitchFamily="34" charset="0"/>
                <a:ea typeface="+mn-ea"/>
                <a:cs typeface="+mn-cs"/>
              </a:defRPr>
            </a:pPr>
            <a:endParaRPr lang="es-MX"/>
          </a:p>
        </c:txPr>
        <c:crossAx val="688719791"/>
        <c:crosses val="autoZero"/>
        <c:auto val="1"/>
        <c:lblAlgn val="ctr"/>
        <c:lblOffset val="100"/>
        <c:noMultiLvlLbl val="0"/>
      </c:catAx>
      <c:valAx>
        <c:axId val="688719791"/>
        <c:scaling>
          <c:orientation val="minMax"/>
          <c:max val="1"/>
          <c:min val="0"/>
        </c:scaling>
        <c:delete val="1"/>
        <c:axPos val="l"/>
        <c:numFmt formatCode="0%" sourceLinked="1"/>
        <c:majorTickMark val="out"/>
        <c:minorTickMark val="none"/>
        <c:tickLblPos val="nextTo"/>
        <c:crossAx val="848491183"/>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ITC Avant Garde" panose="020B04020202030203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ITC Avant Garde" panose="020B0402020203020304" pitchFamily="34" charset="0"/>
        </a:defRPr>
      </a:pPr>
      <a:endParaRPr lang="es-MX"/>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lgn="ctr" rtl="0">
              <a:defRPr sz="800" b="0" i="0" u="none" strike="noStrike" kern="1200" spc="0" baseline="0">
                <a:solidFill>
                  <a:sysClr val="windowText" lastClr="000000"/>
                </a:solidFill>
                <a:latin typeface="ITC Avant Garde" panose="020B0402020203020304" pitchFamily="34" charset="0"/>
                <a:ea typeface="+mn-ea"/>
                <a:cs typeface="+mn-cs"/>
              </a:defRPr>
            </a:pPr>
            <a:r>
              <a:rPr lang="es-MX" sz="800"/>
              <a:t> </a:t>
            </a:r>
            <a:r>
              <a:rPr lang="es-MX" sz="900" b="1"/>
              <a:t>Tabla 17. Distribución de usuarios por tiempo que les toma para presentar un trámite ante la VE</a:t>
            </a:r>
            <a:endParaRPr lang="es-MX" sz="800" b="1"/>
          </a:p>
        </c:rich>
      </c:tx>
      <c:overlay val="0"/>
      <c:spPr>
        <a:noFill/>
        <a:ln>
          <a:noFill/>
        </a:ln>
        <a:effectLst/>
      </c:spPr>
      <c:txPr>
        <a:bodyPr rot="0" spcFirstLastPara="1" vertOverflow="ellipsis" vert="horz" wrap="square" anchor="ctr" anchorCtr="1"/>
        <a:lstStyle/>
        <a:p>
          <a:pPr algn="ctr" rtl="0">
            <a:defRPr sz="800" b="0" i="0" u="none" strike="noStrike" kern="1200" spc="0" baseline="0">
              <a:solidFill>
                <a:sysClr val="windowText" lastClr="000000"/>
              </a:solidFill>
              <a:latin typeface="ITC Avant Garde" panose="020B0402020203020304" pitchFamily="34" charset="0"/>
              <a:ea typeface="+mn-ea"/>
              <a:cs typeface="+mn-cs"/>
            </a:defRPr>
          </a:pPr>
          <a:endParaRPr lang="es-MX"/>
        </a:p>
      </c:txPr>
    </c:title>
    <c:autoTitleDeleted val="0"/>
    <c:plotArea>
      <c:layout>
        <c:manualLayout>
          <c:layoutTarget val="inner"/>
          <c:xMode val="edge"/>
          <c:yMode val="edge"/>
          <c:x val="4.1642553526044748E-2"/>
          <c:y val="0.11722274252413017"/>
          <c:w val="0.94290850445201391"/>
          <c:h val="0.63420066355369875"/>
        </c:manualLayout>
      </c:layout>
      <c:barChart>
        <c:barDir val="col"/>
        <c:grouping val="clustered"/>
        <c:varyColors val="0"/>
        <c:ser>
          <c:idx val="0"/>
          <c:order val="0"/>
          <c:tx>
            <c:strRef>
              <c:f>'Gráficas Históricas'!$L$29</c:f>
              <c:strCache>
                <c:ptCount val="1"/>
                <c:pt idx="0">
                  <c:v>1 a 5 minutos</c:v>
                </c:pt>
              </c:strCache>
            </c:strRef>
          </c:tx>
          <c:spPr>
            <a:solidFill>
              <a:schemeClr val="accent6">
                <a:shade val="58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ITC Avant Garde" panose="020B04020202030203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'Gráficas Históricas'!$M$27:$S$28</c:f>
              <c:multiLvlStrCache>
                <c:ptCount val="7"/>
                <c:lvl>
                  <c:pt idx="0">
                    <c:v>T1</c:v>
                  </c:pt>
                  <c:pt idx="1">
                    <c:v>T2</c:v>
                  </c:pt>
                  <c:pt idx="2">
                    <c:v>T3</c:v>
                  </c:pt>
                  <c:pt idx="3">
                    <c:v>T4</c:v>
                  </c:pt>
                  <c:pt idx="4">
                    <c:v>T1</c:v>
                  </c:pt>
                  <c:pt idx="5">
                    <c:v>T2</c:v>
                  </c:pt>
                  <c:pt idx="6">
                    <c:v>T3</c:v>
                  </c:pt>
                </c:lvl>
                <c:lvl>
                  <c:pt idx="0">
                    <c:v>2023</c:v>
                  </c:pt>
                  <c:pt idx="1">
                    <c:v>2023</c:v>
                  </c:pt>
                  <c:pt idx="2">
                    <c:v>2023</c:v>
                  </c:pt>
                  <c:pt idx="3">
                    <c:v>2023</c:v>
                  </c:pt>
                  <c:pt idx="4">
                    <c:v>2024</c:v>
                  </c:pt>
                  <c:pt idx="5">
                    <c:v>2024</c:v>
                  </c:pt>
                  <c:pt idx="6">
                    <c:v>2024</c:v>
                  </c:pt>
                </c:lvl>
              </c:multiLvlStrCache>
            </c:multiLvlStrRef>
          </c:cat>
          <c:val>
            <c:numRef>
              <c:f>'Gráficas Históricas'!$M$29:$S$29</c:f>
              <c:numCache>
                <c:formatCode>0%</c:formatCode>
                <c:ptCount val="7"/>
                <c:pt idx="0">
                  <c:v>0.33333333333333331</c:v>
                </c:pt>
                <c:pt idx="1">
                  <c:v>0.33566433566433568</c:v>
                </c:pt>
                <c:pt idx="2">
                  <c:v>0.44736842105263158</c:v>
                </c:pt>
                <c:pt idx="3">
                  <c:v>0.37037037037037035</c:v>
                </c:pt>
                <c:pt idx="4">
                  <c:v>0.31818181818181818</c:v>
                </c:pt>
                <c:pt idx="5">
                  <c:v>0.30120481927710846</c:v>
                </c:pt>
                <c:pt idx="6">
                  <c:v>0.28301886792452829</c:v>
                </c:pt>
              </c:numCache>
            </c:numRef>
          </c:val>
          <c:extLst>
            <c:ext xmlns:c16="http://schemas.microsoft.com/office/drawing/2014/chart" uri="{C3380CC4-5D6E-409C-BE32-E72D297353CC}">
              <c16:uniqueId val="{00000000-9413-42D5-A7B1-6FD0607646B9}"/>
            </c:ext>
          </c:extLst>
        </c:ser>
        <c:ser>
          <c:idx val="1"/>
          <c:order val="1"/>
          <c:tx>
            <c:strRef>
              <c:f>'Gráficas Históricas'!$L$30</c:f>
              <c:strCache>
                <c:ptCount val="1"/>
                <c:pt idx="0">
                  <c:v>5 a 10 minutos</c:v>
                </c:pt>
              </c:strCache>
            </c:strRef>
          </c:tx>
          <c:spPr>
            <a:solidFill>
              <a:schemeClr val="accent6">
                <a:shade val="86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ITC Avant Garde" panose="020B04020202030203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'Gráficas Históricas'!$M$27:$S$28</c:f>
              <c:multiLvlStrCache>
                <c:ptCount val="7"/>
                <c:lvl>
                  <c:pt idx="0">
                    <c:v>T1</c:v>
                  </c:pt>
                  <c:pt idx="1">
                    <c:v>T2</c:v>
                  </c:pt>
                  <c:pt idx="2">
                    <c:v>T3</c:v>
                  </c:pt>
                  <c:pt idx="3">
                    <c:v>T4</c:v>
                  </c:pt>
                  <c:pt idx="4">
                    <c:v>T1</c:v>
                  </c:pt>
                  <c:pt idx="5">
                    <c:v>T2</c:v>
                  </c:pt>
                  <c:pt idx="6">
                    <c:v>T3</c:v>
                  </c:pt>
                </c:lvl>
                <c:lvl>
                  <c:pt idx="0">
                    <c:v>2023</c:v>
                  </c:pt>
                  <c:pt idx="1">
                    <c:v>2023</c:v>
                  </c:pt>
                  <c:pt idx="2">
                    <c:v>2023</c:v>
                  </c:pt>
                  <c:pt idx="3">
                    <c:v>2023</c:v>
                  </c:pt>
                  <c:pt idx="4">
                    <c:v>2024</c:v>
                  </c:pt>
                  <c:pt idx="5">
                    <c:v>2024</c:v>
                  </c:pt>
                  <c:pt idx="6">
                    <c:v>2024</c:v>
                  </c:pt>
                </c:lvl>
              </c:multiLvlStrCache>
            </c:multiLvlStrRef>
          </c:cat>
          <c:val>
            <c:numRef>
              <c:f>'Gráficas Históricas'!$M$30:$S$30</c:f>
              <c:numCache>
                <c:formatCode>0%</c:formatCode>
                <c:ptCount val="7"/>
                <c:pt idx="0">
                  <c:v>0.37142857142857144</c:v>
                </c:pt>
                <c:pt idx="1">
                  <c:v>0.32867132867132864</c:v>
                </c:pt>
                <c:pt idx="2">
                  <c:v>0.25438596491228072</c:v>
                </c:pt>
                <c:pt idx="3">
                  <c:v>0.35802469135802467</c:v>
                </c:pt>
                <c:pt idx="4">
                  <c:v>0.27272727272727271</c:v>
                </c:pt>
                <c:pt idx="5">
                  <c:v>0.37951807228915663</c:v>
                </c:pt>
                <c:pt idx="6">
                  <c:v>0.29245283018867924</c:v>
                </c:pt>
              </c:numCache>
            </c:numRef>
          </c:val>
          <c:extLst>
            <c:ext xmlns:c16="http://schemas.microsoft.com/office/drawing/2014/chart" uri="{C3380CC4-5D6E-409C-BE32-E72D297353CC}">
              <c16:uniqueId val="{00000001-9413-42D5-A7B1-6FD0607646B9}"/>
            </c:ext>
          </c:extLst>
        </c:ser>
        <c:ser>
          <c:idx val="2"/>
          <c:order val="2"/>
          <c:tx>
            <c:strRef>
              <c:f>'Gráficas Históricas'!$L$31</c:f>
              <c:strCache>
                <c:ptCount val="1"/>
                <c:pt idx="0">
                  <c:v>10 a 20 minutos</c:v>
                </c:pt>
              </c:strCache>
            </c:strRef>
          </c:tx>
          <c:spPr>
            <a:solidFill>
              <a:schemeClr val="accent6">
                <a:tint val="86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ITC Avant Garde" panose="020B04020202030203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'Gráficas Históricas'!$M$27:$S$28</c:f>
              <c:multiLvlStrCache>
                <c:ptCount val="7"/>
                <c:lvl>
                  <c:pt idx="0">
                    <c:v>T1</c:v>
                  </c:pt>
                  <c:pt idx="1">
                    <c:v>T2</c:v>
                  </c:pt>
                  <c:pt idx="2">
                    <c:v>T3</c:v>
                  </c:pt>
                  <c:pt idx="3">
                    <c:v>T4</c:v>
                  </c:pt>
                  <c:pt idx="4">
                    <c:v>T1</c:v>
                  </c:pt>
                  <c:pt idx="5">
                    <c:v>T2</c:v>
                  </c:pt>
                  <c:pt idx="6">
                    <c:v>T3</c:v>
                  </c:pt>
                </c:lvl>
                <c:lvl>
                  <c:pt idx="0">
                    <c:v>2023</c:v>
                  </c:pt>
                  <c:pt idx="1">
                    <c:v>2023</c:v>
                  </c:pt>
                  <c:pt idx="2">
                    <c:v>2023</c:v>
                  </c:pt>
                  <c:pt idx="3">
                    <c:v>2023</c:v>
                  </c:pt>
                  <c:pt idx="4">
                    <c:v>2024</c:v>
                  </c:pt>
                  <c:pt idx="5">
                    <c:v>2024</c:v>
                  </c:pt>
                  <c:pt idx="6">
                    <c:v>2024</c:v>
                  </c:pt>
                </c:lvl>
              </c:multiLvlStrCache>
            </c:multiLvlStrRef>
          </c:cat>
          <c:val>
            <c:numRef>
              <c:f>'Gráficas Históricas'!$M$31:$S$31</c:f>
              <c:numCache>
                <c:formatCode>0%</c:formatCode>
                <c:ptCount val="7"/>
                <c:pt idx="0">
                  <c:v>0.23809523809523808</c:v>
                </c:pt>
                <c:pt idx="1">
                  <c:v>0.13286713286713286</c:v>
                </c:pt>
                <c:pt idx="2">
                  <c:v>0.17543859649122806</c:v>
                </c:pt>
                <c:pt idx="3">
                  <c:v>0.13580246913580246</c:v>
                </c:pt>
                <c:pt idx="4">
                  <c:v>0.18181818181818182</c:v>
                </c:pt>
                <c:pt idx="5">
                  <c:v>0.19277108433734941</c:v>
                </c:pt>
                <c:pt idx="6">
                  <c:v>0.22641509433962265</c:v>
                </c:pt>
              </c:numCache>
            </c:numRef>
          </c:val>
          <c:extLst>
            <c:ext xmlns:c16="http://schemas.microsoft.com/office/drawing/2014/chart" uri="{C3380CC4-5D6E-409C-BE32-E72D297353CC}">
              <c16:uniqueId val="{00000002-9413-42D5-A7B1-6FD0607646B9}"/>
            </c:ext>
          </c:extLst>
        </c:ser>
        <c:ser>
          <c:idx val="3"/>
          <c:order val="3"/>
          <c:tx>
            <c:strRef>
              <c:f>'Gráficas Históricas'!$L$32</c:f>
              <c:strCache>
                <c:ptCount val="1"/>
                <c:pt idx="0">
                  <c:v>Más de 20 minutos</c:v>
                </c:pt>
              </c:strCache>
            </c:strRef>
          </c:tx>
          <c:spPr>
            <a:solidFill>
              <a:schemeClr val="accent6">
                <a:tint val="58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ITC Avant Garde" panose="020B04020202030203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'Gráficas Históricas'!$M$27:$S$28</c:f>
              <c:multiLvlStrCache>
                <c:ptCount val="7"/>
                <c:lvl>
                  <c:pt idx="0">
                    <c:v>T1</c:v>
                  </c:pt>
                  <c:pt idx="1">
                    <c:v>T2</c:v>
                  </c:pt>
                  <c:pt idx="2">
                    <c:v>T3</c:v>
                  </c:pt>
                  <c:pt idx="3">
                    <c:v>T4</c:v>
                  </c:pt>
                  <c:pt idx="4">
                    <c:v>T1</c:v>
                  </c:pt>
                  <c:pt idx="5">
                    <c:v>T2</c:v>
                  </c:pt>
                  <c:pt idx="6">
                    <c:v>T3</c:v>
                  </c:pt>
                </c:lvl>
                <c:lvl>
                  <c:pt idx="0">
                    <c:v>2023</c:v>
                  </c:pt>
                  <c:pt idx="1">
                    <c:v>2023</c:v>
                  </c:pt>
                  <c:pt idx="2">
                    <c:v>2023</c:v>
                  </c:pt>
                  <c:pt idx="3">
                    <c:v>2023</c:v>
                  </c:pt>
                  <c:pt idx="4">
                    <c:v>2024</c:v>
                  </c:pt>
                  <c:pt idx="5">
                    <c:v>2024</c:v>
                  </c:pt>
                  <c:pt idx="6">
                    <c:v>2024</c:v>
                  </c:pt>
                </c:lvl>
              </c:multiLvlStrCache>
            </c:multiLvlStrRef>
          </c:cat>
          <c:val>
            <c:numRef>
              <c:f>'Gráficas Históricas'!$M$32:$S$32</c:f>
              <c:numCache>
                <c:formatCode>0%</c:formatCode>
                <c:ptCount val="7"/>
                <c:pt idx="0">
                  <c:v>5.7142857142857141E-2</c:v>
                </c:pt>
                <c:pt idx="1">
                  <c:v>0.20279720279720279</c:v>
                </c:pt>
                <c:pt idx="2">
                  <c:v>0.12280701754385964</c:v>
                </c:pt>
                <c:pt idx="3">
                  <c:v>0.13580246913580246</c:v>
                </c:pt>
                <c:pt idx="4">
                  <c:v>0.22727272727272727</c:v>
                </c:pt>
                <c:pt idx="5">
                  <c:v>0.12650602409638553</c:v>
                </c:pt>
                <c:pt idx="6">
                  <c:v>0.19811320754716982</c:v>
                </c:pt>
              </c:numCache>
            </c:numRef>
          </c:val>
          <c:extLst>
            <c:ext xmlns:c16="http://schemas.microsoft.com/office/drawing/2014/chart" uri="{C3380CC4-5D6E-409C-BE32-E72D297353CC}">
              <c16:uniqueId val="{00000003-9413-42D5-A7B1-6FD0607646B9}"/>
            </c:ext>
          </c:extLst>
        </c:ser>
        <c:dLbls>
          <c:showLegendKey val="0"/>
          <c:showVal val="0"/>
          <c:showCatName val="0"/>
          <c:showSerName val="0"/>
          <c:showPercent val="0"/>
          <c:showBubbleSize val="0"/>
        </c:dLbls>
        <c:gapWidth val="219"/>
        <c:overlap val="-27"/>
        <c:axId val="418190383"/>
        <c:axId val="422201887"/>
      </c:barChart>
      <c:catAx>
        <c:axId val="418190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ITC Avant Garde" panose="020B0402020203020304" pitchFamily="34" charset="0"/>
                <a:ea typeface="+mn-ea"/>
                <a:cs typeface="+mn-cs"/>
              </a:defRPr>
            </a:pPr>
            <a:endParaRPr lang="es-MX"/>
          </a:p>
        </c:txPr>
        <c:crossAx val="422201887"/>
        <c:crosses val="autoZero"/>
        <c:auto val="1"/>
        <c:lblAlgn val="ctr"/>
        <c:lblOffset val="100"/>
        <c:noMultiLvlLbl val="0"/>
      </c:catAx>
      <c:valAx>
        <c:axId val="422201887"/>
        <c:scaling>
          <c:orientation val="minMax"/>
          <c:max val="0.5"/>
          <c:min val="0"/>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8190383"/>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ITC Avant Garde" panose="020B0402020203020304" pitchFamily="34"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solidFill>
            <a:sysClr val="windowText" lastClr="000000"/>
          </a:solidFill>
          <a:latin typeface="ITC Avant Garde" panose="020B0402020203020304" pitchFamily="34" charset="0"/>
        </a:defRPr>
      </a:pPr>
      <a:endParaRPr lang="es-MX"/>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ITC Avant Garde" panose="020B0402020203020304" pitchFamily="34" charset="0"/>
                <a:ea typeface="+mn-ea"/>
                <a:cs typeface="+mn-cs"/>
              </a:defRPr>
            </a:pPr>
            <a:r>
              <a:rPr lang="en-US" sz="900" b="1"/>
              <a:t>Tabla 18. Áreas de oportunidad en Ventanilla Electrónica  identificadas al 3T de 2024 </a:t>
            </a:r>
          </a:p>
        </c:rich>
      </c:tx>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ITC Avant Garde" panose="020B0402020203020304" pitchFamily="34" charset="0"/>
              <a:ea typeface="+mn-ea"/>
              <a:cs typeface="+mn-cs"/>
            </a:defRPr>
          </a:pPr>
          <a:endParaRPr lang="es-MX"/>
        </a:p>
      </c:txPr>
    </c:title>
    <c:autoTitleDeleted val="0"/>
    <c:plotArea>
      <c:layout>
        <c:manualLayout>
          <c:layoutTarget val="inner"/>
          <c:xMode val="edge"/>
          <c:yMode val="edge"/>
          <c:x val="0"/>
          <c:y val="0.25532407407407409"/>
          <c:w val="1"/>
          <c:h val="0.49171537507380642"/>
        </c:manualLayout>
      </c:layout>
      <c:ofPieChart>
        <c:ofPieType val="pie"/>
        <c:varyColors val="1"/>
        <c:ser>
          <c:idx val="0"/>
          <c:order val="0"/>
          <c:tx>
            <c:strRef>
              <c:f>'Gráficas Históricas'!$M$13</c:f>
              <c:strCache>
                <c:ptCount val="1"/>
                <c:pt idx="0">
                  <c:v>Total acumulado</c:v>
                </c:pt>
              </c:strCache>
            </c:strRef>
          </c:tx>
          <c:dPt>
            <c:idx val="0"/>
            <c:bubble3D val="0"/>
            <c:spPr>
              <a:solidFill>
                <a:schemeClr val="accent6">
                  <a:shade val="44000"/>
                </a:schemeClr>
              </a:solidFill>
              <a:ln w="19050">
                <a:solidFill>
                  <a:schemeClr val="lt1"/>
                </a:solidFill>
              </a:ln>
              <a:effectLst/>
            </c:spPr>
            <c:extLst>
              <c:ext xmlns:c16="http://schemas.microsoft.com/office/drawing/2014/chart" uri="{C3380CC4-5D6E-409C-BE32-E72D297353CC}">
                <c16:uniqueId val="{00000001-04F5-45CC-AED7-ED9B30155648}"/>
              </c:ext>
            </c:extLst>
          </c:dPt>
          <c:dPt>
            <c:idx val="1"/>
            <c:bubble3D val="0"/>
            <c:spPr>
              <a:solidFill>
                <a:schemeClr val="accent6">
                  <a:shade val="58000"/>
                </a:schemeClr>
              </a:solidFill>
              <a:ln w="19050">
                <a:solidFill>
                  <a:schemeClr val="lt1"/>
                </a:solidFill>
              </a:ln>
              <a:effectLst/>
            </c:spPr>
            <c:extLst>
              <c:ext xmlns:c16="http://schemas.microsoft.com/office/drawing/2014/chart" uri="{C3380CC4-5D6E-409C-BE32-E72D297353CC}">
                <c16:uniqueId val="{00000003-04F5-45CC-AED7-ED9B30155648}"/>
              </c:ext>
            </c:extLst>
          </c:dPt>
          <c:dPt>
            <c:idx val="2"/>
            <c:bubble3D val="0"/>
            <c:spPr>
              <a:solidFill>
                <a:schemeClr val="accent6">
                  <a:shade val="72000"/>
                </a:schemeClr>
              </a:solidFill>
              <a:ln w="19050">
                <a:solidFill>
                  <a:schemeClr val="lt1"/>
                </a:solidFill>
              </a:ln>
              <a:effectLst/>
            </c:spPr>
            <c:extLst>
              <c:ext xmlns:c16="http://schemas.microsoft.com/office/drawing/2014/chart" uri="{C3380CC4-5D6E-409C-BE32-E72D297353CC}">
                <c16:uniqueId val="{00000005-04F5-45CC-AED7-ED9B30155648}"/>
              </c:ext>
            </c:extLst>
          </c:dPt>
          <c:dPt>
            <c:idx val="3"/>
            <c:bubble3D val="0"/>
            <c:spPr>
              <a:solidFill>
                <a:schemeClr val="accent6">
                  <a:shade val="86000"/>
                </a:schemeClr>
              </a:solidFill>
              <a:ln w="19050">
                <a:solidFill>
                  <a:schemeClr val="lt1"/>
                </a:solidFill>
              </a:ln>
              <a:effectLst/>
            </c:spPr>
            <c:extLst>
              <c:ext xmlns:c16="http://schemas.microsoft.com/office/drawing/2014/chart" uri="{C3380CC4-5D6E-409C-BE32-E72D297353CC}">
                <c16:uniqueId val="{00000007-04F5-45CC-AED7-ED9B30155648}"/>
              </c:ext>
            </c:extLst>
          </c:dPt>
          <c:dPt>
            <c:idx val="4"/>
            <c:bubble3D val="0"/>
            <c:spPr>
              <a:solidFill>
                <a:schemeClr val="accent6"/>
              </a:solidFill>
              <a:ln w="19050">
                <a:solidFill>
                  <a:schemeClr val="lt1"/>
                </a:solidFill>
              </a:ln>
              <a:effectLst/>
            </c:spPr>
            <c:extLst>
              <c:ext xmlns:c16="http://schemas.microsoft.com/office/drawing/2014/chart" uri="{C3380CC4-5D6E-409C-BE32-E72D297353CC}">
                <c16:uniqueId val="{00000009-04F5-45CC-AED7-ED9B30155648}"/>
              </c:ext>
            </c:extLst>
          </c:dPt>
          <c:dPt>
            <c:idx val="5"/>
            <c:bubble3D val="0"/>
            <c:spPr>
              <a:solidFill>
                <a:schemeClr val="accent6">
                  <a:tint val="86000"/>
                </a:schemeClr>
              </a:solidFill>
              <a:ln w="19050">
                <a:solidFill>
                  <a:schemeClr val="lt1"/>
                </a:solidFill>
              </a:ln>
              <a:effectLst/>
            </c:spPr>
            <c:extLst>
              <c:ext xmlns:c16="http://schemas.microsoft.com/office/drawing/2014/chart" uri="{C3380CC4-5D6E-409C-BE32-E72D297353CC}">
                <c16:uniqueId val="{0000000B-04F5-45CC-AED7-ED9B30155648}"/>
              </c:ext>
            </c:extLst>
          </c:dPt>
          <c:dPt>
            <c:idx val="6"/>
            <c:bubble3D val="0"/>
            <c:spPr>
              <a:solidFill>
                <a:schemeClr val="accent6">
                  <a:tint val="72000"/>
                </a:schemeClr>
              </a:solidFill>
              <a:ln w="19050">
                <a:solidFill>
                  <a:schemeClr val="lt1"/>
                </a:solidFill>
              </a:ln>
              <a:effectLst/>
            </c:spPr>
            <c:extLst>
              <c:ext xmlns:c16="http://schemas.microsoft.com/office/drawing/2014/chart" uri="{C3380CC4-5D6E-409C-BE32-E72D297353CC}">
                <c16:uniqueId val="{0000000D-04F5-45CC-AED7-ED9B30155648}"/>
              </c:ext>
            </c:extLst>
          </c:dPt>
          <c:dPt>
            <c:idx val="7"/>
            <c:bubble3D val="0"/>
            <c:spPr>
              <a:solidFill>
                <a:schemeClr val="accent6">
                  <a:tint val="58000"/>
                </a:schemeClr>
              </a:solidFill>
              <a:ln w="19050">
                <a:solidFill>
                  <a:schemeClr val="lt1"/>
                </a:solidFill>
              </a:ln>
              <a:effectLst/>
            </c:spPr>
            <c:extLst>
              <c:ext xmlns:c16="http://schemas.microsoft.com/office/drawing/2014/chart" uri="{C3380CC4-5D6E-409C-BE32-E72D297353CC}">
                <c16:uniqueId val="{0000000F-04F5-45CC-AED7-ED9B30155648}"/>
              </c:ext>
            </c:extLst>
          </c:dPt>
          <c:dPt>
            <c:idx val="8"/>
            <c:bubble3D val="0"/>
            <c:spPr>
              <a:solidFill>
                <a:schemeClr val="accent6">
                  <a:tint val="44000"/>
                </a:schemeClr>
              </a:solidFill>
              <a:ln w="19050">
                <a:solidFill>
                  <a:schemeClr val="lt1"/>
                </a:solidFill>
              </a:ln>
              <a:effectLst/>
            </c:spPr>
            <c:extLst>
              <c:ext xmlns:c16="http://schemas.microsoft.com/office/drawing/2014/chart" uri="{C3380CC4-5D6E-409C-BE32-E72D297353CC}">
                <c16:uniqueId val="{00000011-04F5-45CC-AED7-ED9B30155648}"/>
              </c:ext>
            </c:extLst>
          </c:dPt>
          <c:dPt>
            <c:idx val="9"/>
            <c:bubble3D val="0"/>
            <c:spPr>
              <a:solidFill>
                <a:schemeClr val="accent6">
                  <a:tint val="30000"/>
                </a:schemeClr>
              </a:solidFill>
              <a:ln w="19050">
                <a:solidFill>
                  <a:schemeClr val="lt1"/>
                </a:solidFill>
              </a:ln>
              <a:effectLst/>
            </c:spPr>
            <c:extLst>
              <c:ext xmlns:c16="http://schemas.microsoft.com/office/drawing/2014/chart" uri="{C3380CC4-5D6E-409C-BE32-E72D297353CC}">
                <c16:uniqueId val="{00000013-04F5-45CC-AED7-ED9B30155648}"/>
              </c:ext>
            </c:extLst>
          </c:dPt>
          <c:dPt>
            <c:idx val="10"/>
            <c:bubble3D val="0"/>
            <c:spPr>
              <a:solidFill>
                <a:schemeClr val="accent6">
                  <a:tint val="16000"/>
                </a:schemeClr>
              </a:solidFill>
              <a:ln w="19050">
                <a:solidFill>
                  <a:schemeClr val="lt1"/>
                </a:solidFill>
              </a:ln>
              <a:effectLst/>
            </c:spPr>
            <c:extLst>
              <c:ext xmlns:c16="http://schemas.microsoft.com/office/drawing/2014/chart" uri="{C3380CC4-5D6E-409C-BE32-E72D297353CC}">
                <c16:uniqueId val="{00000015-04F5-45CC-AED7-ED9B30155648}"/>
              </c:ext>
            </c:extLst>
          </c:dPt>
          <c:dLbls>
            <c:dLbl>
              <c:idx val="4"/>
              <c:layout>
                <c:manualLayout>
                  <c:x val="-1.5810578949076688E-2"/>
                  <c:y val="0"/>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4F5-45CC-AED7-ED9B30155648}"/>
                </c:ext>
              </c:extLst>
            </c:dLbl>
            <c:dLbl>
              <c:idx val="5"/>
              <c:delete val="1"/>
              <c:extLst>
                <c:ext xmlns:c15="http://schemas.microsoft.com/office/drawing/2012/chart" uri="{CE6537A1-D6FC-4f65-9D91-7224C49458BB}"/>
                <c:ext xmlns:c16="http://schemas.microsoft.com/office/drawing/2014/chart" uri="{C3380CC4-5D6E-409C-BE32-E72D297353CC}">
                  <c16:uniqueId val="{0000000B-04F5-45CC-AED7-ED9B30155648}"/>
                </c:ext>
              </c:extLst>
            </c:dLbl>
            <c:dLbl>
              <c:idx val="6"/>
              <c:layout>
                <c:manualLayout>
                  <c:x val="3.3879812033735676E-2"/>
                  <c:y val="4.3738603639912818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4F5-45CC-AED7-ED9B30155648}"/>
                </c:ext>
              </c:extLst>
            </c:dLbl>
            <c:dLbl>
              <c:idx val="7"/>
              <c:layout>
                <c:manualLayout>
                  <c:x val="0.17398989500654094"/>
                  <c:y val="-2.8644516287357466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4F5-45CC-AED7-ED9B30155648}"/>
                </c:ext>
              </c:extLst>
            </c:dLbl>
            <c:dLbl>
              <c:idx val="8"/>
              <c:layout>
                <c:manualLayout>
                  <c:x val="2.2509105996798037E-3"/>
                  <c:y val="4.2910135896916092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4F5-45CC-AED7-ED9B30155648}"/>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ITC Avant Garde" panose="020B0402020203020304" pitchFamily="34" charset="0"/>
                    <a:ea typeface="+mn-ea"/>
                    <a:cs typeface="+mn-cs"/>
                  </a:defRPr>
                </a:pPr>
                <a:endParaRPr lang="es-MX"/>
              </a:p>
            </c:txPr>
            <c:dLblPos val="outEnd"/>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'Gráficas Históricas'!$L$14:$L$22</c:f>
              <c:strCache>
                <c:ptCount val="9"/>
                <c:pt idx="0">
                  <c:v>Hacer que la plataforma sea más amigable </c:v>
                </c:pt>
                <c:pt idx="1">
                  <c:v>El proceso de llenado del formato y carga de la documentación para presentar tu trámite o servicio </c:v>
                </c:pt>
                <c:pt idx="2">
                  <c:v>Formas de pago </c:v>
                </c:pt>
                <c:pt idx="3">
                  <c:v>Información contenida en el tablero electrónico  </c:v>
                </c:pt>
                <c:pt idx="4">
                  <c:v>Información disponible en el portal </c:v>
                </c:pt>
                <c:pt idx="5">
                  <c:v>Chat en vivo/chat bot</c:v>
                </c:pt>
                <c:pt idx="6">
                  <c:v>Opcion de Guardado </c:v>
                </c:pt>
                <c:pt idx="7">
                  <c:v>Carga masiva de archivos</c:v>
                </c:pt>
                <c:pt idx="8">
                  <c:v>Tutoriales</c:v>
                </c:pt>
              </c:strCache>
            </c:strRef>
          </c:cat>
          <c:val>
            <c:numRef>
              <c:f>'Gráficas Históricas'!$M$14:$M$22</c:f>
              <c:numCache>
                <c:formatCode>General</c:formatCode>
                <c:ptCount val="9"/>
                <c:pt idx="0">
                  <c:v>274</c:v>
                </c:pt>
                <c:pt idx="1">
                  <c:v>322</c:v>
                </c:pt>
                <c:pt idx="2">
                  <c:v>144</c:v>
                </c:pt>
                <c:pt idx="3">
                  <c:v>180</c:v>
                </c:pt>
                <c:pt idx="4">
                  <c:v>217</c:v>
                </c:pt>
                <c:pt idx="5">
                  <c:v>5</c:v>
                </c:pt>
                <c:pt idx="6">
                  <c:v>20</c:v>
                </c:pt>
                <c:pt idx="7">
                  <c:v>19</c:v>
                </c:pt>
                <c:pt idx="8">
                  <c:v>13</c:v>
                </c:pt>
              </c:numCache>
            </c:numRef>
          </c:val>
          <c:extLst>
            <c:ext xmlns:c16="http://schemas.microsoft.com/office/drawing/2014/chart" uri="{C3380CC4-5D6E-409C-BE32-E72D297353CC}">
              <c16:uniqueId val="{00000016-04F5-45CC-AED7-ED9B30155648}"/>
            </c:ext>
          </c:extLst>
        </c:ser>
        <c:dLbls>
          <c:dLblPos val="outEnd"/>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latin typeface="ITC Avant Garde" panose="020B0402020203020304" pitchFamily="34" charset="0"/>
        </a:defRPr>
      </a:pPr>
      <a:endParaRPr lang="es-MX"/>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ysClr val="windowText" lastClr="000000"/>
                </a:solidFill>
                <a:latin typeface="ITC Avant Garde" panose="020B0402020203020304" pitchFamily="34" charset="0"/>
                <a:ea typeface="+mn-ea"/>
                <a:cs typeface="+mn-cs"/>
              </a:defRPr>
            </a:pPr>
            <a:r>
              <a:rPr lang="es-MX"/>
              <a:t> </a:t>
            </a:r>
            <a:r>
              <a:rPr lang="es-MX" b="1"/>
              <a:t>Tabla 19. </a:t>
            </a:r>
            <a:r>
              <a:rPr lang="es-MX" sz="900" b="1"/>
              <a:t>Distribución de usuarios por tiempo de respuesta en recibir resolución de un trámite ante la VE</a:t>
            </a:r>
            <a:endParaRPr lang="es-MX" b="1"/>
          </a:p>
        </c:rich>
      </c:tx>
      <c:overlay val="0"/>
      <c:spPr>
        <a:noFill/>
        <a:ln>
          <a:noFill/>
        </a:ln>
        <a:effectLst/>
      </c:spPr>
      <c:txPr>
        <a:bodyPr rot="0" spcFirstLastPara="1" vertOverflow="ellipsis" vert="horz" wrap="square" anchor="ctr" anchorCtr="1"/>
        <a:lstStyle/>
        <a:p>
          <a:pPr>
            <a:defRPr sz="840" b="0" i="0" u="none" strike="noStrike" kern="1200" spc="0" baseline="0">
              <a:solidFill>
                <a:sysClr val="windowText" lastClr="000000"/>
              </a:solidFill>
              <a:latin typeface="ITC Avant Garde" panose="020B0402020203020304" pitchFamily="34" charset="0"/>
              <a:ea typeface="+mn-ea"/>
              <a:cs typeface="+mn-cs"/>
            </a:defRPr>
          </a:pPr>
          <a:endParaRPr lang="es-MX"/>
        </a:p>
      </c:txPr>
    </c:title>
    <c:autoTitleDeleted val="0"/>
    <c:plotArea>
      <c:layout/>
      <c:barChart>
        <c:barDir val="col"/>
        <c:grouping val="clustered"/>
        <c:varyColors val="0"/>
        <c:ser>
          <c:idx val="0"/>
          <c:order val="0"/>
          <c:tx>
            <c:strRef>
              <c:f>'Gráficas Históricas'!$L$39</c:f>
              <c:strCache>
                <c:ptCount val="1"/>
                <c:pt idx="0">
                  <c:v>Muy adecuado</c:v>
                </c:pt>
              </c:strCache>
            </c:strRef>
          </c:tx>
          <c:spPr>
            <a:solidFill>
              <a:schemeClr val="accent6">
                <a:shade val="53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ITC Avant Garde" panose="020B04020202030203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'Gráficas Históricas'!$M$37:$S$38</c:f>
              <c:multiLvlStrCache>
                <c:ptCount val="7"/>
                <c:lvl>
                  <c:pt idx="0">
                    <c:v>T1</c:v>
                  </c:pt>
                  <c:pt idx="1">
                    <c:v>T2</c:v>
                  </c:pt>
                  <c:pt idx="2">
                    <c:v>T3</c:v>
                  </c:pt>
                  <c:pt idx="3">
                    <c:v>T4</c:v>
                  </c:pt>
                  <c:pt idx="4">
                    <c:v>T1</c:v>
                  </c:pt>
                  <c:pt idx="5">
                    <c:v>T2</c:v>
                  </c:pt>
                  <c:pt idx="6">
                    <c:v>T3</c:v>
                  </c:pt>
                </c:lvl>
                <c:lvl>
                  <c:pt idx="0">
                    <c:v>2023</c:v>
                  </c:pt>
                  <c:pt idx="1">
                    <c:v>2023</c:v>
                  </c:pt>
                  <c:pt idx="2">
                    <c:v>2023</c:v>
                  </c:pt>
                  <c:pt idx="3">
                    <c:v>2023</c:v>
                  </c:pt>
                  <c:pt idx="4">
                    <c:v>2024</c:v>
                  </c:pt>
                  <c:pt idx="5">
                    <c:v>2024</c:v>
                  </c:pt>
                  <c:pt idx="6">
                    <c:v>2024</c:v>
                  </c:pt>
                </c:lvl>
              </c:multiLvlStrCache>
            </c:multiLvlStrRef>
          </c:cat>
          <c:val>
            <c:numRef>
              <c:f>'Gráficas Históricas'!$M$39:$S$39</c:f>
              <c:numCache>
                <c:formatCode>0%</c:formatCode>
                <c:ptCount val="7"/>
                <c:pt idx="0">
                  <c:v>0.3</c:v>
                </c:pt>
                <c:pt idx="1">
                  <c:v>0.44827586206896552</c:v>
                </c:pt>
                <c:pt idx="2">
                  <c:v>0.72</c:v>
                </c:pt>
                <c:pt idx="3">
                  <c:v>0.43478260869565216</c:v>
                </c:pt>
                <c:pt idx="4">
                  <c:v>0.43478260869565216</c:v>
                </c:pt>
                <c:pt idx="5">
                  <c:v>0.3783783783783784</c:v>
                </c:pt>
                <c:pt idx="6">
                  <c:v>0.3888888888888889</c:v>
                </c:pt>
              </c:numCache>
            </c:numRef>
          </c:val>
          <c:extLst>
            <c:ext xmlns:c16="http://schemas.microsoft.com/office/drawing/2014/chart" uri="{C3380CC4-5D6E-409C-BE32-E72D297353CC}">
              <c16:uniqueId val="{00000000-5F17-43D0-ABE4-37463ECA1F0A}"/>
            </c:ext>
          </c:extLst>
        </c:ser>
        <c:ser>
          <c:idx val="1"/>
          <c:order val="1"/>
          <c:tx>
            <c:strRef>
              <c:f>'Gráficas Históricas'!$L$40</c:f>
              <c:strCache>
                <c:ptCount val="1"/>
                <c:pt idx="0">
                  <c:v>Adecuado</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ITC Avant Garde" panose="020B04020202030203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'Gráficas Históricas'!$M$37:$S$38</c:f>
              <c:multiLvlStrCache>
                <c:ptCount val="7"/>
                <c:lvl>
                  <c:pt idx="0">
                    <c:v>T1</c:v>
                  </c:pt>
                  <c:pt idx="1">
                    <c:v>T2</c:v>
                  </c:pt>
                  <c:pt idx="2">
                    <c:v>T3</c:v>
                  </c:pt>
                  <c:pt idx="3">
                    <c:v>T4</c:v>
                  </c:pt>
                  <c:pt idx="4">
                    <c:v>T1</c:v>
                  </c:pt>
                  <c:pt idx="5">
                    <c:v>T2</c:v>
                  </c:pt>
                  <c:pt idx="6">
                    <c:v>T3</c:v>
                  </c:pt>
                </c:lvl>
                <c:lvl>
                  <c:pt idx="0">
                    <c:v>2023</c:v>
                  </c:pt>
                  <c:pt idx="1">
                    <c:v>2023</c:v>
                  </c:pt>
                  <c:pt idx="2">
                    <c:v>2023</c:v>
                  </c:pt>
                  <c:pt idx="3">
                    <c:v>2023</c:v>
                  </c:pt>
                  <c:pt idx="4">
                    <c:v>2024</c:v>
                  </c:pt>
                  <c:pt idx="5">
                    <c:v>2024</c:v>
                  </c:pt>
                  <c:pt idx="6">
                    <c:v>2024</c:v>
                  </c:pt>
                </c:lvl>
              </c:multiLvlStrCache>
            </c:multiLvlStrRef>
          </c:cat>
          <c:val>
            <c:numRef>
              <c:f>'Gráficas Históricas'!$M$40:$S$40</c:f>
              <c:numCache>
                <c:formatCode>0%</c:formatCode>
                <c:ptCount val="7"/>
                <c:pt idx="0">
                  <c:v>0.4</c:v>
                </c:pt>
                <c:pt idx="1">
                  <c:v>0.34482758620689657</c:v>
                </c:pt>
                <c:pt idx="2">
                  <c:v>0.2</c:v>
                </c:pt>
                <c:pt idx="3">
                  <c:v>0.39130434782608697</c:v>
                </c:pt>
                <c:pt idx="4">
                  <c:v>0.39130434782608697</c:v>
                </c:pt>
                <c:pt idx="5">
                  <c:v>0.48648648648648651</c:v>
                </c:pt>
                <c:pt idx="6">
                  <c:v>0.40740740740740738</c:v>
                </c:pt>
              </c:numCache>
            </c:numRef>
          </c:val>
          <c:extLst>
            <c:ext xmlns:c16="http://schemas.microsoft.com/office/drawing/2014/chart" uri="{C3380CC4-5D6E-409C-BE32-E72D297353CC}">
              <c16:uniqueId val="{00000001-5F17-43D0-ABE4-37463ECA1F0A}"/>
            </c:ext>
          </c:extLst>
        </c:ser>
        <c:ser>
          <c:idx val="2"/>
          <c:order val="2"/>
          <c:tx>
            <c:strRef>
              <c:f>'Gráficas Históricas'!$L$41</c:f>
              <c:strCache>
                <c:ptCount val="1"/>
                <c:pt idx="0">
                  <c:v>Regular</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ITC Avant Garde" panose="020B04020202030203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'Gráficas Históricas'!$M$37:$S$38</c:f>
              <c:multiLvlStrCache>
                <c:ptCount val="7"/>
                <c:lvl>
                  <c:pt idx="0">
                    <c:v>T1</c:v>
                  </c:pt>
                  <c:pt idx="1">
                    <c:v>T2</c:v>
                  </c:pt>
                  <c:pt idx="2">
                    <c:v>T3</c:v>
                  </c:pt>
                  <c:pt idx="3">
                    <c:v>T4</c:v>
                  </c:pt>
                  <c:pt idx="4">
                    <c:v>T1</c:v>
                  </c:pt>
                  <c:pt idx="5">
                    <c:v>T2</c:v>
                  </c:pt>
                  <c:pt idx="6">
                    <c:v>T3</c:v>
                  </c:pt>
                </c:lvl>
                <c:lvl>
                  <c:pt idx="0">
                    <c:v>2023</c:v>
                  </c:pt>
                  <c:pt idx="1">
                    <c:v>2023</c:v>
                  </c:pt>
                  <c:pt idx="2">
                    <c:v>2023</c:v>
                  </c:pt>
                  <c:pt idx="3">
                    <c:v>2023</c:v>
                  </c:pt>
                  <c:pt idx="4">
                    <c:v>2024</c:v>
                  </c:pt>
                  <c:pt idx="5">
                    <c:v>2024</c:v>
                  </c:pt>
                  <c:pt idx="6">
                    <c:v>2024</c:v>
                  </c:pt>
                </c:lvl>
              </c:multiLvlStrCache>
            </c:multiLvlStrRef>
          </c:cat>
          <c:val>
            <c:numRef>
              <c:f>'Gráficas Históricas'!$M$41:$S$41</c:f>
              <c:numCache>
                <c:formatCode>0%</c:formatCode>
                <c:ptCount val="7"/>
                <c:pt idx="0">
                  <c:v>0.2</c:v>
                </c:pt>
                <c:pt idx="1">
                  <c:v>0.20689655172413793</c:v>
                </c:pt>
                <c:pt idx="2">
                  <c:v>0.08</c:v>
                </c:pt>
                <c:pt idx="3">
                  <c:v>0.17391304347826086</c:v>
                </c:pt>
                <c:pt idx="4">
                  <c:v>0.17391304347826086</c:v>
                </c:pt>
                <c:pt idx="5">
                  <c:v>0.10810810810810811</c:v>
                </c:pt>
                <c:pt idx="6">
                  <c:v>0.18518518518518517</c:v>
                </c:pt>
              </c:numCache>
            </c:numRef>
          </c:val>
          <c:extLst>
            <c:ext xmlns:c16="http://schemas.microsoft.com/office/drawing/2014/chart" uri="{C3380CC4-5D6E-409C-BE32-E72D297353CC}">
              <c16:uniqueId val="{00000002-5F17-43D0-ABE4-37463ECA1F0A}"/>
            </c:ext>
          </c:extLst>
        </c:ser>
        <c:ser>
          <c:idx val="3"/>
          <c:order val="3"/>
          <c:tx>
            <c:strRef>
              <c:f>'Gráficas Históricas'!$L$42</c:f>
              <c:strCache>
                <c:ptCount val="1"/>
                <c:pt idx="0">
                  <c:v>Inadecuado </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ITC Avant Garde" panose="020B04020202030203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'Gráficas Históricas'!$M$37:$S$38</c:f>
              <c:multiLvlStrCache>
                <c:ptCount val="7"/>
                <c:lvl>
                  <c:pt idx="0">
                    <c:v>T1</c:v>
                  </c:pt>
                  <c:pt idx="1">
                    <c:v>T2</c:v>
                  </c:pt>
                  <c:pt idx="2">
                    <c:v>T3</c:v>
                  </c:pt>
                  <c:pt idx="3">
                    <c:v>T4</c:v>
                  </c:pt>
                  <c:pt idx="4">
                    <c:v>T1</c:v>
                  </c:pt>
                  <c:pt idx="5">
                    <c:v>T2</c:v>
                  </c:pt>
                  <c:pt idx="6">
                    <c:v>T3</c:v>
                  </c:pt>
                </c:lvl>
                <c:lvl>
                  <c:pt idx="0">
                    <c:v>2023</c:v>
                  </c:pt>
                  <c:pt idx="1">
                    <c:v>2023</c:v>
                  </c:pt>
                  <c:pt idx="2">
                    <c:v>2023</c:v>
                  </c:pt>
                  <c:pt idx="3">
                    <c:v>2023</c:v>
                  </c:pt>
                  <c:pt idx="4">
                    <c:v>2024</c:v>
                  </c:pt>
                  <c:pt idx="5">
                    <c:v>2024</c:v>
                  </c:pt>
                  <c:pt idx="6">
                    <c:v>2024</c:v>
                  </c:pt>
                </c:lvl>
              </c:multiLvlStrCache>
            </c:multiLvlStrRef>
          </c:cat>
          <c:val>
            <c:numRef>
              <c:f>'Gráficas Históricas'!$M$42:$S$42</c:f>
              <c:numCache>
                <c:formatCode>0%</c:formatCode>
                <c:ptCount val="7"/>
                <c:pt idx="0">
                  <c:v>0.1</c:v>
                </c:pt>
                <c:pt idx="1">
                  <c:v>0</c:v>
                </c:pt>
                <c:pt idx="2">
                  <c:v>0</c:v>
                </c:pt>
                <c:pt idx="3">
                  <c:v>0</c:v>
                </c:pt>
                <c:pt idx="4">
                  <c:v>0</c:v>
                </c:pt>
                <c:pt idx="5">
                  <c:v>2.7027027027027029E-2</c:v>
                </c:pt>
                <c:pt idx="6">
                  <c:v>1.8518518518518517E-2</c:v>
                </c:pt>
              </c:numCache>
            </c:numRef>
          </c:val>
          <c:extLst>
            <c:ext xmlns:c16="http://schemas.microsoft.com/office/drawing/2014/chart" uri="{C3380CC4-5D6E-409C-BE32-E72D297353CC}">
              <c16:uniqueId val="{00000003-5F17-43D0-ABE4-37463ECA1F0A}"/>
            </c:ext>
          </c:extLst>
        </c:ser>
        <c:dLbls>
          <c:dLblPos val="outEnd"/>
          <c:showLegendKey val="0"/>
          <c:showVal val="1"/>
          <c:showCatName val="0"/>
          <c:showSerName val="0"/>
          <c:showPercent val="0"/>
          <c:showBubbleSize val="0"/>
        </c:dLbls>
        <c:gapWidth val="219"/>
        <c:overlap val="-27"/>
        <c:axId val="848491183"/>
        <c:axId val="688719791"/>
        <c:extLst>
          <c:ext xmlns:c15="http://schemas.microsoft.com/office/drawing/2012/chart" uri="{02D57815-91ED-43cb-92C2-25804820EDAC}">
            <c15:filteredBarSeries>
              <c15:ser>
                <c:idx val="4"/>
                <c:order val="4"/>
                <c:tx>
                  <c:strRef>
                    <c:extLst>
                      <c:ext uri="{02D57815-91ED-43cb-92C2-25804820EDAC}">
                        <c15:formulaRef>
                          <c15:sqref>'Gráficas Históricas'!$L$43</c15:sqref>
                        </c15:formulaRef>
                      </c:ext>
                    </c:extLst>
                    <c:strCache>
                      <c:ptCount val="1"/>
                      <c:pt idx="0">
                        <c:v>Total general</c:v>
                      </c:pt>
                    </c:strCache>
                  </c:strRef>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ITC Avant Garde" panose="020B0402020203020304" pitchFamily="34" charset="0"/>
                          <a:ea typeface="+mn-ea"/>
                          <a:cs typeface="+mn-cs"/>
                        </a:defRPr>
                      </a:pPr>
                      <a:endParaRPr lang="es-MX"/>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'Gráficas Históricas'!$M$37:$S$38</c15:sqref>
                        </c15:formulaRef>
                      </c:ext>
                    </c:extLst>
                    <c:multiLvlStrCache>
                      <c:ptCount val="7"/>
                      <c:lvl>
                        <c:pt idx="0">
                          <c:v>T1</c:v>
                        </c:pt>
                        <c:pt idx="1">
                          <c:v>T2</c:v>
                        </c:pt>
                        <c:pt idx="2">
                          <c:v>T3</c:v>
                        </c:pt>
                        <c:pt idx="3">
                          <c:v>T4</c:v>
                        </c:pt>
                        <c:pt idx="4">
                          <c:v>T1</c:v>
                        </c:pt>
                        <c:pt idx="5">
                          <c:v>T2</c:v>
                        </c:pt>
                        <c:pt idx="6">
                          <c:v>T3</c:v>
                        </c:pt>
                      </c:lvl>
                      <c:lvl>
                        <c:pt idx="0">
                          <c:v>2023</c:v>
                        </c:pt>
                        <c:pt idx="1">
                          <c:v>2023</c:v>
                        </c:pt>
                        <c:pt idx="2">
                          <c:v>2023</c:v>
                        </c:pt>
                        <c:pt idx="3">
                          <c:v>2023</c:v>
                        </c:pt>
                        <c:pt idx="4">
                          <c:v>2024</c:v>
                        </c:pt>
                        <c:pt idx="5">
                          <c:v>2024</c:v>
                        </c:pt>
                        <c:pt idx="6">
                          <c:v>2024</c:v>
                        </c:pt>
                      </c:lvl>
                    </c:multiLvlStrCache>
                  </c:multiLvlStrRef>
                </c:cat>
                <c:val>
                  <c:numRef>
                    <c:extLst>
                      <c:ext uri="{02D57815-91ED-43cb-92C2-25804820EDAC}">
                        <c15:formulaRef>
                          <c15:sqref>'Gráficas Históricas'!$M$43:$S$43</c15:sqref>
                        </c15:formulaRef>
                      </c:ext>
                    </c:extLst>
                    <c:numCache>
                      <c:formatCode>0.00%</c:formatCode>
                      <c:ptCount val="7"/>
                      <c:pt idx="0">
                        <c:v>0.99999999999999989</c:v>
                      </c:pt>
                      <c:pt idx="1">
                        <c:v>1</c:v>
                      </c:pt>
                      <c:pt idx="2">
                        <c:v>0.99999999999999989</c:v>
                      </c:pt>
                      <c:pt idx="3">
                        <c:v>1</c:v>
                      </c:pt>
                      <c:pt idx="4">
                        <c:v>1</c:v>
                      </c:pt>
                      <c:pt idx="5">
                        <c:v>1</c:v>
                      </c:pt>
                      <c:pt idx="6">
                        <c:v>0.99999999999999989</c:v>
                      </c:pt>
                    </c:numCache>
                  </c:numRef>
                </c:val>
                <c:extLst>
                  <c:ext xmlns:c16="http://schemas.microsoft.com/office/drawing/2014/chart" uri="{C3380CC4-5D6E-409C-BE32-E72D297353CC}">
                    <c16:uniqueId val="{00000004-5F17-43D0-ABE4-37463ECA1F0A}"/>
                  </c:ext>
                </c:extLst>
              </c15:ser>
            </c15:filteredBarSeries>
          </c:ext>
        </c:extLst>
      </c:barChart>
      <c:catAx>
        <c:axId val="8484911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ITC Avant Garde" panose="020B0402020203020304" pitchFamily="34" charset="0"/>
                <a:ea typeface="+mn-ea"/>
                <a:cs typeface="+mn-cs"/>
              </a:defRPr>
            </a:pPr>
            <a:endParaRPr lang="es-MX"/>
          </a:p>
        </c:txPr>
        <c:crossAx val="688719791"/>
        <c:crosses val="autoZero"/>
        <c:auto val="1"/>
        <c:lblAlgn val="ctr"/>
        <c:lblOffset val="100"/>
        <c:noMultiLvlLbl val="0"/>
      </c:catAx>
      <c:valAx>
        <c:axId val="688719791"/>
        <c:scaling>
          <c:orientation val="minMax"/>
          <c:max val="1"/>
          <c:min val="0"/>
        </c:scaling>
        <c:delete val="1"/>
        <c:axPos val="l"/>
        <c:numFmt formatCode="0%" sourceLinked="1"/>
        <c:majorTickMark val="out"/>
        <c:minorTickMark val="none"/>
        <c:tickLblPos val="nextTo"/>
        <c:crossAx val="848491183"/>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ITC Avant Garde" panose="020B04020202030203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latin typeface="ITC Avant Garde" panose="020B0402020203020304" pitchFamily="34" charset="0"/>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ITC Avant Garde" panose="020B0402020203020304" pitchFamily="34" charset="0"/>
                <a:ea typeface="+mn-ea"/>
                <a:cs typeface="+mn-cs"/>
              </a:defRPr>
            </a:pPr>
            <a:r>
              <a:rPr lang="es-MX"/>
              <a:t>Tabla 2. Satisfacción de servicios electrónicos</a:t>
            </a:r>
          </a:p>
        </c:rich>
      </c:tx>
      <c:layout>
        <c:manualLayout>
          <c:xMode val="edge"/>
          <c:yMode val="edge"/>
          <c:x val="0.30667814960629919"/>
          <c:y val="2.3809523809523808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ITC Avant Garde" panose="020B0402020203020304" pitchFamily="34" charset="0"/>
              <a:ea typeface="+mn-ea"/>
              <a:cs typeface="+mn-cs"/>
            </a:defRPr>
          </a:pPr>
          <a:endParaRPr lang="es-MX"/>
        </a:p>
      </c:txPr>
    </c:title>
    <c:autoTitleDeleted val="0"/>
    <c:plotArea>
      <c:layout/>
      <c:barChart>
        <c:barDir val="col"/>
        <c:grouping val="clustered"/>
        <c:varyColors val="0"/>
        <c:ser>
          <c:idx val="0"/>
          <c:order val="0"/>
          <c:tx>
            <c:strRef>
              <c:f>Hoja1!$B$1</c:f>
              <c:strCache>
                <c:ptCount val="1"/>
                <c:pt idx="0">
                  <c:v>Satisfacción con VE</c:v>
                </c:pt>
              </c:strCache>
            </c:strRef>
          </c:tx>
          <c:spPr>
            <a:solidFill>
              <a:schemeClr val="tx1"/>
            </a:solidFill>
            <a:ln>
              <a:noFill/>
            </a:ln>
            <a:effectLst/>
          </c:spPr>
          <c:invertIfNegative val="0"/>
          <c:cat>
            <c:strRef>
              <c:f>Hoja1!$A$2:$A$6</c:f>
              <c:strCache>
                <c:ptCount val="5"/>
                <c:pt idx="0">
                  <c:v>Muy Insatisfecha</c:v>
                </c:pt>
                <c:pt idx="1">
                  <c:v>Insatisfecha</c:v>
                </c:pt>
                <c:pt idx="2">
                  <c:v>Neutral</c:v>
                </c:pt>
                <c:pt idx="3">
                  <c:v> Satisfecha</c:v>
                </c:pt>
                <c:pt idx="4">
                  <c:v>Muy satisfecha</c:v>
                </c:pt>
              </c:strCache>
            </c:strRef>
          </c:cat>
          <c:val>
            <c:numRef>
              <c:f>Hoja1!$B$2:$B$6</c:f>
              <c:numCache>
                <c:formatCode>General</c:formatCode>
                <c:ptCount val="5"/>
                <c:pt idx="0">
                  <c:v>0</c:v>
                </c:pt>
                <c:pt idx="1">
                  <c:v>1</c:v>
                </c:pt>
                <c:pt idx="2">
                  <c:v>1</c:v>
                </c:pt>
                <c:pt idx="3">
                  <c:v>2</c:v>
                </c:pt>
                <c:pt idx="4">
                  <c:v>1</c:v>
                </c:pt>
              </c:numCache>
            </c:numRef>
          </c:val>
          <c:extLst>
            <c:ext xmlns:c16="http://schemas.microsoft.com/office/drawing/2014/chart" uri="{C3380CC4-5D6E-409C-BE32-E72D297353CC}">
              <c16:uniqueId val="{00000000-ACF6-4572-8935-7EF70B3CC1AB}"/>
            </c:ext>
          </c:extLst>
        </c:ser>
        <c:ser>
          <c:idx val="1"/>
          <c:order val="1"/>
          <c:tx>
            <c:strRef>
              <c:f>Hoja1!$C$1</c:f>
              <c:strCache>
                <c:ptCount val="1"/>
                <c:pt idx="0">
                  <c:v>Solución de problemas</c:v>
                </c:pt>
              </c:strCache>
            </c:strRef>
          </c:tx>
          <c:spPr>
            <a:solidFill>
              <a:srgbClr val="00B050"/>
            </a:solidFill>
            <a:ln>
              <a:noFill/>
            </a:ln>
            <a:effectLst/>
          </c:spPr>
          <c:invertIfNegative val="0"/>
          <c:cat>
            <c:strRef>
              <c:f>Hoja1!$A$2:$A$6</c:f>
              <c:strCache>
                <c:ptCount val="5"/>
                <c:pt idx="0">
                  <c:v>Muy Insatisfecha</c:v>
                </c:pt>
                <c:pt idx="1">
                  <c:v>Insatisfecha</c:v>
                </c:pt>
                <c:pt idx="2">
                  <c:v>Neutral</c:v>
                </c:pt>
                <c:pt idx="3">
                  <c:v> Satisfecha</c:v>
                </c:pt>
                <c:pt idx="4">
                  <c:v>Muy satisfecha</c:v>
                </c:pt>
              </c:strCache>
            </c:strRef>
          </c:cat>
          <c:val>
            <c:numRef>
              <c:f>Hoja1!$C$2:$C$6</c:f>
              <c:numCache>
                <c:formatCode>General</c:formatCode>
                <c:ptCount val="5"/>
                <c:pt idx="0">
                  <c:v>0</c:v>
                </c:pt>
                <c:pt idx="1">
                  <c:v>1</c:v>
                </c:pt>
                <c:pt idx="2">
                  <c:v>3</c:v>
                </c:pt>
                <c:pt idx="3">
                  <c:v>1</c:v>
                </c:pt>
                <c:pt idx="4">
                  <c:v>0</c:v>
                </c:pt>
              </c:numCache>
            </c:numRef>
          </c:val>
          <c:extLst>
            <c:ext xmlns:c16="http://schemas.microsoft.com/office/drawing/2014/chart" uri="{C3380CC4-5D6E-409C-BE32-E72D297353CC}">
              <c16:uniqueId val="{00000001-ACF6-4572-8935-7EF70B3CC1AB}"/>
            </c:ext>
          </c:extLst>
        </c:ser>
        <c:ser>
          <c:idx val="2"/>
          <c:order val="2"/>
          <c:tx>
            <c:strRef>
              <c:f>Hoja1!$D$1</c:f>
              <c:strCache>
                <c:ptCount val="1"/>
                <c:pt idx="0">
                  <c:v>Firma Electrónica Avanzada</c:v>
                </c:pt>
              </c:strCache>
            </c:strRef>
          </c:tx>
          <c:spPr>
            <a:solidFill>
              <a:srgbClr val="92D050"/>
            </a:solidFill>
            <a:ln>
              <a:noFill/>
            </a:ln>
            <a:effectLst/>
          </c:spPr>
          <c:invertIfNegative val="0"/>
          <c:cat>
            <c:strRef>
              <c:f>Hoja1!$A$2:$A$6</c:f>
              <c:strCache>
                <c:ptCount val="5"/>
                <c:pt idx="0">
                  <c:v>Muy Insatisfecha</c:v>
                </c:pt>
                <c:pt idx="1">
                  <c:v>Insatisfecha</c:v>
                </c:pt>
                <c:pt idx="2">
                  <c:v>Neutral</c:v>
                </c:pt>
                <c:pt idx="3">
                  <c:v> Satisfecha</c:v>
                </c:pt>
                <c:pt idx="4">
                  <c:v>Muy satisfecha</c:v>
                </c:pt>
              </c:strCache>
            </c:strRef>
          </c:cat>
          <c:val>
            <c:numRef>
              <c:f>Hoja1!$D$2:$D$6</c:f>
              <c:numCache>
                <c:formatCode>General</c:formatCode>
                <c:ptCount val="5"/>
                <c:pt idx="0">
                  <c:v>2</c:v>
                </c:pt>
                <c:pt idx="1">
                  <c:v>2</c:v>
                </c:pt>
                <c:pt idx="2">
                  <c:v>0</c:v>
                </c:pt>
                <c:pt idx="3">
                  <c:v>1</c:v>
                </c:pt>
                <c:pt idx="4">
                  <c:v>0</c:v>
                </c:pt>
              </c:numCache>
            </c:numRef>
          </c:val>
          <c:extLst>
            <c:ext xmlns:c16="http://schemas.microsoft.com/office/drawing/2014/chart" uri="{C3380CC4-5D6E-409C-BE32-E72D297353CC}">
              <c16:uniqueId val="{00000002-ACF6-4572-8935-7EF70B3CC1AB}"/>
            </c:ext>
          </c:extLst>
        </c:ser>
        <c:ser>
          <c:idx val="3"/>
          <c:order val="3"/>
          <c:tx>
            <c:strRef>
              <c:f>Hoja1!$E$1</c:f>
              <c:strCache>
                <c:ptCount val="1"/>
                <c:pt idx="0">
                  <c:v>Acceso y resguardo de documentación</c:v>
                </c:pt>
              </c:strCache>
            </c:strRef>
          </c:tx>
          <c:spPr>
            <a:solidFill>
              <a:schemeClr val="accent4"/>
            </a:solidFill>
            <a:ln>
              <a:noFill/>
            </a:ln>
            <a:effectLst/>
          </c:spPr>
          <c:invertIfNegative val="0"/>
          <c:cat>
            <c:strRef>
              <c:f>Hoja1!$A$2:$A$6</c:f>
              <c:strCache>
                <c:ptCount val="5"/>
                <c:pt idx="0">
                  <c:v>Muy Insatisfecha</c:v>
                </c:pt>
                <c:pt idx="1">
                  <c:v>Insatisfecha</c:v>
                </c:pt>
                <c:pt idx="2">
                  <c:v>Neutral</c:v>
                </c:pt>
                <c:pt idx="3">
                  <c:v> Satisfecha</c:v>
                </c:pt>
                <c:pt idx="4">
                  <c:v>Muy satisfecha</c:v>
                </c:pt>
              </c:strCache>
            </c:strRef>
          </c:cat>
          <c:val>
            <c:numRef>
              <c:f>Hoja1!$E$2:$E$6</c:f>
              <c:numCache>
                <c:formatCode>General</c:formatCode>
                <c:ptCount val="5"/>
                <c:pt idx="0">
                  <c:v>0</c:v>
                </c:pt>
                <c:pt idx="1">
                  <c:v>0</c:v>
                </c:pt>
                <c:pt idx="2">
                  <c:v>2</c:v>
                </c:pt>
                <c:pt idx="3">
                  <c:v>3</c:v>
                </c:pt>
                <c:pt idx="4">
                  <c:v>0</c:v>
                </c:pt>
              </c:numCache>
            </c:numRef>
          </c:val>
          <c:extLst>
            <c:ext xmlns:c16="http://schemas.microsoft.com/office/drawing/2014/chart" uri="{C3380CC4-5D6E-409C-BE32-E72D297353CC}">
              <c16:uniqueId val="{00000003-ACF6-4572-8935-7EF70B3CC1AB}"/>
            </c:ext>
          </c:extLst>
        </c:ser>
        <c:ser>
          <c:idx val="4"/>
          <c:order val="4"/>
          <c:tx>
            <c:strRef>
              <c:f>Hoja1!$F$1</c:f>
              <c:strCache>
                <c:ptCount val="1"/>
                <c:pt idx="0">
                  <c:v>Tablero electrónico</c:v>
                </c:pt>
              </c:strCache>
            </c:strRef>
          </c:tx>
          <c:spPr>
            <a:solidFill>
              <a:schemeClr val="bg2">
                <a:lumMod val="50000"/>
              </a:schemeClr>
            </a:solidFill>
            <a:ln>
              <a:noFill/>
            </a:ln>
            <a:effectLst/>
          </c:spPr>
          <c:invertIfNegative val="0"/>
          <c:cat>
            <c:strRef>
              <c:f>Hoja1!$A$2:$A$6</c:f>
              <c:strCache>
                <c:ptCount val="5"/>
                <c:pt idx="0">
                  <c:v>Muy Insatisfecha</c:v>
                </c:pt>
                <c:pt idx="1">
                  <c:v>Insatisfecha</c:v>
                </c:pt>
                <c:pt idx="2">
                  <c:v>Neutral</c:v>
                </c:pt>
                <c:pt idx="3">
                  <c:v> Satisfecha</c:v>
                </c:pt>
                <c:pt idx="4">
                  <c:v>Muy satisfecha</c:v>
                </c:pt>
              </c:strCache>
            </c:strRef>
          </c:cat>
          <c:val>
            <c:numRef>
              <c:f>Hoja1!$F$2:$F$6</c:f>
              <c:numCache>
                <c:formatCode>General</c:formatCode>
                <c:ptCount val="5"/>
                <c:pt idx="0">
                  <c:v>0</c:v>
                </c:pt>
                <c:pt idx="1">
                  <c:v>2</c:v>
                </c:pt>
                <c:pt idx="2">
                  <c:v>1</c:v>
                </c:pt>
                <c:pt idx="3">
                  <c:v>2</c:v>
                </c:pt>
                <c:pt idx="4">
                  <c:v>0</c:v>
                </c:pt>
              </c:numCache>
            </c:numRef>
          </c:val>
          <c:extLst>
            <c:ext xmlns:c16="http://schemas.microsoft.com/office/drawing/2014/chart" uri="{C3380CC4-5D6E-409C-BE32-E72D297353CC}">
              <c16:uniqueId val="{00000004-ACF6-4572-8935-7EF70B3CC1AB}"/>
            </c:ext>
          </c:extLst>
        </c:ser>
        <c:ser>
          <c:idx val="5"/>
          <c:order val="5"/>
          <c:tx>
            <c:strRef>
              <c:f>Hoja1!$G$1</c:f>
              <c:strCache>
                <c:ptCount val="1"/>
                <c:pt idx="0">
                  <c:v>Notificaciones electrónicas</c:v>
                </c:pt>
              </c:strCache>
            </c:strRef>
          </c:tx>
          <c:spPr>
            <a:solidFill>
              <a:schemeClr val="bg2">
                <a:lumMod val="75000"/>
              </a:schemeClr>
            </a:solidFill>
            <a:ln>
              <a:noFill/>
            </a:ln>
            <a:effectLst/>
          </c:spPr>
          <c:invertIfNegative val="0"/>
          <c:cat>
            <c:strRef>
              <c:f>Hoja1!$A$2:$A$6</c:f>
              <c:strCache>
                <c:ptCount val="5"/>
                <c:pt idx="0">
                  <c:v>Muy Insatisfecha</c:v>
                </c:pt>
                <c:pt idx="1">
                  <c:v>Insatisfecha</c:v>
                </c:pt>
                <c:pt idx="2">
                  <c:v>Neutral</c:v>
                </c:pt>
                <c:pt idx="3">
                  <c:v> Satisfecha</c:v>
                </c:pt>
                <c:pt idx="4">
                  <c:v>Muy satisfecha</c:v>
                </c:pt>
              </c:strCache>
            </c:strRef>
          </c:cat>
          <c:val>
            <c:numRef>
              <c:f>Hoja1!$G$2:$G$6</c:f>
              <c:numCache>
                <c:formatCode>General</c:formatCode>
                <c:ptCount val="5"/>
                <c:pt idx="0">
                  <c:v>0</c:v>
                </c:pt>
                <c:pt idx="1">
                  <c:v>2</c:v>
                </c:pt>
                <c:pt idx="2">
                  <c:v>1</c:v>
                </c:pt>
                <c:pt idx="3">
                  <c:v>2</c:v>
                </c:pt>
                <c:pt idx="4">
                  <c:v>0</c:v>
                </c:pt>
              </c:numCache>
            </c:numRef>
          </c:val>
          <c:extLst>
            <c:ext xmlns:c16="http://schemas.microsoft.com/office/drawing/2014/chart" uri="{C3380CC4-5D6E-409C-BE32-E72D297353CC}">
              <c16:uniqueId val="{00000005-ACF6-4572-8935-7EF70B3CC1AB}"/>
            </c:ext>
          </c:extLst>
        </c:ser>
        <c:dLbls>
          <c:showLegendKey val="0"/>
          <c:showVal val="0"/>
          <c:showCatName val="0"/>
          <c:showSerName val="0"/>
          <c:showPercent val="0"/>
          <c:showBubbleSize val="0"/>
        </c:dLbls>
        <c:gapWidth val="219"/>
        <c:overlap val="-27"/>
        <c:axId val="415559824"/>
        <c:axId val="415560784"/>
      </c:barChart>
      <c:catAx>
        <c:axId val="41555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crossAx val="415560784"/>
        <c:crosses val="autoZero"/>
        <c:auto val="1"/>
        <c:lblAlgn val="ctr"/>
        <c:lblOffset val="100"/>
        <c:noMultiLvlLbl val="0"/>
      </c:catAx>
      <c:valAx>
        <c:axId val="415560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crossAx val="41555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ITC Avant Garde" panose="020B0402020203020304" pitchFamily="34" charset="0"/>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ITC Avant Garde" panose="020B0402020203020304" pitchFamily="34" charset="0"/>
                <a:ea typeface="+mn-ea"/>
                <a:cs typeface="+mn-cs"/>
              </a:defRPr>
            </a:pPr>
            <a:r>
              <a:rPr lang="es-MX"/>
              <a:t>Tabla 3. Facilidad de los servicios electrónicos</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ITC Avant Garde" panose="020B0402020203020304" pitchFamily="34" charset="0"/>
              <a:ea typeface="+mn-ea"/>
              <a:cs typeface="+mn-cs"/>
            </a:defRPr>
          </a:pPr>
          <a:endParaRPr lang="es-MX"/>
        </a:p>
      </c:txPr>
    </c:title>
    <c:autoTitleDeleted val="0"/>
    <c:plotArea>
      <c:layout/>
      <c:barChart>
        <c:barDir val="col"/>
        <c:grouping val="clustered"/>
        <c:varyColors val="0"/>
        <c:ser>
          <c:idx val="0"/>
          <c:order val="0"/>
          <c:tx>
            <c:strRef>
              <c:f>Hoja1!$B$1</c:f>
              <c:strCache>
                <c:ptCount val="1"/>
                <c:pt idx="0">
                  <c:v>Acceso a los trámites y servicios</c:v>
                </c:pt>
              </c:strCache>
            </c:strRef>
          </c:tx>
          <c:spPr>
            <a:solidFill>
              <a:srgbClr val="92D050"/>
            </a:solidFill>
            <a:ln>
              <a:noFill/>
            </a:ln>
            <a:effectLst/>
          </c:spPr>
          <c:invertIfNegative val="0"/>
          <c:cat>
            <c:strRef>
              <c:f>Hoja1!$A$2:$A$6</c:f>
              <c:strCache>
                <c:ptCount val="5"/>
                <c:pt idx="0">
                  <c:v>Muy difícil</c:v>
                </c:pt>
                <c:pt idx="1">
                  <c:v>Difícil</c:v>
                </c:pt>
                <c:pt idx="2">
                  <c:v>Neutral</c:v>
                </c:pt>
                <c:pt idx="3">
                  <c:v>Fácil</c:v>
                </c:pt>
                <c:pt idx="4">
                  <c:v>Muy fácil</c:v>
                </c:pt>
              </c:strCache>
            </c:strRef>
          </c:cat>
          <c:val>
            <c:numRef>
              <c:f>Hoja1!$B$2:$B$6</c:f>
              <c:numCache>
                <c:formatCode>General</c:formatCode>
                <c:ptCount val="5"/>
                <c:pt idx="0">
                  <c:v>0</c:v>
                </c:pt>
                <c:pt idx="1">
                  <c:v>0</c:v>
                </c:pt>
                <c:pt idx="2">
                  <c:v>1</c:v>
                </c:pt>
                <c:pt idx="3">
                  <c:v>3</c:v>
                </c:pt>
                <c:pt idx="4">
                  <c:v>1</c:v>
                </c:pt>
              </c:numCache>
            </c:numRef>
          </c:val>
          <c:extLst>
            <c:ext xmlns:c16="http://schemas.microsoft.com/office/drawing/2014/chart" uri="{C3380CC4-5D6E-409C-BE32-E72D297353CC}">
              <c16:uniqueId val="{00000000-785B-4A61-8440-13A3395D77C2}"/>
            </c:ext>
          </c:extLst>
        </c:ser>
        <c:ser>
          <c:idx val="1"/>
          <c:order val="1"/>
          <c:tx>
            <c:strRef>
              <c:f>Hoja1!$C$1</c:f>
              <c:strCache>
                <c:ptCount val="1"/>
                <c:pt idx="0">
                  <c:v>Completar y presentar formularios electrónicos</c:v>
                </c:pt>
              </c:strCache>
            </c:strRef>
          </c:tx>
          <c:spPr>
            <a:solidFill>
              <a:srgbClr val="00B050"/>
            </a:solidFill>
            <a:ln>
              <a:solidFill>
                <a:srgbClr val="00B050"/>
              </a:solidFill>
            </a:ln>
            <a:effectLst/>
          </c:spPr>
          <c:invertIfNegative val="0"/>
          <c:cat>
            <c:strRef>
              <c:f>Hoja1!$A$2:$A$6</c:f>
              <c:strCache>
                <c:ptCount val="5"/>
                <c:pt idx="0">
                  <c:v>Muy difícil</c:v>
                </c:pt>
                <c:pt idx="1">
                  <c:v>Difícil</c:v>
                </c:pt>
                <c:pt idx="2">
                  <c:v>Neutral</c:v>
                </c:pt>
                <c:pt idx="3">
                  <c:v>Fácil</c:v>
                </c:pt>
                <c:pt idx="4">
                  <c:v>Muy fácil</c:v>
                </c:pt>
              </c:strCache>
            </c:strRef>
          </c:cat>
          <c:val>
            <c:numRef>
              <c:f>Hoja1!$C$2:$C$6</c:f>
              <c:numCache>
                <c:formatCode>General</c:formatCode>
                <c:ptCount val="5"/>
                <c:pt idx="0">
                  <c:v>2</c:v>
                </c:pt>
                <c:pt idx="1">
                  <c:v>2</c:v>
                </c:pt>
                <c:pt idx="2">
                  <c:v>0</c:v>
                </c:pt>
                <c:pt idx="3">
                  <c:v>5</c:v>
                </c:pt>
                <c:pt idx="4">
                  <c:v>1</c:v>
                </c:pt>
              </c:numCache>
            </c:numRef>
          </c:val>
          <c:extLst>
            <c:ext xmlns:c16="http://schemas.microsoft.com/office/drawing/2014/chart" uri="{C3380CC4-5D6E-409C-BE32-E72D297353CC}">
              <c16:uniqueId val="{00000001-785B-4A61-8440-13A3395D77C2}"/>
            </c:ext>
          </c:extLst>
        </c:ser>
        <c:ser>
          <c:idx val="2"/>
          <c:order val="2"/>
          <c:tx>
            <c:strRef>
              <c:f>Hoja1!$D$1</c:f>
              <c:strCache>
                <c:ptCount val="1"/>
                <c:pt idx="0">
                  <c:v>Obtención de Copias Certificadas</c:v>
                </c:pt>
              </c:strCache>
            </c:strRef>
          </c:tx>
          <c:spPr>
            <a:solidFill>
              <a:schemeClr val="bg2">
                <a:lumMod val="90000"/>
              </a:schemeClr>
            </a:solidFill>
            <a:ln>
              <a:noFill/>
            </a:ln>
            <a:effectLst/>
          </c:spPr>
          <c:invertIfNegative val="0"/>
          <c:cat>
            <c:strRef>
              <c:f>Hoja1!$A$2:$A$6</c:f>
              <c:strCache>
                <c:ptCount val="5"/>
                <c:pt idx="0">
                  <c:v>Muy difícil</c:v>
                </c:pt>
                <c:pt idx="1">
                  <c:v>Difícil</c:v>
                </c:pt>
                <c:pt idx="2">
                  <c:v>Neutral</c:v>
                </c:pt>
                <c:pt idx="3">
                  <c:v>Fácil</c:v>
                </c:pt>
                <c:pt idx="4">
                  <c:v>Muy fácil</c:v>
                </c:pt>
              </c:strCache>
            </c:strRef>
          </c:cat>
          <c:val>
            <c:numRef>
              <c:f>Hoja1!$D$2:$D$6</c:f>
              <c:numCache>
                <c:formatCode>General</c:formatCode>
                <c:ptCount val="5"/>
                <c:pt idx="1">
                  <c:v>1</c:v>
                </c:pt>
                <c:pt idx="2">
                  <c:v>3</c:v>
                </c:pt>
              </c:numCache>
            </c:numRef>
          </c:val>
          <c:extLst>
            <c:ext xmlns:c16="http://schemas.microsoft.com/office/drawing/2014/chart" uri="{C3380CC4-5D6E-409C-BE32-E72D297353CC}">
              <c16:uniqueId val="{00000002-785B-4A61-8440-13A3395D77C2}"/>
            </c:ext>
          </c:extLst>
        </c:ser>
        <c:dLbls>
          <c:showLegendKey val="0"/>
          <c:showVal val="0"/>
          <c:showCatName val="0"/>
          <c:showSerName val="0"/>
          <c:showPercent val="0"/>
          <c:showBubbleSize val="0"/>
        </c:dLbls>
        <c:gapWidth val="219"/>
        <c:overlap val="-27"/>
        <c:axId val="1223229311"/>
        <c:axId val="1223231711"/>
      </c:barChart>
      <c:catAx>
        <c:axId val="1223229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pitchFamily="34" charset="0"/>
                <a:ea typeface="+mn-ea"/>
                <a:cs typeface="+mn-cs"/>
              </a:defRPr>
            </a:pPr>
            <a:endParaRPr lang="es-MX"/>
          </a:p>
        </c:txPr>
        <c:crossAx val="1223231711"/>
        <c:crosses val="autoZero"/>
        <c:auto val="1"/>
        <c:lblAlgn val="ctr"/>
        <c:lblOffset val="100"/>
        <c:noMultiLvlLbl val="0"/>
      </c:catAx>
      <c:valAx>
        <c:axId val="1223231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pitchFamily="34" charset="0"/>
                <a:ea typeface="+mn-ea"/>
                <a:cs typeface="+mn-cs"/>
              </a:defRPr>
            </a:pPr>
            <a:endParaRPr lang="es-MX"/>
          </a:p>
        </c:txPr>
        <c:crossAx val="1223229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ITC Avant Garde" panose="020B04020202030203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ITC Avant Garde" panose="020B0402020203020304" pitchFamily="34" charset="0"/>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ITC Avant Garde" panose="020B0402020203020304" pitchFamily="34" charset="0"/>
                <a:ea typeface="+mn-ea"/>
                <a:cs typeface="+mn-cs"/>
              </a:defRPr>
            </a:pPr>
            <a:r>
              <a:rPr lang="es-MX"/>
              <a:t>Tabla 4. Reducción de gastos operativos</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ITC Avant Garde" panose="020B0402020203020304" pitchFamily="34" charset="0"/>
              <a:ea typeface="+mn-ea"/>
              <a:cs typeface="+mn-cs"/>
            </a:defRPr>
          </a:pPr>
          <a:endParaRPr lang="es-MX"/>
        </a:p>
      </c:txPr>
    </c:title>
    <c:autoTitleDeleted val="0"/>
    <c:plotArea>
      <c:layout/>
      <c:barChart>
        <c:barDir val="col"/>
        <c:grouping val="clustered"/>
        <c:varyColors val="0"/>
        <c:ser>
          <c:idx val="0"/>
          <c:order val="0"/>
          <c:tx>
            <c:strRef>
              <c:f>Hoja1!$B$1</c:f>
              <c:strCache>
                <c:ptCount val="1"/>
                <c:pt idx="0">
                  <c:v>Reducción de gastos operativos</c:v>
                </c:pt>
              </c:strCache>
            </c:strRef>
          </c:tx>
          <c:spPr>
            <a:solidFill>
              <a:srgbClr val="92D050"/>
            </a:solidFill>
            <a:ln>
              <a:solidFill>
                <a:srgbClr val="92D050"/>
              </a:solidFill>
            </a:ln>
            <a:effectLst/>
          </c:spPr>
          <c:invertIfNegative val="0"/>
          <c:cat>
            <c:strRef>
              <c:f>Hoja1!$A$2:$A$6</c:f>
              <c:strCache>
                <c:ptCount val="5"/>
                <c:pt idx="0">
                  <c:v>Reducción en el uso de papelería y suministros de oficina</c:v>
                </c:pt>
                <c:pt idx="1">
                  <c:v>Ahorro en gastos de transporte y desplazamiento</c:v>
                </c:pt>
                <c:pt idx="2">
                  <c:v>Reducción de gastos de personal</c:v>
                </c:pt>
                <c:pt idx="3">
                  <c:v>Reducción de gastos administrativos generales</c:v>
                </c:pt>
                <c:pt idx="4">
                  <c:v>Otro (especifique)</c:v>
                </c:pt>
              </c:strCache>
            </c:strRef>
          </c:cat>
          <c:val>
            <c:numRef>
              <c:f>Hoja1!$B$2:$B$6</c:f>
              <c:numCache>
                <c:formatCode>General</c:formatCode>
                <c:ptCount val="5"/>
                <c:pt idx="0">
                  <c:v>2</c:v>
                </c:pt>
                <c:pt idx="1">
                  <c:v>1</c:v>
                </c:pt>
                <c:pt idx="2">
                  <c:v>0</c:v>
                </c:pt>
                <c:pt idx="3">
                  <c:v>2</c:v>
                </c:pt>
                <c:pt idx="4">
                  <c:v>0</c:v>
                </c:pt>
              </c:numCache>
            </c:numRef>
          </c:val>
          <c:extLst>
            <c:ext xmlns:c16="http://schemas.microsoft.com/office/drawing/2014/chart" uri="{C3380CC4-5D6E-409C-BE32-E72D297353CC}">
              <c16:uniqueId val="{00000000-649D-47E2-A606-FBC544C4B3CD}"/>
            </c:ext>
          </c:extLst>
        </c:ser>
        <c:dLbls>
          <c:showLegendKey val="0"/>
          <c:showVal val="0"/>
          <c:showCatName val="0"/>
          <c:showSerName val="0"/>
          <c:showPercent val="0"/>
          <c:showBubbleSize val="0"/>
        </c:dLbls>
        <c:gapWidth val="219"/>
        <c:overlap val="-27"/>
        <c:axId val="1220310031"/>
        <c:axId val="1220310511"/>
      </c:barChart>
      <c:catAx>
        <c:axId val="1220310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pitchFamily="34" charset="0"/>
                <a:ea typeface="+mn-ea"/>
                <a:cs typeface="+mn-cs"/>
              </a:defRPr>
            </a:pPr>
            <a:endParaRPr lang="es-MX"/>
          </a:p>
        </c:txPr>
        <c:crossAx val="1220310511"/>
        <c:crosses val="autoZero"/>
        <c:auto val="1"/>
        <c:lblAlgn val="ctr"/>
        <c:lblOffset val="100"/>
        <c:noMultiLvlLbl val="0"/>
      </c:catAx>
      <c:valAx>
        <c:axId val="12203105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pitchFamily="34" charset="0"/>
                <a:ea typeface="+mn-ea"/>
                <a:cs typeface="+mn-cs"/>
              </a:defRPr>
            </a:pPr>
            <a:endParaRPr lang="es-MX"/>
          </a:p>
        </c:txPr>
        <c:crossAx val="1220310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ITC Avant Garde" panose="020B04020202030203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ITC Avant Garde" panose="020B0402020203020304" pitchFamily="34" charset="0"/>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ITC Avant Garde" panose="020B0402020203020304" pitchFamily="34" charset="0"/>
                <a:ea typeface="+mn-ea"/>
                <a:cs typeface="+mn-cs"/>
              </a:defRPr>
            </a:pPr>
            <a:r>
              <a:rPr lang="en-US" sz="1080" b="0" cap="none"/>
              <a:t>Tabla 5. Tiempo utilizado para ingresar y/o presentar un trámite o servicio</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ysClr val="windowText" lastClr="000000"/>
              </a:solidFill>
              <a:latin typeface="ITC Avant Garde" panose="020B0402020203020304" pitchFamily="34" charset="0"/>
              <a:ea typeface="+mn-ea"/>
              <a:cs typeface="+mn-cs"/>
            </a:defRPr>
          </a:pPr>
          <a:endParaRPr lang="es-MX"/>
        </a:p>
      </c:txPr>
    </c:title>
    <c:autoTitleDeleted val="0"/>
    <c:plotArea>
      <c:layout/>
      <c:barChart>
        <c:barDir val="col"/>
        <c:grouping val="clustered"/>
        <c:varyColors val="0"/>
        <c:ser>
          <c:idx val="0"/>
          <c:order val="0"/>
          <c:tx>
            <c:strRef>
              <c:f>Hoja1!$B$1</c:f>
              <c:strCache>
                <c:ptCount val="1"/>
                <c:pt idx="0">
                  <c:v>Tiempo utilizado para ingresar y/o presentar un trámite o servicio</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Excesivamente lento</c:v>
                </c:pt>
                <c:pt idx="1">
                  <c:v>Ligeramente más lento de lo necesario</c:v>
                </c:pt>
                <c:pt idx="2">
                  <c:v>Adecuado</c:v>
                </c:pt>
                <c:pt idx="3">
                  <c:v>Ligeramente más rápido de lo necesario</c:v>
                </c:pt>
                <c:pt idx="4">
                  <c:v>Demasiado rápido</c:v>
                </c:pt>
              </c:strCache>
            </c:strRef>
          </c:cat>
          <c:val>
            <c:numRef>
              <c:f>Hoja1!$B$2:$B$6</c:f>
              <c:numCache>
                <c:formatCode>General</c:formatCode>
                <c:ptCount val="5"/>
                <c:pt idx="0">
                  <c:v>1</c:v>
                </c:pt>
                <c:pt idx="1">
                  <c:v>0</c:v>
                </c:pt>
                <c:pt idx="2">
                  <c:v>3</c:v>
                </c:pt>
                <c:pt idx="3">
                  <c:v>0</c:v>
                </c:pt>
                <c:pt idx="4">
                  <c:v>1</c:v>
                </c:pt>
              </c:numCache>
            </c:numRef>
          </c:val>
          <c:extLst>
            <c:ext xmlns:c16="http://schemas.microsoft.com/office/drawing/2014/chart" uri="{C3380CC4-5D6E-409C-BE32-E72D297353CC}">
              <c16:uniqueId val="{00000000-C7F0-4197-9635-BDB34E8FB1B3}"/>
            </c:ext>
          </c:extLst>
        </c:ser>
        <c:dLbls>
          <c:dLblPos val="outEnd"/>
          <c:showLegendKey val="0"/>
          <c:showVal val="1"/>
          <c:showCatName val="0"/>
          <c:showSerName val="0"/>
          <c:showPercent val="0"/>
          <c:showBubbleSize val="0"/>
        </c:dLbls>
        <c:gapWidth val="444"/>
        <c:overlap val="-90"/>
        <c:axId val="401931392"/>
        <c:axId val="567554704"/>
      </c:barChart>
      <c:catAx>
        <c:axId val="401931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ysClr val="windowText" lastClr="000000"/>
                </a:solidFill>
                <a:latin typeface="ITC Avant Garde" panose="020B0402020203020304" pitchFamily="34" charset="0"/>
                <a:ea typeface="+mn-ea"/>
                <a:cs typeface="+mn-cs"/>
              </a:defRPr>
            </a:pPr>
            <a:endParaRPr lang="es-MX"/>
          </a:p>
        </c:txPr>
        <c:crossAx val="567554704"/>
        <c:crosses val="autoZero"/>
        <c:auto val="1"/>
        <c:lblAlgn val="ctr"/>
        <c:lblOffset val="100"/>
        <c:noMultiLvlLbl val="0"/>
      </c:catAx>
      <c:valAx>
        <c:axId val="567554704"/>
        <c:scaling>
          <c:orientation val="minMax"/>
        </c:scaling>
        <c:delete val="1"/>
        <c:axPos val="l"/>
        <c:numFmt formatCode="General" sourceLinked="1"/>
        <c:majorTickMark val="none"/>
        <c:minorTickMark val="none"/>
        <c:tickLblPos val="nextTo"/>
        <c:crossAx val="4019313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ITC Avant Garde" panose="020B04020202030203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ITC Avant Garde" panose="020B0402020203020304" pitchFamily="34" charset="0"/>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ITC Avant Garde" panose="020B0402020203020304" pitchFamily="34" charset="0"/>
                <a:ea typeface="+mn-ea"/>
                <a:cs typeface="+mn-cs"/>
              </a:defRPr>
            </a:pPr>
            <a:r>
              <a:rPr lang="es-MX"/>
              <a:t>Tabla 6. Transparencia en la sustanciación de los trámites</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ITC Avant Garde" panose="020B0402020203020304" pitchFamily="34" charset="0"/>
              <a:ea typeface="+mn-ea"/>
              <a:cs typeface="+mn-cs"/>
            </a:defRPr>
          </a:pPr>
          <a:endParaRPr lang="es-MX"/>
        </a:p>
      </c:txPr>
    </c:title>
    <c:autoTitleDeleted val="0"/>
    <c:plotArea>
      <c:layout/>
      <c:barChart>
        <c:barDir val="col"/>
        <c:grouping val="clustered"/>
        <c:varyColors val="0"/>
        <c:ser>
          <c:idx val="0"/>
          <c:order val="0"/>
          <c:tx>
            <c:strRef>
              <c:f>Hoja1!$B$1</c:f>
              <c:strCache>
                <c:ptCount val="1"/>
                <c:pt idx="0">
                  <c:v>Transparencia en la sustanciación de los trámites</c:v>
                </c:pt>
              </c:strCache>
            </c:strRef>
          </c:tx>
          <c:spPr>
            <a:solidFill>
              <a:srgbClr val="92D050"/>
            </a:solidFill>
            <a:ln>
              <a:solidFill>
                <a:srgbClr val="92D050"/>
              </a:solidFill>
            </a:ln>
            <a:effectLst/>
          </c:spPr>
          <c:invertIfNegative val="0"/>
          <c:cat>
            <c:strRef>
              <c:f>Hoja1!$A$2:$A$6</c:f>
              <c:strCache>
                <c:ptCount val="5"/>
                <c:pt idx="0">
                  <c:v>Muy Insatisfecha</c:v>
                </c:pt>
                <c:pt idx="1">
                  <c:v>Insatisfecha</c:v>
                </c:pt>
                <c:pt idx="2">
                  <c:v>Neutral</c:v>
                </c:pt>
                <c:pt idx="3">
                  <c:v>Satisfecha</c:v>
                </c:pt>
                <c:pt idx="4">
                  <c:v>Muy satisfecha</c:v>
                </c:pt>
              </c:strCache>
            </c:strRef>
          </c:cat>
          <c:val>
            <c:numRef>
              <c:f>Hoja1!$B$2:$B$6</c:f>
              <c:numCache>
                <c:formatCode>General</c:formatCode>
                <c:ptCount val="5"/>
                <c:pt idx="0">
                  <c:v>0</c:v>
                </c:pt>
                <c:pt idx="1">
                  <c:v>0</c:v>
                </c:pt>
                <c:pt idx="2">
                  <c:v>3</c:v>
                </c:pt>
                <c:pt idx="3">
                  <c:v>2</c:v>
                </c:pt>
                <c:pt idx="4">
                  <c:v>0</c:v>
                </c:pt>
              </c:numCache>
            </c:numRef>
          </c:val>
          <c:extLst>
            <c:ext xmlns:c16="http://schemas.microsoft.com/office/drawing/2014/chart" uri="{C3380CC4-5D6E-409C-BE32-E72D297353CC}">
              <c16:uniqueId val="{00000000-281C-4769-BA10-26CB89F5FC70}"/>
            </c:ext>
          </c:extLst>
        </c:ser>
        <c:dLbls>
          <c:showLegendKey val="0"/>
          <c:showVal val="0"/>
          <c:showCatName val="0"/>
          <c:showSerName val="0"/>
          <c:showPercent val="0"/>
          <c:showBubbleSize val="0"/>
        </c:dLbls>
        <c:gapWidth val="219"/>
        <c:overlap val="-27"/>
        <c:axId val="2030868783"/>
        <c:axId val="2030871183"/>
      </c:barChart>
      <c:catAx>
        <c:axId val="2030868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pitchFamily="34" charset="0"/>
                <a:ea typeface="+mn-ea"/>
                <a:cs typeface="+mn-cs"/>
              </a:defRPr>
            </a:pPr>
            <a:endParaRPr lang="es-MX"/>
          </a:p>
        </c:txPr>
        <c:crossAx val="2030871183"/>
        <c:crosses val="autoZero"/>
        <c:auto val="1"/>
        <c:lblAlgn val="ctr"/>
        <c:lblOffset val="100"/>
        <c:noMultiLvlLbl val="0"/>
      </c:catAx>
      <c:valAx>
        <c:axId val="2030871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pitchFamily="34" charset="0"/>
                <a:ea typeface="+mn-ea"/>
                <a:cs typeface="+mn-cs"/>
              </a:defRPr>
            </a:pPr>
            <a:endParaRPr lang="es-MX"/>
          </a:p>
        </c:txPr>
        <c:crossAx val="2030868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ITC Avant Garde" panose="020B04020202030203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ITC Avant Garde" panose="020B0402020203020304" pitchFamily="34" charset="0"/>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ITC Avant Garde" panose="020B0402020203020304" pitchFamily="34" charset="0"/>
                <a:ea typeface="+mn-ea"/>
                <a:cs typeface="+mn-cs"/>
              </a:defRPr>
            </a:pPr>
            <a:r>
              <a:rPr lang="en-US"/>
              <a:t>Tabla 7. Efectividad de los canales para expresar opiniones</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ITC Avant Garde" panose="020B0402020203020304" pitchFamily="34" charset="0"/>
              <a:ea typeface="+mn-ea"/>
              <a:cs typeface="+mn-cs"/>
            </a:defRPr>
          </a:pPr>
          <a:endParaRPr lang="es-MX"/>
        </a:p>
      </c:txPr>
    </c:title>
    <c:autoTitleDeleted val="0"/>
    <c:plotArea>
      <c:layout/>
      <c:barChart>
        <c:barDir val="col"/>
        <c:grouping val="clustered"/>
        <c:varyColors val="0"/>
        <c:ser>
          <c:idx val="0"/>
          <c:order val="0"/>
          <c:tx>
            <c:strRef>
              <c:f>Hoja1!$B$1</c:f>
              <c:strCache>
                <c:ptCount val="1"/>
                <c:pt idx="0">
                  <c:v>Efectividad de los canales para expresar opiniones</c:v>
                </c:pt>
              </c:strCache>
            </c:strRef>
          </c:tx>
          <c:spPr>
            <a:solidFill>
              <a:srgbClr val="92D050"/>
            </a:solidFill>
            <a:ln>
              <a:noFill/>
            </a:ln>
            <a:effectLst/>
          </c:spPr>
          <c:invertIfNegative val="0"/>
          <c:cat>
            <c:strRef>
              <c:f>Hoja1!$A$2:$A$7</c:f>
              <c:strCache>
                <c:ptCount val="6"/>
                <c:pt idx="0">
                  <c:v>Muy inefectivos</c:v>
                </c:pt>
                <c:pt idx="1">
                  <c:v>Inefectivos</c:v>
                </c:pt>
                <c:pt idx="2">
                  <c:v>Moderadamente efectivos</c:v>
                </c:pt>
                <c:pt idx="3">
                  <c:v>Efectivos</c:v>
                </c:pt>
                <c:pt idx="4">
                  <c:v>Muy efectivos</c:v>
                </c:pt>
                <c:pt idx="5">
                  <c:v>No los he utilizado</c:v>
                </c:pt>
              </c:strCache>
            </c:strRef>
          </c:cat>
          <c:val>
            <c:numRef>
              <c:f>Hoja1!$B$2:$B$7</c:f>
              <c:numCache>
                <c:formatCode>General</c:formatCode>
                <c:ptCount val="6"/>
                <c:pt idx="0">
                  <c:v>0</c:v>
                </c:pt>
                <c:pt idx="1">
                  <c:v>0</c:v>
                </c:pt>
                <c:pt idx="2">
                  <c:v>3</c:v>
                </c:pt>
                <c:pt idx="3">
                  <c:v>0</c:v>
                </c:pt>
                <c:pt idx="4">
                  <c:v>0</c:v>
                </c:pt>
                <c:pt idx="5">
                  <c:v>2</c:v>
                </c:pt>
              </c:numCache>
            </c:numRef>
          </c:val>
          <c:extLst>
            <c:ext xmlns:c16="http://schemas.microsoft.com/office/drawing/2014/chart" uri="{C3380CC4-5D6E-409C-BE32-E72D297353CC}">
              <c16:uniqueId val="{00000000-2AB3-4856-A96F-4EE75B8BB458}"/>
            </c:ext>
          </c:extLst>
        </c:ser>
        <c:dLbls>
          <c:showLegendKey val="0"/>
          <c:showVal val="0"/>
          <c:showCatName val="0"/>
          <c:showSerName val="0"/>
          <c:showPercent val="0"/>
          <c:showBubbleSize val="0"/>
        </c:dLbls>
        <c:gapWidth val="219"/>
        <c:overlap val="-27"/>
        <c:axId val="1114863487"/>
        <c:axId val="1114864927"/>
      </c:barChart>
      <c:catAx>
        <c:axId val="1114863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crossAx val="1114864927"/>
        <c:crosses val="autoZero"/>
        <c:auto val="1"/>
        <c:lblAlgn val="ctr"/>
        <c:lblOffset val="100"/>
        <c:noMultiLvlLbl val="0"/>
      </c:catAx>
      <c:valAx>
        <c:axId val="1114864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crossAx val="1114863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ITC Avant Garde" panose="020B0402020203020304" pitchFamily="34" charset="0"/>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ITC Avant Garde" panose="020B0402020203020304" pitchFamily="34" charset="0"/>
                <a:ea typeface="+mn-ea"/>
                <a:cs typeface="+mn-cs"/>
              </a:defRPr>
            </a:pPr>
            <a:r>
              <a:rPr lang="en-US"/>
              <a:t>Tabla 8. Funciones de accesibilidad de la Ventanilla Electrónica</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ITC Avant Garde" panose="020B0402020203020304" pitchFamily="34" charset="0"/>
              <a:ea typeface="+mn-ea"/>
              <a:cs typeface="+mn-cs"/>
            </a:defRPr>
          </a:pPr>
          <a:endParaRPr lang="es-MX"/>
        </a:p>
      </c:txPr>
    </c:title>
    <c:autoTitleDeleted val="0"/>
    <c:plotArea>
      <c:layout/>
      <c:barChart>
        <c:barDir val="col"/>
        <c:grouping val="clustered"/>
        <c:varyColors val="0"/>
        <c:ser>
          <c:idx val="0"/>
          <c:order val="0"/>
          <c:tx>
            <c:strRef>
              <c:f>Hoja1!$B$1</c:f>
              <c:strCache>
                <c:ptCount val="1"/>
                <c:pt idx="0">
                  <c:v>Funciones de accesibilidad de la Ventanilla Electrónica</c:v>
                </c:pt>
              </c:strCache>
            </c:strRef>
          </c:tx>
          <c:spPr>
            <a:solidFill>
              <a:srgbClr val="92D050"/>
            </a:solidFill>
            <a:ln>
              <a:noFill/>
            </a:ln>
            <a:effectLst/>
          </c:spPr>
          <c:invertIfNegative val="0"/>
          <c:cat>
            <c:strRef>
              <c:f>Hoja1!$A$2:$A$4</c:f>
              <c:strCache>
                <c:ptCount val="3"/>
                <c:pt idx="0">
                  <c:v>Sí</c:v>
                </c:pt>
                <c:pt idx="1">
                  <c:v>No</c:v>
                </c:pt>
                <c:pt idx="2">
                  <c:v>Lo desconozco</c:v>
                </c:pt>
              </c:strCache>
            </c:strRef>
          </c:cat>
          <c:val>
            <c:numRef>
              <c:f>Hoja1!$B$2:$B$4</c:f>
              <c:numCache>
                <c:formatCode>General</c:formatCode>
                <c:ptCount val="3"/>
                <c:pt idx="0">
                  <c:v>0</c:v>
                </c:pt>
                <c:pt idx="1">
                  <c:v>2</c:v>
                </c:pt>
                <c:pt idx="2">
                  <c:v>3</c:v>
                </c:pt>
              </c:numCache>
            </c:numRef>
          </c:val>
          <c:extLst>
            <c:ext xmlns:c16="http://schemas.microsoft.com/office/drawing/2014/chart" uri="{C3380CC4-5D6E-409C-BE32-E72D297353CC}">
              <c16:uniqueId val="{00000000-276E-4E0A-A877-2EA51109A883}"/>
            </c:ext>
          </c:extLst>
        </c:ser>
        <c:dLbls>
          <c:showLegendKey val="0"/>
          <c:showVal val="0"/>
          <c:showCatName val="0"/>
          <c:showSerName val="0"/>
          <c:showPercent val="0"/>
          <c:showBubbleSize val="0"/>
        </c:dLbls>
        <c:gapWidth val="219"/>
        <c:overlap val="-27"/>
        <c:axId val="820922608"/>
        <c:axId val="820923088"/>
      </c:barChart>
      <c:catAx>
        <c:axId val="82092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crossAx val="820923088"/>
        <c:crosses val="autoZero"/>
        <c:auto val="1"/>
        <c:lblAlgn val="ctr"/>
        <c:lblOffset val="100"/>
        <c:noMultiLvlLbl val="0"/>
      </c:catAx>
      <c:valAx>
        <c:axId val="820923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crossAx val="82092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ITC Avant Garde" panose="020B0402020203020304" pitchFamily="34" charset="0"/>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ITC Avant Garde" panose="020B0402020203020304" pitchFamily="34" charset="0"/>
                <a:ea typeface="+mn-ea"/>
                <a:cs typeface="+mn-cs"/>
              </a:defRPr>
            </a:pPr>
            <a:r>
              <a:rPr lang="en-US"/>
              <a:t>Tabla 9. Frecuencia de contacto para asesoría</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ITC Avant Garde" panose="020B0402020203020304" pitchFamily="34" charset="0"/>
              <a:ea typeface="+mn-ea"/>
              <a:cs typeface="+mn-cs"/>
            </a:defRPr>
          </a:pPr>
          <a:endParaRPr lang="es-MX"/>
        </a:p>
      </c:txPr>
    </c:title>
    <c:autoTitleDeleted val="0"/>
    <c:plotArea>
      <c:layout/>
      <c:barChart>
        <c:barDir val="col"/>
        <c:grouping val="clustered"/>
        <c:varyColors val="0"/>
        <c:ser>
          <c:idx val="0"/>
          <c:order val="0"/>
          <c:tx>
            <c:strRef>
              <c:f>Hoja1!$B$1</c:f>
              <c:strCache>
                <c:ptCount val="1"/>
                <c:pt idx="0">
                  <c:v>Frecuencia de contacto para asesoría</c:v>
                </c:pt>
              </c:strCache>
            </c:strRef>
          </c:tx>
          <c:spPr>
            <a:solidFill>
              <a:srgbClr val="92D050"/>
            </a:solidFill>
            <a:ln>
              <a:noFill/>
            </a:ln>
            <a:effectLst/>
          </c:spPr>
          <c:invertIfNegative val="0"/>
          <c:cat>
            <c:strRef>
              <c:f>Hoja1!$A$2:$A$6</c:f>
              <c:strCache>
                <c:ptCount val="5"/>
                <c:pt idx="0">
                  <c:v>Muy frecuentemente</c:v>
                </c:pt>
                <c:pt idx="1">
                  <c:v>Frecuentemente</c:v>
                </c:pt>
                <c:pt idx="2">
                  <c:v>Ocasionalmente</c:v>
                </c:pt>
                <c:pt idx="3">
                  <c:v>Raramente</c:v>
                </c:pt>
                <c:pt idx="4">
                  <c:v>Nunca</c:v>
                </c:pt>
              </c:strCache>
            </c:strRef>
          </c:cat>
          <c:val>
            <c:numRef>
              <c:f>Hoja1!$B$2:$B$6</c:f>
              <c:numCache>
                <c:formatCode>General</c:formatCode>
                <c:ptCount val="5"/>
                <c:pt idx="0">
                  <c:v>0</c:v>
                </c:pt>
                <c:pt idx="1">
                  <c:v>0</c:v>
                </c:pt>
                <c:pt idx="2">
                  <c:v>5</c:v>
                </c:pt>
                <c:pt idx="3">
                  <c:v>0</c:v>
                </c:pt>
                <c:pt idx="4">
                  <c:v>0</c:v>
                </c:pt>
              </c:numCache>
            </c:numRef>
          </c:val>
          <c:extLst>
            <c:ext xmlns:c16="http://schemas.microsoft.com/office/drawing/2014/chart" uri="{C3380CC4-5D6E-409C-BE32-E72D297353CC}">
              <c16:uniqueId val="{00000000-9106-464B-9D25-76A7DEA06724}"/>
            </c:ext>
          </c:extLst>
        </c:ser>
        <c:dLbls>
          <c:showLegendKey val="0"/>
          <c:showVal val="0"/>
          <c:showCatName val="0"/>
          <c:showSerName val="0"/>
          <c:showPercent val="0"/>
          <c:showBubbleSize val="0"/>
        </c:dLbls>
        <c:gapWidth val="219"/>
        <c:overlap val="-27"/>
        <c:axId val="532387008"/>
        <c:axId val="532385568"/>
      </c:barChart>
      <c:catAx>
        <c:axId val="53238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crossAx val="532385568"/>
        <c:crosses val="autoZero"/>
        <c:auto val="1"/>
        <c:lblAlgn val="ctr"/>
        <c:lblOffset val="100"/>
        <c:noMultiLvlLbl val="0"/>
      </c:catAx>
      <c:valAx>
        <c:axId val="532385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crossAx val="53238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ITC Avant Garde" panose="020B04020202030203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ITC Avant Garde" panose="020B0402020203020304" pitchFamily="34"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 id="19">
  <a:schemeClr val="accent6"/>
</cs:colorStyle>
</file>

<file path=word/charts/colors18.xml><?xml version="1.0" encoding="utf-8"?>
<cs:colorStyle xmlns:cs="http://schemas.microsoft.com/office/drawing/2012/chartStyle" xmlns:a="http://schemas.openxmlformats.org/drawingml/2006/main" meth="withinLinear" id="19">
  <a:schemeClr val="accent6"/>
</cs:colorStyle>
</file>

<file path=word/charts/colors19.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45F82"/>
    </a:accent1>
    <a:accent2>
      <a:srgbClr val="E87331"/>
    </a:accent2>
    <a:accent3>
      <a:srgbClr val="186C24"/>
    </a:accent3>
    <a:accent4>
      <a:srgbClr val="0F9ED5"/>
    </a:accent4>
    <a:accent5>
      <a:srgbClr val="A02B93"/>
    </a:accent5>
    <a:accent6>
      <a:srgbClr val="4EA72E"/>
    </a:accent6>
    <a:hlink>
      <a:srgbClr val="467886"/>
    </a:hlink>
    <a:folHlink>
      <a:srgbClr val="96607D"/>
    </a:folHlink>
  </a:clrScheme>
  <a:fontScheme name="Office">
    <a:majorFont>
      <a:latin typeface="Aptos Display"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45F82"/>
    </a:accent1>
    <a:accent2>
      <a:srgbClr val="E87331"/>
    </a:accent2>
    <a:accent3>
      <a:srgbClr val="186C24"/>
    </a:accent3>
    <a:accent4>
      <a:srgbClr val="0F9ED5"/>
    </a:accent4>
    <a:accent5>
      <a:srgbClr val="A02B93"/>
    </a:accent5>
    <a:accent6>
      <a:srgbClr val="4EA72E"/>
    </a:accent6>
    <a:hlink>
      <a:srgbClr val="467886"/>
    </a:hlink>
    <a:folHlink>
      <a:srgbClr val="96607D"/>
    </a:folHlink>
  </a:clrScheme>
  <a:fontScheme name="Office">
    <a:majorFont>
      <a:latin typeface="Aptos Display"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23814-1BF7-4664-8E89-DF116F1CA911}">
  <ds:schemaRefs>
    <ds:schemaRef ds:uri="http://schemas.openxmlformats.org/officeDocument/2006/bibliography"/>
  </ds:schemaRefs>
</ds:datastoreItem>
</file>

<file path=docMetadata/LabelInfo.xml><?xml version="1.0" encoding="utf-8"?>
<clbl:labelList xmlns:clbl="http://schemas.microsoft.com/office/2020/mipLabelMetadata">
  <clbl:label id="{7f4d25dc-0cb0-4908-89bf-16102a1937e6}" enabled="0" method="" siteId="{7f4d25dc-0cb0-4908-89bf-16102a1937e6}" removed="1"/>
</clbl:labelList>
</file>

<file path=docProps/app.xml><?xml version="1.0" encoding="utf-8"?>
<Properties xmlns="http://schemas.openxmlformats.org/officeDocument/2006/extended-properties" xmlns:vt="http://schemas.openxmlformats.org/officeDocument/2006/docPropsVTypes">
  <Template>Normal</Template>
  <TotalTime>1</TotalTime>
  <Pages>41</Pages>
  <Words>13891</Words>
  <Characters>76404</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INSTITUTO FEDERAL DE TELECOMUNICACIONES</Company>
  <LinksUpToDate>false</LinksUpToDate>
  <CharactersWithSpaces>90115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Pina Vega</dc:creator>
  <cp:keywords/>
  <dc:description/>
  <cp:lastModifiedBy>Josue Teoyotl Calderon</cp:lastModifiedBy>
  <cp:revision>2</cp:revision>
  <dcterms:created xsi:type="dcterms:W3CDTF">2025-01-06T20:09:00Z</dcterms:created>
  <dcterms:modified xsi:type="dcterms:W3CDTF">2025-01-06T20:09:00Z</dcterms:modified>
</cp:coreProperties>
</file>