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D18D" w14:textId="7E1E4CC1" w:rsidR="00044C6B" w:rsidRPr="00CE7FC6" w:rsidRDefault="00044C6B" w:rsidP="00044C6B">
      <w:pPr>
        <w:jc w:val="both"/>
        <w:rPr>
          <w:rFonts w:ascii="ITC Avant Garde" w:hAnsi="ITC Avant Garde"/>
          <w:b/>
          <w:i/>
          <w:sz w:val="20"/>
          <w:szCs w:val="20"/>
        </w:rPr>
      </w:pPr>
      <w:r w:rsidRPr="00CE7FC6">
        <w:rPr>
          <w:rFonts w:ascii="ITC Avant Garde" w:hAnsi="ITC Avant Garde"/>
          <w:b/>
          <w:sz w:val="20"/>
          <w:szCs w:val="20"/>
        </w:rPr>
        <w:t xml:space="preserve">INFORME DE CONSIDERACIONES DE LOS COMENTARIOS, OBSERVACIONES, PROPUESTAS Y/O APORTACIONES RECIBIDAS DURANTE LA </w:t>
      </w:r>
      <w:r w:rsidR="00A61411" w:rsidRPr="00A61411">
        <w:rPr>
          <w:rFonts w:ascii="ITC Avant Garde" w:hAnsi="ITC Avant Garde"/>
          <w:b/>
          <w:i/>
          <w:sz w:val="20"/>
          <w:szCs w:val="20"/>
        </w:rPr>
        <w:t>CONSULTA PÚBLICA DE INTEGRACIÓN SOBRE EL “ESQUEMA DE MAYOR GRANULARIDAD DE ÁREAS GEOGRÁFICAS PARA SERVICIOS DE TELECOMUNICACIONES INALÁMBRICAS - ÁREAS PARCIALES DE SERVICIO.”</w:t>
      </w:r>
    </w:p>
    <w:p w14:paraId="6829E817" w14:textId="77777777" w:rsidR="00044C6B" w:rsidRPr="00CE7FC6" w:rsidRDefault="00044C6B" w:rsidP="00044C6B">
      <w:pPr>
        <w:pStyle w:val="Prrafodelista"/>
        <w:numPr>
          <w:ilvl w:val="0"/>
          <w:numId w:val="1"/>
        </w:numPr>
        <w:ind w:left="567"/>
        <w:jc w:val="both"/>
        <w:rPr>
          <w:rFonts w:ascii="ITC Avant Garde" w:hAnsi="ITC Avant Garde"/>
          <w:b/>
          <w:sz w:val="20"/>
          <w:szCs w:val="20"/>
        </w:rPr>
      </w:pPr>
      <w:r w:rsidRPr="00CE7FC6">
        <w:rPr>
          <w:rFonts w:ascii="ITC Avant Garde" w:hAnsi="ITC Avant Garde"/>
          <w:b/>
          <w:sz w:val="20"/>
          <w:szCs w:val="20"/>
        </w:rPr>
        <w:t xml:space="preserve">Fecha de elaboración del presente Informe </w:t>
      </w:r>
    </w:p>
    <w:p w14:paraId="2AB9AFC5" w14:textId="3754FC40" w:rsidR="00044C6B" w:rsidRPr="00CE7FC6" w:rsidRDefault="00197A66" w:rsidP="00044C6B">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0</w:t>
      </w:r>
      <w:r w:rsidR="0022412D">
        <w:rPr>
          <w:rFonts w:ascii="ITC Avant Garde" w:hAnsi="ITC Avant Garde"/>
          <w:color w:val="000000"/>
          <w:sz w:val="20"/>
          <w:szCs w:val="20"/>
          <w:shd w:val="clear" w:color="auto" w:fill="FFFFFF"/>
        </w:rPr>
        <w:t>3</w:t>
      </w:r>
      <w:r w:rsidR="00044C6B" w:rsidRPr="00C642C8">
        <w:rPr>
          <w:rFonts w:ascii="ITC Avant Garde" w:hAnsi="ITC Avant Garde"/>
          <w:color w:val="000000"/>
          <w:sz w:val="20"/>
          <w:szCs w:val="20"/>
          <w:shd w:val="clear" w:color="auto" w:fill="FFFFFF"/>
        </w:rPr>
        <w:t xml:space="preserve"> de </w:t>
      </w:r>
      <w:r>
        <w:rPr>
          <w:rFonts w:ascii="ITC Avant Garde" w:hAnsi="ITC Avant Garde"/>
          <w:color w:val="000000"/>
          <w:sz w:val="20"/>
          <w:szCs w:val="20"/>
          <w:shd w:val="clear" w:color="auto" w:fill="FFFFFF"/>
        </w:rPr>
        <w:t>mayo</w:t>
      </w:r>
      <w:r w:rsidR="002C1144">
        <w:rPr>
          <w:rFonts w:ascii="ITC Avant Garde" w:hAnsi="ITC Avant Garde"/>
          <w:color w:val="000000"/>
          <w:sz w:val="20"/>
          <w:szCs w:val="20"/>
          <w:shd w:val="clear" w:color="auto" w:fill="FFFFFF"/>
        </w:rPr>
        <w:t xml:space="preserve"> del 2024</w:t>
      </w:r>
      <w:r w:rsidR="00044C6B" w:rsidRPr="00C642C8">
        <w:rPr>
          <w:rFonts w:ascii="ITC Avant Garde" w:hAnsi="ITC Avant Garde"/>
          <w:color w:val="000000"/>
          <w:sz w:val="20"/>
          <w:szCs w:val="20"/>
          <w:shd w:val="clear" w:color="auto" w:fill="FFFFFF"/>
        </w:rPr>
        <w:t>.</w:t>
      </w:r>
    </w:p>
    <w:p w14:paraId="3098E43F" w14:textId="77777777" w:rsidR="00044C6B" w:rsidRPr="00CE7FC6" w:rsidRDefault="00044C6B" w:rsidP="00044C6B">
      <w:pPr>
        <w:pStyle w:val="Prrafodelista"/>
        <w:ind w:left="142"/>
        <w:jc w:val="both"/>
        <w:rPr>
          <w:rFonts w:ascii="ITC Avant Garde" w:hAnsi="ITC Avant Garde"/>
          <w:color w:val="000000"/>
          <w:sz w:val="20"/>
          <w:szCs w:val="20"/>
          <w:shd w:val="clear" w:color="auto" w:fill="FFFFFF"/>
        </w:rPr>
      </w:pPr>
    </w:p>
    <w:p w14:paraId="747909E5" w14:textId="77777777" w:rsidR="00044C6B" w:rsidRPr="00CE7FC6" w:rsidRDefault="00044C6B" w:rsidP="00044C6B">
      <w:pPr>
        <w:pStyle w:val="Prrafodelista"/>
        <w:numPr>
          <w:ilvl w:val="0"/>
          <w:numId w:val="1"/>
        </w:numPr>
        <w:ind w:left="567"/>
        <w:jc w:val="both"/>
        <w:rPr>
          <w:rFonts w:ascii="ITC Avant Garde" w:hAnsi="ITC Avant Garde"/>
          <w:b/>
          <w:sz w:val="20"/>
          <w:szCs w:val="20"/>
        </w:rPr>
      </w:pPr>
      <w:r w:rsidRPr="00CE7FC6">
        <w:rPr>
          <w:rFonts w:ascii="ITC Avant Garde" w:hAnsi="ITC Avant Garde"/>
          <w:b/>
          <w:sz w:val="20"/>
          <w:szCs w:val="20"/>
        </w:rPr>
        <w:t xml:space="preserve">Área responsable de la Consulta Pública de </w:t>
      </w:r>
      <w:r>
        <w:rPr>
          <w:rFonts w:ascii="ITC Avant Garde" w:hAnsi="ITC Avant Garde"/>
          <w:b/>
          <w:sz w:val="20"/>
          <w:szCs w:val="20"/>
        </w:rPr>
        <w:t>Anteproyecto</w:t>
      </w:r>
      <w:r w:rsidRPr="00CE7FC6">
        <w:rPr>
          <w:rFonts w:ascii="ITC Avant Garde" w:hAnsi="ITC Avant Garde"/>
          <w:b/>
          <w:sz w:val="20"/>
          <w:szCs w:val="20"/>
        </w:rPr>
        <w:t xml:space="preserve"> y de la elaboración del presente Informe.</w:t>
      </w:r>
    </w:p>
    <w:p w14:paraId="627D7B31" w14:textId="77777777" w:rsidR="00044C6B" w:rsidRPr="00CE7FC6" w:rsidRDefault="00044C6B" w:rsidP="00044C6B">
      <w:pPr>
        <w:jc w:val="both"/>
        <w:rPr>
          <w:rFonts w:ascii="ITC Avant Garde" w:hAnsi="ITC Avant Garde"/>
          <w:color w:val="000000"/>
          <w:sz w:val="20"/>
          <w:szCs w:val="20"/>
          <w:shd w:val="clear" w:color="auto" w:fill="FFFFFF"/>
        </w:rPr>
      </w:pPr>
      <w:r w:rsidRPr="00CE7FC6">
        <w:rPr>
          <w:rFonts w:ascii="ITC Avant Garde" w:hAnsi="ITC Avant Garde"/>
          <w:color w:val="000000"/>
          <w:sz w:val="20"/>
          <w:szCs w:val="20"/>
          <w:shd w:val="clear" w:color="auto" w:fill="FFFFFF"/>
        </w:rPr>
        <w:t>Dirección General de Planeación del Espectro Radioeléctrico adscrita a la Unidad de Espectro Radioeléctrico.</w:t>
      </w:r>
    </w:p>
    <w:p w14:paraId="02EC0150" w14:textId="77777777" w:rsidR="00044C6B" w:rsidRPr="00CE7FC6" w:rsidRDefault="00044C6B" w:rsidP="00044C6B">
      <w:pPr>
        <w:pStyle w:val="Prrafodelista"/>
        <w:ind w:left="142"/>
        <w:jc w:val="both"/>
        <w:rPr>
          <w:rFonts w:ascii="ITC Avant Garde" w:hAnsi="ITC Avant Garde"/>
          <w:color w:val="000000"/>
          <w:sz w:val="20"/>
          <w:szCs w:val="20"/>
          <w:shd w:val="clear" w:color="auto" w:fill="FFFFFF"/>
        </w:rPr>
      </w:pPr>
    </w:p>
    <w:p w14:paraId="32FB0CDD" w14:textId="77777777" w:rsidR="00044C6B" w:rsidRPr="0044526F" w:rsidRDefault="00044C6B" w:rsidP="00044C6B">
      <w:pPr>
        <w:pStyle w:val="Prrafodelista"/>
        <w:numPr>
          <w:ilvl w:val="0"/>
          <w:numId w:val="1"/>
        </w:numPr>
        <w:ind w:left="567"/>
        <w:jc w:val="both"/>
        <w:rPr>
          <w:rFonts w:ascii="ITC Avant Garde" w:hAnsi="ITC Avant Garde"/>
          <w:b/>
          <w:color w:val="000000"/>
          <w:sz w:val="20"/>
          <w:szCs w:val="20"/>
          <w:shd w:val="clear" w:color="auto" w:fill="FFFFFF"/>
        </w:rPr>
      </w:pPr>
      <w:r w:rsidRPr="0044526F">
        <w:rPr>
          <w:rFonts w:ascii="ITC Avant Garde" w:hAnsi="ITC Avant Garde"/>
          <w:b/>
          <w:color w:val="000000"/>
          <w:sz w:val="20"/>
          <w:szCs w:val="20"/>
          <w:shd w:val="clear" w:color="auto" w:fill="FFFFFF"/>
        </w:rPr>
        <w:t>Antecedentes de la Consulta Pública de Anteproyecto:</w:t>
      </w:r>
    </w:p>
    <w:p w14:paraId="7E29F5C4" w14:textId="53E445F1" w:rsidR="00044C6B" w:rsidRPr="00214858" w:rsidRDefault="00197A66" w:rsidP="00044C6B">
      <w:pPr>
        <w:jc w:val="both"/>
        <w:rPr>
          <w:rFonts w:ascii="ITC Avant Garde" w:hAnsi="ITC Avant Garde" w:cs="Segoe UI"/>
          <w:color w:val="000000"/>
          <w:sz w:val="20"/>
          <w:szCs w:val="20"/>
          <w:shd w:val="clear" w:color="auto" w:fill="FFFFFF"/>
        </w:rPr>
      </w:pPr>
      <w:r>
        <w:rPr>
          <w:rFonts w:ascii="ITC Avant Garde" w:hAnsi="ITC Avant Garde" w:cs="Segoe UI"/>
          <w:color w:val="000000"/>
          <w:sz w:val="20"/>
          <w:szCs w:val="20"/>
          <w:shd w:val="clear" w:color="auto" w:fill="FFFFFF"/>
        </w:rPr>
        <w:t>N/A</w:t>
      </w:r>
    </w:p>
    <w:p w14:paraId="2AC64C7A" w14:textId="77777777" w:rsidR="00044C6B" w:rsidRPr="00CE7FC6" w:rsidRDefault="00044C6B" w:rsidP="00044C6B">
      <w:pPr>
        <w:pStyle w:val="Prrafodelista"/>
        <w:numPr>
          <w:ilvl w:val="0"/>
          <w:numId w:val="1"/>
        </w:numPr>
        <w:ind w:left="567"/>
        <w:jc w:val="both"/>
        <w:rPr>
          <w:rFonts w:ascii="ITC Avant Garde" w:hAnsi="ITC Avant Garde"/>
          <w:b/>
          <w:sz w:val="20"/>
          <w:szCs w:val="20"/>
        </w:rPr>
      </w:pPr>
      <w:r w:rsidRPr="00CE7FC6">
        <w:rPr>
          <w:rFonts w:ascii="ITC Avant Garde" w:hAnsi="ITC Avant Garde"/>
          <w:b/>
          <w:sz w:val="20"/>
          <w:szCs w:val="20"/>
        </w:rPr>
        <w:t xml:space="preserve">Descripción de la Consulta Pública de </w:t>
      </w:r>
      <w:r>
        <w:rPr>
          <w:rFonts w:ascii="ITC Avant Garde" w:hAnsi="ITC Avant Garde"/>
          <w:b/>
          <w:sz w:val="20"/>
          <w:szCs w:val="20"/>
        </w:rPr>
        <w:t>Anteproyecto</w:t>
      </w:r>
      <w:r w:rsidRPr="00CE7FC6">
        <w:rPr>
          <w:rFonts w:ascii="ITC Avant Garde" w:hAnsi="ITC Avant Garde"/>
          <w:b/>
          <w:sz w:val="20"/>
          <w:szCs w:val="20"/>
        </w:rPr>
        <w:t>:</w:t>
      </w:r>
    </w:p>
    <w:p w14:paraId="1470A9EF" w14:textId="1ABB22C4" w:rsidR="00044C6B" w:rsidRDefault="00044C6B" w:rsidP="00044C6B">
      <w:pPr>
        <w:jc w:val="both"/>
        <w:rPr>
          <w:rFonts w:ascii="ITC Avant Garde" w:hAnsi="ITC Avant Garde"/>
          <w:color w:val="000000"/>
          <w:sz w:val="20"/>
          <w:szCs w:val="20"/>
          <w:shd w:val="clear" w:color="auto" w:fill="FFFFFF"/>
        </w:rPr>
      </w:pPr>
      <w:r w:rsidRPr="00CE7FC6">
        <w:rPr>
          <w:rFonts w:ascii="ITC Avant Garde" w:hAnsi="ITC Avant Garde"/>
          <w:color w:val="000000"/>
          <w:sz w:val="20"/>
          <w:szCs w:val="20"/>
          <w:shd w:val="clear" w:color="auto" w:fill="FFFFFF"/>
        </w:rPr>
        <w:t xml:space="preserve">El </w:t>
      </w:r>
      <w:r w:rsidR="00197A66">
        <w:rPr>
          <w:rFonts w:ascii="ITC Avant Garde" w:hAnsi="ITC Avant Garde"/>
          <w:color w:val="000000"/>
          <w:sz w:val="20"/>
          <w:szCs w:val="20"/>
          <w:shd w:val="clear" w:color="auto" w:fill="FFFFFF"/>
        </w:rPr>
        <w:t>1</w:t>
      </w:r>
      <w:r w:rsidR="00853C5A">
        <w:rPr>
          <w:rFonts w:ascii="ITC Avant Garde" w:hAnsi="ITC Avant Garde"/>
          <w:color w:val="000000"/>
          <w:sz w:val="20"/>
          <w:szCs w:val="20"/>
          <w:shd w:val="clear" w:color="auto" w:fill="FFFFFF"/>
        </w:rPr>
        <w:t>3</w:t>
      </w:r>
      <w:r w:rsidR="00197A66">
        <w:rPr>
          <w:rFonts w:ascii="ITC Avant Garde" w:hAnsi="ITC Avant Garde"/>
          <w:color w:val="000000"/>
          <w:sz w:val="20"/>
          <w:szCs w:val="20"/>
          <w:shd w:val="clear" w:color="auto" w:fill="FFFFFF"/>
        </w:rPr>
        <w:t xml:space="preserve"> de febrero del 2024</w:t>
      </w:r>
      <w:r w:rsidR="00FE0A32">
        <w:rPr>
          <w:rFonts w:ascii="ITC Avant Garde" w:hAnsi="ITC Avant Garde"/>
          <w:color w:val="000000"/>
          <w:sz w:val="20"/>
          <w:szCs w:val="20"/>
          <w:shd w:val="clear" w:color="auto" w:fill="FFFFFF"/>
        </w:rPr>
        <w:t>,</w:t>
      </w:r>
      <w:r w:rsidRPr="00CE7FC6">
        <w:rPr>
          <w:rFonts w:ascii="ITC Avant Garde" w:hAnsi="ITC Avant Garde"/>
          <w:color w:val="000000"/>
          <w:sz w:val="20"/>
          <w:szCs w:val="20"/>
          <w:shd w:val="clear" w:color="auto" w:fill="FFFFFF"/>
        </w:rPr>
        <w:t xml:space="preserve"> el Instituto </w:t>
      </w:r>
      <w:r w:rsidR="007F6458">
        <w:rPr>
          <w:rFonts w:ascii="ITC Avant Garde" w:hAnsi="ITC Avant Garde"/>
          <w:color w:val="000000"/>
          <w:sz w:val="20"/>
          <w:szCs w:val="20"/>
          <w:shd w:val="clear" w:color="auto" w:fill="FFFFFF"/>
        </w:rPr>
        <w:t>habilitó</w:t>
      </w:r>
      <w:r w:rsidR="007F6458" w:rsidRPr="00CE7FC6">
        <w:rPr>
          <w:rFonts w:ascii="ITC Avant Garde" w:hAnsi="ITC Avant Garde"/>
          <w:color w:val="000000"/>
          <w:sz w:val="20"/>
          <w:szCs w:val="20"/>
          <w:shd w:val="clear" w:color="auto" w:fill="FFFFFF"/>
        </w:rPr>
        <w:t xml:space="preserve"> </w:t>
      </w:r>
      <w:r w:rsidRPr="00CE7FC6">
        <w:rPr>
          <w:rFonts w:ascii="ITC Avant Garde" w:hAnsi="ITC Avant Garde"/>
          <w:color w:val="000000"/>
          <w:sz w:val="20"/>
          <w:szCs w:val="20"/>
          <w:shd w:val="clear" w:color="auto" w:fill="FFFFFF"/>
        </w:rPr>
        <w:t xml:space="preserve">a través de su página de Internet el proceso de Consulta Pública </w:t>
      </w:r>
      <w:r>
        <w:rPr>
          <w:rFonts w:ascii="ITC Avant Garde" w:hAnsi="ITC Avant Garde"/>
          <w:color w:val="000000"/>
          <w:sz w:val="20"/>
          <w:szCs w:val="20"/>
          <w:shd w:val="clear" w:color="auto" w:fill="FFFFFF"/>
        </w:rPr>
        <w:t xml:space="preserve">sobre el </w:t>
      </w:r>
      <w:r w:rsidR="00197A66" w:rsidRPr="00197A66">
        <w:rPr>
          <w:rFonts w:ascii="ITC Avant Garde" w:hAnsi="ITC Avant Garde"/>
          <w:color w:val="000000"/>
          <w:sz w:val="20"/>
          <w:szCs w:val="20"/>
          <w:shd w:val="clear" w:color="auto" w:fill="FFFFFF"/>
        </w:rPr>
        <w:t>“Esquema de mayor granularidad de Áreas Geográficas para Servicios de Telecomunicaciones Inalámbricas - Áreas Parciales de Servicio.”</w:t>
      </w:r>
      <w:r w:rsidRPr="00CE7FC6">
        <w:rPr>
          <w:rFonts w:ascii="ITC Avant Garde" w:hAnsi="ITC Avant Garde"/>
          <w:color w:val="000000"/>
          <w:sz w:val="20"/>
          <w:szCs w:val="20"/>
          <w:shd w:val="clear" w:color="auto" w:fill="FFFFFF"/>
        </w:rPr>
        <w:t xml:space="preserve"> </w:t>
      </w:r>
      <w:r>
        <w:rPr>
          <w:rFonts w:ascii="ITC Avant Garde" w:hAnsi="ITC Avant Garde"/>
          <w:color w:val="000000"/>
          <w:sz w:val="20"/>
          <w:szCs w:val="20"/>
          <w:shd w:val="clear" w:color="auto" w:fill="FFFFFF"/>
        </w:rPr>
        <w:t>por 20 (veinte) días hábiles</w:t>
      </w:r>
      <w:r w:rsidR="00FE0A32">
        <w:rPr>
          <w:rFonts w:ascii="ITC Avant Garde" w:hAnsi="ITC Avant Garde"/>
          <w:color w:val="000000"/>
          <w:sz w:val="20"/>
          <w:szCs w:val="20"/>
          <w:shd w:val="clear" w:color="auto" w:fill="FFFFFF"/>
        </w:rPr>
        <w:t>,</w:t>
      </w:r>
      <w:r>
        <w:rPr>
          <w:rFonts w:ascii="ITC Avant Garde" w:hAnsi="ITC Avant Garde"/>
          <w:color w:val="000000"/>
          <w:sz w:val="20"/>
          <w:szCs w:val="20"/>
          <w:shd w:val="clear" w:color="auto" w:fill="FFFFFF"/>
        </w:rPr>
        <w:t xml:space="preserve"> que comprend</w:t>
      </w:r>
      <w:r w:rsidR="00DB6F24">
        <w:rPr>
          <w:rFonts w:ascii="ITC Avant Garde" w:hAnsi="ITC Avant Garde"/>
          <w:color w:val="000000"/>
          <w:sz w:val="20"/>
          <w:szCs w:val="20"/>
          <w:shd w:val="clear" w:color="auto" w:fill="FFFFFF"/>
        </w:rPr>
        <w:t>ieron</w:t>
      </w:r>
      <w:r>
        <w:rPr>
          <w:rFonts w:ascii="ITC Avant Garde" w:hAnsi="ITC Avant Garde"/>
          <w:color w:val="000000"/>
          <w:sz w:val="20"/>
          <w:szCs w:val="20"/>
          <w:shd w:val="clear" w:color="auto" w:fill="FFFFFF"/>
        </w:rPr>
        <w:t xml:space="preserve"> del </w:t>
      </w:r>
      <w:r w:rsidR="00853C5A">
        <w:rPr>
          <w:rFonts w:ascii="ITC Avant Garde" w:hAnsi="ITC Avant Garde"/>
          <w:color w:val="000000"/>
          <w:sz w:val="20"/>
          <w:szCs w:val="20"/>
          <w:shd w:val="clear" w:color="auto" w:fill="FFFFFF"/>
        </w:rPr>
        <w:t>13 de febrero al 11 de marzo del 2024</w:t>
      </w:r>
      <w:r w:rsidR="000B0ED2">
        <w:rPr>
          <w:rFonts w:ascii="ITC Avant Garde" w:hAnsi="ITC Avant Garde"/>
          <w:color w:val="000000"/>
          <w:sz w:val="20"/>
          <w:szCs w:val="20"/>
          <w:shd w:val="clear" w:color="auto" w:fill="FFFFFF"/>
        </w:rPr>
        <w:t>,</w:t>
      </w:r>
      <w:r w:rsidRPr="00CE7FC6">
        <w:rPr>
          <w:rFonts w:ascii="ITC Avant Garde" w:hAnsi="ITC Avant Garde"/>
          <w:color w:val="000000"/>
          <w:sz w:val="20"/>
          <w:szCs w:val="20"/>
          <w:shd w:val="clear" w:color="auto" w:fill="FFFFFF"/>
        </w:rPr>
        <w:t xml:space="preserve"> para la recepción de comentarios, observaciones, propuestas y/o aportaciones relacionadas c</w:t>
      </w:r>
      <w:r>
        <w:rPr>
          <w:rFonts w:ascii="ITC Avant Garde" w:hAnsi="ITC Avant Garde"/>
          <w:color w:val="000000"/>
          <w:sz w:val="20"/>
          <w:szCs w:val="20"/>
          <w:shd w:val="clear" w:color="auto" w:fill="FFFFFF"/>
        </w:rPr>
        <w:t>on el contenido del Anteproyecto</w:t>
      </w:r>
      <w:r w:rsidR="001122AE">
        <w:rPr>
          <w:rFonts w:ascii="ITC Avant Garde" w:hAnsi="ITC Avant Garde"/>
          <w:color w:val="000000"/>
          <w:sz w:val="20"/>
          <w:szCs w:val="20"/>
          <w:shd w:val="clear" w:color="auto" w:fill="FFFFFF"/>
        </w:rPr>
        <w:t xml:space="preserve"> en c</w:t>
      </w:r>
      <w:r w:rsidR="00DB3C23">
        <w:rPr>
          <w:rFonts w:ascii="ITC Avant Garde" w:hAnsi="ITC Avant Garde"/>
          <w:color w:val="000000"/>
          <w:sz w:val="20"/>
          <w:szCs w:val="20"/>
          <w:shd w:val="clear" w:color="auto" w:fill="FFFFFF"/>
        </w:rPr>
        <w:t>uestión</w:t>
      </w:r>
      <w:r w:rsidRPr="00CE7FC6">
        <w:rPr>
          <w:rFonts w:ascii="ITC Avant Garde" w:hAnsi="ITC Avant Garde"/>
          <w:color w:val="000000"/>
          <w:sz w:val="20"/>
          <w:szCs w:val="20"/>
          <w:shd w:val="clear" w:color="auto" w:fill="FFFFFF"/>
        </w:rPr>
        <w:t xml:space="preserve"> mediante correo electrónico</w:t>
      </w:r>
      <w:r w:rsidR="001122AE">
        <w:rPr>
          <w:rFonts w:ascii="ITC Avant Garde" w:hAnsi="ITC Avant Garde"/>
          <w:color w:val="000000"/>
          <w:sz w:val="20"/>
          <w:szCs w:val="20"/>
          <w:shd w:val="clear" w:color="auto" w:fill="FFFFFF"/>
        </w:rPr>
        <w:t xml:space="preserve"> a través </w:t>
      </w:r>
      <w:r w:rsidR="00DB3C23">
        <w:rPr>
          <w:rFonts w:ascii="ITC Avant Garde" w:hAnsi="ITC Avant Garde"/>
          <w:color w:val="000000"/>
          <w:sz w:val="20"/>
          <w:szCs w:val="20"/>
          <w:shd w:val="clear" w:color="auto" w:fill="FFFFFF"/>
        </w:rPr>
        <w:t>de</w:t>
      </w:r>
      <w:r w:rsidRPr="00CE7FC6">
        <w:rPr>
          <w:rFonts w:ascii="ITC Avant Garde" w:hAnsi="ITC Avant Garde"/>
          <w:color w:val="000000"/>
          <w:sz w:val="20"/>
          <w:szCs w:val="20"/>
          <w:shd w:val="clear" w:color="auto" w:fill="FFFFFF"/>
        </w:rPr>
        <w:t xml:space="preserve"> la cuenta</w:t>
      </w:r>
      <w:r w:rsidR="00DB6F24">
        <w:rPr>
          <w:rFonts w:ascii="ITC Avant Garde" w:hAnsi="ITC Avant Garde"/>
          <w:color w:val="000000"/>
          <w:sz w:val="20"/>
          <w:szCs w:val="20"/>
          <w:shd w:val="clear" w:color="auto" w:fill="FFFFFF"/>
        </w:rPr>
        <w:t xml:space="preserve"> </w:t>
      </w:r>
      <w:hyperlink r:id="rId11" w:tgtFrame="_blank" w:tooltip="Envío de correo" w:history="1">
        <w:r w:rsidR="00853C5A" w:rsidRPr="00853C5A">
          <w:rPr>
            <w:rStyle w:val="Hipervnculo"/>
            <w:rFonts w:ascii="ITC Avant Garde" w:hAnsi="ITC Avant Garde"/>
            <w:sz w:val="21"/>
            <w:szCs w:val="21"/>
          </w:rPr>
          <w:t>planeacion.espectro@ift.org.mx</w:t>
        </w:r>
      </w:hyperlink>
      <w:r w:rsidRPr="00CE7FC6">
        <w:rPr>
          <w:rFonts w:ascii="ITC Avant Garde" w:hAnsi="ITC Avant Garde"/>
          <w:color w:val="000000"/>
          <w:sz w:val="20"/>
          <w:szCs w:val="20"/>
          <w:shd w:val="clear" w:color="auto" w:fill="FFFFFF"/>
        </w:rPr>
        <w:t>, o bien, mediante escrito presentado en la Oficialía de Partes Común del Instituto ubicada en Insurgentes Sur 1143, colonia Nochebuena, Demarcación Territorial Benito Juárez, C.P. 03720, Ciudad de México.</w:t>
      </w:r>
    </w:p>
    <w:p w14:paraId="7E117195" w14:textId="77777777" w:rsidR="00044C6B" w:rsidRPr="00CE7FC6" w:rsidRDefault="00044C6B" w:rsidP="00044C6B">
      <w:pPr>
        <w:pStyle w:val="Prrafodelista"/>
        <w:numPr>
          <w:ilvl w:val="0"/>
          <w:numId w:val="1"/>
        </w:numPr>
        <w:ind w:left="567"/>
        <w:jc w:val="both"/>
        <w:rPr>
          <w:rFonts w:ascii="ITC Avant Garde" w:hAnsi="ITC Avant Garde"/>
          <w:b/>
          <w:sz w:val="20"/>
          <w:szCs w:val="20"/>
        </w:rPr>
      </w:pPr>
      <w:r w:rsidRPr="00CE7FC6">
        <w:rPr>
          <w:rFonts w:ascii="ITC Avant Garde" w:hAnsi="ITC Avant Garde"/>
          <w:b/>
          <w:sz w:val="20"/>
          <w:szCs w:val="20"/>
        </w:rPr>
        <w:t xml:space="preserve">Objetivo de la Consulta Pública de </w:t>
      </w:r>
      <w:r>
        <w:rPr>
          <w:rFonts w:ascii="ITC Avant Garde" w:hAnsi="ITC Avant Garde"/>
          <w:b/>
          <w:sz w:val="20"/>
          <w:szCs w:val="20"/>
        </w:rPr>
        <w:t>Anteproyecto</w:t>
      </w:r>
      <w:r w:rsidRPr="00CE7FC6">
        <w:rPr>
          <w:rFonts w:ascii="ITC Avant Garde" w:hAnsi="ITC Avant Garde"/>
          <w:b/>
          <w:sz w:val="20"/>
          <w:szCs w:val="20"/>
        </w:rPr>
        <w:t>:</w:t>
      </w:r>
    </w:p>
    <w:p w14:paraId="5F284A39" w14:textId="77777777" w:rsidR="00853C5A" w:rsidRPr="00853C5A" w:rsidRDefault="00853C5A" w:rsidP="00853C5A">
      <w:pPr>
        <w:jc w:val="both"/>
        <w:rPr>
          <w:rFonts w:ascii="ITC Avant Garde" w:hAnsi="ITC Avant Garde"/>
          <w:color w:val="000000"/>
          <w:sz w:val="20"/>
          <w:szCs w:val="20"/>
          <w:shd w:val="clear" w:color="auto" w:fill="FFFFFF"/>
        </w:rPr>
      </w:pPr>
      <w:r w:rsidRPr="00853C5A">
        <w:rPr>
          <w:rFonts w:ascii="ITC Avant Garde" w:hAnsi="ITC Avant Garde"/>
          <w:color w:val="000000"/>
          <w:sz w:val="20"/>
          <w:szCs w:val="20"/>
          <w:shd w:val="clear" w:color="auto" w:fill="FFFFFF"/>
        </w:rPr>
        <w:t xml:space="preserve">El Instituto convencido de la importancia y relevancia de fomentar la transparencia  y la participación ciudadana en los asuntos a su cargo, así como en la toma de decisiones que debe realizar sobre diversos asuntos de interés general, recibirá comentarios, opiniones y aportaciones de cualquier persona (física o moral) interesada a propósito del "Esquema de mayor granularidad de Áreas Geográficas para Servicios de Telecomunicaciones Inalámbricas - Áreas Parciales de Servicio" (en lo sucesivo, el “Esquema”), el cual se propone con base en lo establecido en los artículos 1, 2, 7, 15 fracción XL y 51 de la Ley Federal de Telecomunicaciones y Radiodifusión; 1, 4 fracción I, 6 fracciones I y XXXVIII, 27 y 30 fracción XVIII del Estatuto Orgánico del Instituto Federal de Telecomunicaciones; así como en los Lineamientos Primero, Tercero fracción I, Séptimo, Octavo, Noveno y Décimo de los Lineamientos de Consulta Pública y Análisis de Impacto Regulatorio del Instituto Federal de Telecomunicaciones.   </w:t>
      </w:r>
    </w:p>
    <w:p w14:paraId="182ED834" w14:textId="77777777" w:rsidR="0022412D" w:rsidRDefault="00853C5A" w:rsidP="00853C5A">
      <w:pPr>
        <w:jc w:val="both"/>
        <w:rPr>
          <w:rFonts w:ascii="ITC Avant Garde" w:hAnsi="ITC Avant Garde"/>
          <w:b/>
          <w:color w:val="000000"/>
          <w:sz w:val="20"/>
          <w:szCs w:val="20"/>
          <w:shd w:val="clear" w:color="auto" w:fill="FFFFFF"/>
        </w:rPr>
      </w:pPr>
      <w:r w:rsidRPr="00853C5A">
        <w:rPr>
          <w:rFonts w:ascii="ITC Avant Garde" w:hAnsi="ITC Avant Garde"/>
          <w:color w:val="000000"/>
          <w:sz w:val="20"/>
          <w:szCs w:val="20"/>
          <w:shd w:val="clear" w:color="auto" w:fill="FFFFFF"/>
        </w:rPr>
        <w:t xml:space="preserve">Los objetivos principales del Esquema consisten en: i) facilitar y promover la entrada de nuevos operadores locales, a través de la creación de una nueva subdivisión geográfica del territorio nacional; </w:t>
      </w:r>
      <w:proofErr w:type="spellStart"/>
      <w:r w:rsidRPr="00853C5A">
        <w:rPr>
          <w:rFonts w:ascii="ITC Avant Garde" w:hAnsi="ITC Avant Garde"/>
          <w:color w:val="000000"/>
          <w:sz w:val="20"/>
          <w:szCs w:val="20"/>
          <w:shd w:val="clear" w:color="auto" w:fill="FFFFFF"/>
        </w:rPr>
        <w:t>ii</w:t>
      </w:r>
      <w:proofErr w:type="spellEnd"/>
      <w:r w:rsidRPr="00853C5A">
        <w:rPr>
          <w:rFonts w:ascii="ITC Avant Garde" w:hAnsi="ITC Avant Garde"/>
          <w:color w:val="000000"/>
          <w:sz w:val="20"/>
          <w:szCs w:val="20"/>
          <w:shd w:val="clear" w:color="auto" w:fill="FFFFFF"/>
        </w:rPr>
        <w:t xml:space="preserve">) promover un uso, aprovechamiento y explotación del espectro radioeléctrico más eficiente, y </w:t>
      </w:r>
      <w:proofErr w:type="spellStart"/>
      <w:r w:rsidRPr="00853C5A">
        <w:rPr>
          <w:rFonts w:ascii="ITC Avant Garde" w:hAnsi="ITC Avant Garde"/>
          <w:color w:val="000000"/>
          <w:sz w:val="20"/>
          <w:szCs w:val="20"/>
          <w:shd w:val="clear" w:color="auto" w:fill="FFFFFF"/>
        </w:rPr>
        <w:t>iii</w:t>
      </w:r>
      <w:proofErr w:type="spellEnd"/>
      <w:r w:rsidRPr="00853C5A">
        <w:rPr>
          <w:rFonts w:ascii="ITC Avant Garde" w:hAnsi="ITC Avant Garde"/>
          <w:color w:val="000000"/>
          <w:sz w:val="20"/>
          <w:szCs w:val="20"/>
          <w:shd w:val="clear" w:color="auto" w:fill="FFFFFF"/>
        </w:rPr>
        <w:t>) promover la participación ciudadana que permita al Instituto conocer la opinión de la industria, la academia y cualquier persona interesada sobre el contenido de este, así como las áreas de oportunidad que puedan presentar.</w:t>
      </w:r>
      <w:r w:rsidRPr="00853C5A">
        <w:rPr>
          <w:rFonts w:ascii="ITC Avant Garde" w:hAnsi="ITC Avant Garde"/>
          <w:b/>
          <w:color w:val="000000"/>
          <w:sz w:val="20"/>
          <w:szCs w:val="20"/>
          <w:shd w:val="clear" w:color="auto" w:fill="FFFFFF"/>
        </w:rPr>
        <w:t xml:space="preserve"> </w:t>
      </w:r>
    </w:p>
    <w:p w14:paraId="4F118B4E" w14:textId="77777777" w:rsidR="008C376A" w:rsidRDefault="008C376A" w:rsidP="00853C5A">
      <w:pPr>
        <w:jc w:val="both"/>
        <w:rPr>
          <w:rFonts w:ascii="ITC Avant Garde" w:hAnsi="ITC Avant Garde"/>
          <w:b/>
          <w:color w:val="000000"/>
          <w:sz w:val="20"/>
          <w:szCs w:val="20"/>
          <w:shd w:val="clear" w:color="auto" w:fill="FFFFFF"/>
        </w:rPr>
      </w:pPr>
    </w:p>
    <w:p w14:paraId="626B4C0A" w14:textId="3CDEEC07" w:rsidR="00044C6B" w:rsidRPr="00D964BE" w:rsidRDefault="00044C6B" w:rsidP="00853C5A">
      <w:pPr>
        <w:jc w:val="both"/>
        <w:rPr>
          <w:rFonts w:ascii="ITC Avant Garde" w:hAnsi="ITC Avant Garde"/>
          <w:b/>
          <w:color w:val="000000"/>
          <w:sz w:val="20"/>
          <w:szCs w:val="20"/>
          <w:shd w:val="clear" w:color="auto" w:fill="FFFFFF"/>
        </w:rPr>
      </w:pPr>
      <w:r w:rsidRPr="00D964BE">
        <w:rPr>
          <w:rFonts w:ascii="ITC Avant Garde" w:hAnsi="ITC Avant Garde"/>
          <w:b/>
          <w:color w:val="000000"/>
          <w:sz w:val="20"/>
          <w:szCs w:val="20"/>
          <w:shd w:val="clear" w:color="auto" w:fill="FFFFFF"/>
        </w:rPr>
        <w:lastRenderedPageBreak/>
        <w:t>Participaciones recibidas durante la Consulta Pública de Anteproyecto:</w:t>
      </w:r>
    </w:p>
    <w:p w14:paraId="2D7DFA49" w14:textId="397AFA8A" w:rsidR="00F272AD" w:rsidRDefault="00F272AD" w:rsidP="00044C6B">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 xml:space="preserve">El </w:t>
      </w:r>
      <w:r w:rsidR="000C44BE">
        <w:rPr>
          <w:rFonts w:ascii="ITC Avant Garde" w:hAnsi="ITC Avant Garde"/>
          <w:color w:val="000000"/>
          <w:sz w:val="20"/>
          <w:szCs w:val="20"/>
          <w:shd w:val="clear" w:color="auto" w:fill="FFFFFF"/>
        </w:rPr>
        <w:t>I</w:t>
      </w:r>
      <w:r>
        <w:rPr>
          <w:rFonts w:ascii="ITC Avant Garde" w:hAnsi="ITC Avant Garde"/>
          <w:color w:val="000000"/>
          <w:sz w:val="20"/>
          <w:szCs w:val="20"/>
          <w:shd w:val="clear" w:color="auto" w:fill="FFFFFF"/>
        </w:rPr>
        <w:t xml:space="preserve">nstituto agradece la participación de los interesados en la Consulta </w:t>
      </w:r>
      <w:r w:rsidR="00AA34A5">
        <w:rPr>
          <w:rFonts w:ascii="ITC Avant Garde" w:hAnsi="ITC Avant Garde"/>
          <w:color w:val="000000"/>
          <w:sz w:val="20"/>
          <w:szCs w:val="20"/>
          <w:shd w:val="clear" w:color="auto" w:fill="FFFFFF"/>
        </w:rPr>
        <w:t>Pública</w:t>
      </w:r>
      <w:r>
        <w:rPr>
          <w:rFonts w:ascii="ITC Avant Garde" w:hAnsi="ITC Avant Garde"/>
          <w:color w:val="000000"/>
          <w:sz w:val="20"/>
          <w:szCs w:val="20"/>
          <w:shd w:val="clear" w:color="auto" w:fill="FFFFFF"/>
        </w:rPr>
        <w:t xml:space="preserve"> </w:t>
      </w:r>
      <w:r w:rsidR="00AA34A5">
        <w:rPr>
          <w:rFonts w:ascii="ITC Avant Garde" w:hAnsi="ITC Avant Garde"/>
          <w:color w:val="000000"/>
          <w:sz w:val="20"/>
          <w:szCs w:val="20"/>
          <w:shd w:val="clear" w:color="auto" w:fill="FFFFFF"/>
        </w:rPr>
        <w:t>de Integración</w:t>
      </w:r>
      <w:r w:rsidR="00AA34A5" w:rsidRPr="00001601">
        <w:rPr>
          <w:rFonts w:ascii="ITC Avant Garde" w:hAnsi="ITC Avant Garde"/>
          <w:color w:val="000000"/>
          <w:sz w:val="20"/>
          <w:szCs w:val="20"/>
          <w:shd w:val="clear" w:color="auto" w:fill="FFFFFF"/>
        </w:rPr>
        <w:t>,</w:t>
      </w:r>
      <w:r w:rsidR="00AA34A5">
        <w:rPr>
          <w:rFonts w:ascii="ITC Avant Garde" w:hAnsi="ITC Avant Garde"/>
          <w:color w:val="000000"/>
          <w:sz w:val="20"/>
          <w:szCs w:val="20"/>
          <w:shd w:val="clear" w:color="auto" w:fill="FFFFFF"/>
        </w:rPr>
        <w:t xml:space="preserve"> en la cual</w:t>
      </w:r>
      <w:r w:rsidR="00BA1EE0">
        <w:rPr>
          <w:rFonts w:ascii="ITC Avant Garde" w:hAnsi="ITC Avant Garde"/>
          <w:color w:val="000000"/>
          <w:sz w:val="20"/>
          <w:szCs w:val="20"/>
          <w:shd w:val="clear" w:color="auto" w:fill="FFFFFF"/>
        </w:rPr>
        <w:t>,</w:t>
      </w:r>
      <w:r w:rsidR="00AA34A5">
        <w:rPr>
          <w:rFonts w:ascii="ITC Avant Garde" w:hAnsi="ITC Avant Garde"/>
          <w:color w:val="000000"/>
          <w:sz w:val="20"/>
          <w:szCs w:val="20"/>
          <w:shd w:val="clear" w:color="auto" w:fill="FFFFFF"/>
        </w:rPr>
        <w:t xml:space="preserve"> se recibi</w:t>
      </w:r>
      <w:r w:rsidR="00BA1EE0">
        <w:rPr>
          <w:rFonts w:ascii="ITC Avant Garde" w:hAnsi="ITC Avant Garde"/>
          <w:color w:val="000000"/>
          <w:sz w:val="20"/>
          <w:szCs w:val="20"/>
          <w:shd w:val="clear" w:color="auto" w:fill="FFFFFF"/>
        </w:rPr>
        <w:t>eron</w:t>
      </w:r>
      <w:r w:rsidR="00AA34A5">
        <w:rPr>
          <w:rFonts w:ascii="ITC Avant Garde" w:hAnsi="ITC Avant Garde"/>
          <w:color w:val="000000"/>
          <w:sz w:val="20"/>
          <w:szCs w:val="20"/>
          <w:shd w:val="clear" w:color="auto" w:fill="FFFFFF"/>
        </w:rPr>
        <w:t xml:space="preserve"> la</w:t>
      </w:r>
      <w:r w:rsidR="00BA1EE0">
        <w:rPr>
          <w:rFonts w:ascii="ITC Avant Garde" w:hAnsi="ITC Avant Garde"/>
          <w:color w:val="000000"/>
          <w:sz w:val="20"/>
          <w:szCs w:val="20"/>
          <w:shd w:val="clear" w:color="auto" w:fill="FFFFFF"/>
        </w:rPr>
        <w:t>s</w:t>
      </w:r>
      <w:r w:rsidR="00AA34A5">
        <w:rPr>
          <w:rFonts w:ascii="ITC Avant Garde" w:hAnsi="ITC Avant Garde"/>
          <w:color w:val="000000"/>
          <w:sz w:val="20"/>
          <w:szCs w:val="20"/>
          <w:shd w:val="clear" w:color="auto" w:fill="FFFFFF"/>
        </w:rPr>
        <w:t xml:space="preserve"> participaci</w:t>
      </w:r>
      <w:r w:rsidR="00BA1EE0">
        <w:rPr>
          <w:rFonts w:ascii="ITC Avant Garde" w:hAnsi="ITC Avant Garde"/>
          <w:color w:val="000000"/>
          <w:sz w:val="20"/>
          <w:szCs w:val="20"/>
          <w:shd w:val="clear" w:color="auto" w:fill="FFFFFF"/>
        </w:rPr>
        <w:t>ones</w:t>
      </w:r>
      <w:r w:rsidR="00AA34A5">
        <w:rPr>
          <w:rFonts w:ascii="ITC Avant Garde" w:hAnsi="ITC Avant Garde"/>
          <w:color w:val="000000"/>
          <w:sz w:val="20"/>
          <w:szCs w:val="20"/>
          <w:shd w:val="clear" w:color="auto" w:fill="FFFFFF"/>
        </w:rPr>
        <w:t xml:space="preserve"> </w:t>
      </w:r>
      <w:r w:rsidR="00BA1EE0">
        <w:rPr>
          <w:rFonts w:ascii="ITC Avant Garde" w:hAnsi="ITC Avant Garde"/>
          <w:color w:val="000000"/>
          <w:sz w:val="20"/>
          <w:szCs w:val="20"/>
          <w:shd w:val="clear" w:color="auto" w:fill="FFFFFF"/>
        </w:rPr>
        <w:t xml:space="preserve">que </w:t>
      </w:r>
      <w:r w:rsidR="00AA34A5">
        <w:rPr>
          <w:rFonts w:ascii="ITC Avant Garde" w:hAnsi="ITC Avant Garde"/>
          <w:color w:val="000000"/>
          <w:sz w:val="20"/>
          <w:szCs w:val="20"/>
          <w:shd w:val="clear" w:color="auto" w:fill="FFFFFF"/>
        </w:rPr>
        <w:t>se detallan en el cuerpo del presente documento.</w:t>
      </w:r>
    </w:p>
    <w:p w14:paraId="5E40AF29" w14:textId="50E88AB9" w:rsidR="00BA1EE0" w:rsidRDefault="00BA1EE0" w:rsidP="00044C6B">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 xml:space="preserve">En su conjunto, las participaciones recibidas </w:t>
      </w:r>
      <w:r w:rsidR="008E1E0B">
        <w:rPr>
          <w:rFonts w:ascii="ITC Avant Garde" w:hAnsi="ITC Avant Garde"/>
          <w:color w:val="000000"/>
          <w:sz w:val="20"/>
          <w:szCs w:val="20"/>
          <w:shd w:val="clear" w:color="auto" w:fill="FFFFFF"/>
        </w:rPr>
        <w:t>permiten</w:t>
      </w:r>
      <w:r>
        <w:rPr>
          <w:rFonts w:ascii="ITC Avant Garde" w:hAnsi="ITC Avant Garde"/>
          <w:color w:val="000000"/>
          <w:sz w:val="20"/>
          <w:szCs w:val="20"/>
          <w:shd w:val="clear" w:color="auto" w:fill="FFFFFF"/>
        </w:rPr>
        <w:t xml:space="preserve"> que la UER </w:t>
      </w:r>
      <w:r w:rsidR="008E1E0B">
        <w:rPr>
          <w:rFonts w:ascii="ITC Avant Garde" w:hAnsi="ITC Avant Garde"/>
          <w:color w:val="000000"/>
          <w:sz w:val="20"/>
          <w:szCs w:val="20"/>
          <w:shd w:val="clear" w:color="auto" w:fill="FFFFFF"/>
        </w:rPr>
        <w:t>cuente</w:t>
      </w:r>
      <w:r>
        <w:rPr>
          <w:rFonts w:ascii="ITC Avant Garde" w:hAnsi="ITC Avant Garde"/>
          <w:color w:val="000000"/>
          <w:sz w:val="20"/>
          <w:szCs w:val="20"/>
          <w:shd w:val="clear" w:color="auto" w:fill="FFFFFF"/>
        </w:rPr>
        <w:t xml:space="preserve"> con mayores elementos para fortalecer el presente Esquema que nos ocupa.</w:t>
      </w:r>
    </w:p>
    <w:p w14:paraId="6D580922" w14:textId="40B166E8" w:rsidR="00BA1EE0" w:rsidRDefault="00BA1EE0" w:rsidP="00044C6B">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 xml:space="preserve">A continuación, se hace una descripción general de los temas que </w:t>
      </w:r>
      <w:r w:rsidR="00DF368B">
        <w:rPr>
          <w:rFonts w:ascii="ITC Avant Garde" w:hAnsi="ITC Avant Garde"/>
          <w:color w:val="000000"/>
          <w:sz w:val="20"/>
          <w:szCs w:val="20"/>
          <w:shd w:val="clear" w:color="auto" w:fill="FFFFFF"/>
        </w:rPr>
        <w:t>fueron</w:t>
      </w:r>
      <w:r>
        <w:rPr>
          <w:rFonts w:ascii="ITC Avant Garde" w:hAnsi="ITC Avant Garde"/>
          <w:color w:val="000000"/>
          <w:sz w:val="20"/>
          <w:szCs w:val="20"/>
          <w:shd w:val="clear" w:color="auto" w:fill="FFFFFF"/>
        </w:rPr>
        <w:t xml:space="preserve"> de interés para los participantes y las respectivas respuestas y consideraciones del Instituto. Se señala que el orden en que son abordados cada uno de los temas obedece primordialmente a la fecha de presentación de los comentarios, opiniones y propuestas. Asimismo, conforme a lo establecido en el numeral Noveno de los Lineamientos de Consulta Pública se presenta una respuesta o posicionamiento de manera agrupada acerca de la información que los participantes hayan aportado.</w:t>
      </w:r>
    </w:p>
    <w:p w14:paraId="70C59783" w14:textId="77777777" w:rsidR="00EA37DE" w:rsidRDefault="00EA37DE">
      <w:pPr>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br w:type="page"/>
      </w:r>
    </w:p>
    <w:p w14:paraId="6F7C1D42" w14:textId="77777777" w:rsidR="001A7139" w:rsidRDefault="001A7139">
      <w:pPr>
        <w:jc w:val="center"/>
        <w:rPr>
          <w:rFonts w:ascii="ITC Avant Garde" w:hAnsi="ITC Avant Garde"/>
          <w:color w:val="000000"/>
          <w:sz w:val="20"/>
          <w:szCs w:val="20"/>
        </w:rPr>
        <w:sectPr w:rsidR="001A7139" w:rsidSect="008B79BB">
          <w:footerReference w:type="default" r:id="rId12"/>
          <w:pgSz w:w="11906" w:h="16838" w:code="9"/>
          <w:pgMar w:top="1417" w:right="1701" w:bottom="1417" w:left="1701"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2541"/>
        <w:gridCol w:w="5811"/>
        <w:gridCol w:w="5610"/>
        <w:gridCol w:w="20"/>
      </w:tblGrid>
      <w:tr w:rsidR="008E6427" w:rsidRPr="008E6427" w14:paraId="610D0534" w14:textId="77777777" w:rsidTr="00786D1E">
        <w:trPr>
          <w:gridAfter w:val="1"/>
          <w:wAfter w:w="7" w:type="pct"/>
          <w:trHeight w:val="552"/>
        </w:trPr>
        <w:tc>
          <w:tcPr>
            <w:tcW w:w="4993" w:type="pct"/>
            <w:gridSpan w:val="3"/>
            <w:tcBorders>
              <w:top w:val="single" w:sz="8" w:space="0" w:color="auto"/>
              <w:left w:val="single" w:sz="8" w:space="0" w:color="auto"/>
              <w:bottom w:val="nil"/>
              <w:right w:val="single" w:sz="8" w:space="0" w:color="000000"/>
            </w:tcBorders>
            <w:shd w:val="clear" w:color="auto" w:fill="auto"/>
            <w:vAlign w:val="center"/>
            <w:hideMark/>
          </w:tcPr>
          <w:p w14:paraId="156F11DD" w14:textId="77777777" w:rsidR="008E6427" w:rsidRPr="008E6427" w:rsidRDefault="008E6427">
            <w:pPr>
              <w:jc w:val="center"/>
              <w:rPr>
                <w:rFonts w:ascii="ITC Avant Garde" w:hAnsi="ITC Avant Garde"/>
                <w:color w:val="000000"/>
                <w:sz w:val="20"/>
                <w:szCs w:val="20"/>
              </w:rPr>
            </w:pPr>
            <w:r w:rsidRPr="008E6427">
              <w:rPr>
                <w:rFonts w:ascii="ITC Avant Garde" w:hAnsi="ITC Avant Garde"/>
                <w:color w:val="000000"/>
                <w:sz w:val="20"/>
                <w:szCs w:val="20"/>
              </w:rPr>
              <w:lastRenderedPageBreak/>
              <w:t>Los comentarios contenidos en la presente tabla corresponden a aquellos hechos por los participantes en la consulta pública, mismos que pueden consultarse en la liga siguiente:</w:t>
            </w:r>
          </w:p>
        </w:tc>
      </w:tr>
      <w:tr w:rsidR="008E6427" w:rsidRPr="008E6427" w14:paraId="0F431D94" w14:textId="77777777" w:rsidTr="00786D1E">
        <w:trPr>
          <w:gridAfter w:val="1"/>
          <w:wAfter w:w="7" w:type="pct"/>
          <w:trHeight w:val="288"/>
        </w:trPr>
        <w:tc>
          <w:tcPr>
            <w:tcW w:w="4993" w:type="pct"/>
            <w:gridSpan w:val="3"/>
            <w:tcBorders>
              <w:top w:val="nil"/>
              <w:left w:val="single" w:sz="8" w:space="0" w:color="auto"/>
              <w:bottom w:val="nil"/>
              <w:right w:val="single" w:sz="8" w:space="0" w:color="000000"/>
            </w:tcBorders>
            <w:shd w:val="clear" w:color="auto" w:fill="auto"/>
            <w:vAlign w:val="center"/>
            <w:hideMark/>
          </w:tcPr>
          <w:p w14:paraId="4B8D8564" w14:textId="77777777" w:rsidR="008E6427" w:rsidRPr="008E6427" w:rsidRDefault="00364ED1">
            <w:pPr>
              <w:jc w:val="center"/>
              <w:rPr>
                <w:rFonts w:ascii="ITC Avant Garde" w:hAnsi="ITC Avant Garde"/>
                <w:color w:val="467886"/>
                <w:sz w:val="20"/>
                <w:szCs w:val="20"/>
                <w:u w:val="single"/>
              </w:rPr>
            </w:pPr>
            <w:hyperlink r:id="rId13" w:history="1">
              <w:r w:rsidR="008E6427" w:rsidRPr="008E6427">
                <w:rPr>
                  <w:rStyle w:val="Hipervnculo"/>
                  <w:rFonts w:ascii="ITC Avant Garde" w:hAnsi="ITC Avant Garde"/>
                  <w:sz w:val="20"/>
                  <w:szCs w:val="20"/>
                </w:rPr>
                <w:t xml:space="preserve"> https://www.ift.org.mx/industria/consultas-publicas/consulta-publica-de-integracion-sobre-el-esquema-de-mayor-granularidad-de-areas-geograficas-para</w:t>
              </w:r>
            </w:hyperlink>
          </w:p>
        </w:tc>
      </w:tr>
      <w:tr w:rsidR="0018589A" w:rsidRPr="008E6427" w14:paraId="2E54BD06" w14:textId="77777777" w:rsidTr="00786D1E">
        <w:trPr>
          <w:gridAfter w:val="1"/>
          <w:wAfter w:w="7" w:type="pct"/>
          <w:trHeight w:val="300"/>
        </w:trPr>
        <w:tc>
          <w:tcPr>
            <w:tcW w:w="909" w:type="pct"/>
            <w:tcBorders>
              <w:top w:val="single" w:sz="8" w:space="0" w:color="auto"/>
              <w:left w:val="single" w:sz="8" w:space="0" w:color="auto"/>
              <w:bottom w:val="single" w:sz="8" w:space="0" w:color="auto"/>
              <w:right w:val="single" w:sz="8" w:space="0" w:color="000000"/>
            </w:tcBorders>
            <w:shd w:val="clear" w:color="000000" w:fill="70AD47"/>
            <w:vAlign w:val="center"/>
            <w:hideMark/>
          </w:tcPr>
          <w:p w14:paraId="29EFAF1A" w14:textId="77777777" w:rsidR="008E6427" w:rsidRPr="008E6427" w:rsidRDefault="008E6427">
            <w:pPr>
              <w:jc w:val="center"/>
              <w:rPr>
                <w:rFonts w:ascii="ITC Avant Garde" w:hAnsi="ITC Avant Garde" w:cs="Times New Roman"/>
                <w:b/>
                <w:bCs/>
                <w:color w:val="FFFFFF"/>
                <w:sz w:val="20"/>
                <w:szCs w:val="20"/>
              </w:rPr>
            </w:pPr>
            <w:r w:rsidRPr="008E6427">
              <w:rPr>
                <w:rFonts w:ascii="ITC Avant Garde" w:hAnsi="ITC Avant Garde"/>
                <w:b/>
                <w:bCs/>
                <w:color w:val="FFFFFF"/>
                <w:sz w:val="20"/>
                <w:szCs w:val="20"/>
              </w:rPr>
              <w:t>Pregunta</w:t>
            </w:r>
          </w:p>
        </w:tc>
        <w:tc>
          <w:tcPr>
            <w:tcW w:w="2078" w:type="pct"/>
            <w:tcBorders>
              <w:top w:val="single" w:sz="8" w:space="0" w:color="auto"/>
              <w:left w:val="nil"/>
              <w:bottom w:val="single" w:sz="8" w:space="0" w:color="auto"/>
              <w:right w:val="single" w:sz="8" w:space="0" w:color="000000"/>
            </w:tcBorders>
            <w:shd w:val="clear" w:color="000000" w:fill="70AD47"/>
            <w:vAlign w:val="center"/>
            <w:hideMark/>
          </w:tcPr>
          <w:p w14:paraId="6B1D435F" w14:textId="68FA745E" w:rsidR="008E6427" w:rsidRPr="008E6427" w:rsidRDefault="004654CE">
            <w:pPr>
              <w:jc w:val="center"/>
              <w:rPr>
                <w:rFonts w:ascii="ITC Avant Garde" w:hAnsi="ITC Avant Garde"/>
                <w:b/>
                <w:bCs/>
                <w:color w:val="FFFFFF"/>
                <w:sz w:val="20"/>
                <w:szCs w:val="20"/>
              </w:rPr>
            </w:pPr>
            <w:r>
              <w:rPr>
                <w:rFonts w:ascii="ITC Avant Garde" w:hAnsi="ITC Avant Garde"/>
                <w:b/>
                <w:bCs/>
                <w:color w:val="FFFFFF"/>
                <w:sz w:val="20"/>
                <w:szCs w:val="20"/>
              </w:rPr>
              <w:t>Comentarios</w:t>
            </w:r>
            <w:r w:rsidR="008E6427" w:rsidRPr="008E6427">
              <w:rPr>
                <w:rFonts w:ascii="ITC Avant Garde" w:hAnsi="ITC Avant Garde"/>
                <w:b/>
                <w:bCs/>
                <w:color w:val="FFFFFF"/>
                <w:sz w:val="20"/>
                <w:szCs w:val="20"/>
              </w:rPr>
              <w:t xml:space="preserve"> del participante</w:t>
            </w:r>
          </w:p>
        </w:tc>
        <w:tc>
          <w:tcPr>
            <w:tcW w:w="2006" w:type="pct"/>
            <w:tcBorders>
              <w:top w:val="single" w:sz="8" w:space="0" w:color="auto"/>
              <w:left w:val="nil"/>
              <w:bottom w:val="single" w:sz="8" w:space="0" w:color="auto"/>
              <w:right w:val="single" w:sz="8" w:space="0" w:color="000000"/>
            </w:tcBorders>
            <w:shd w:val="clear" w:color="000000" w:fill="70AD47"/>
            <w:vAlign w:val="center"/>
            <w:hideMark/>
          </w:tcPr>
          <w:p w14:paraId="5CAE85ED" w14:textId="6B4F25F8" w:rsidR="008E6427" w:rsidRPr="008E6427" w:rsidRDefault="008E6427">
            <w:pPr>
              <w:jc w:val="center"/>
              <w:rPr>
                <w:rFonts w:ascii="ITC Avant Garde" w:hAnsi="ITC Avant Garde"/>
                <w:b/>
                <w:bCs/>
                <w:color w:val="FFFFFF"/>
                <w:sz w:val="20"/>
                <w:szCs w:val="20"/>
              </w:rPr>
            </w:pPr>
            <w:r w:rsidRPr="008E6427">
              <w:rPr>
                <w:rFonts w:ascii="ITC Avant Garde" w:hAnsi="ITC Avant Garde"/>
                <w:b/>
                <w:bCs/>
                <w:color w:val="FFFFFF"/>
                <w:sz w:val="20"/>
                <w:szCs w:val="20"/>
              </w:rPr>
              <w:t xml:space="preserve">Respuesta </w:t>
            </w:r>
          </w:p>
        </w:tc>
      </w:tr>
      <w:tr w:rsidR="0018589A" w:rsidRPr="008E6427" w14:paraId="39F7DA02" w14:textId="77777777" w:rsidTr="00786D1E">
        <w:trPr>
          <w:gridAfter w:val="1"/>
          <w:wAfter w:w="7" w:type="pct"/>
          <w:trHeight w:val="379"/>
        </w:trPr>
        <w:tc>
          <w:tcPr>
            <w:tcW w:w="909" w:type="pct"/>
            <w:vMerge w:val="restart"/>
            <w:tcBorders>
              <w:top w:val="single" w:sz="8" w:space="0" w:color="auto"/>
              <w:left w:val="single" w:sz="8" w:space="0" w:color="auto"/>
              <w:bottom w:val="nil"/>
              <w:right w:val="single" w:sz="8" w:space="0" w:color="000000"/>
            </w:tcBorders>
            <w:shd w:val="clear" w:color="auto" w:fill="auto"/>
            <w:vAlign w:val="center"/>
            <w:hideMark/>
          </w:tcPr>
          <w:p w14:paraId="03E4668D" w14:textId="77777777" w:rsidR="008E6427" w:rsidRPr="008E6427" w:rsidRDefault="008E6427">
            <w:pPr>
              <w:jc w:val="center"/>
              <w:rPr>
                <w:rFonts w:ascii="ITC Avant Garde" w:hAnsi="ITC Avant Garde"/>
                <w:b/>
                <w:bCs/>
                <w:color w:val="000000"/>
                <w:sz w:val="20"/>
                <w:szCs w:val="20"/>
              </w:rPr>
            </w:pPr>
            <w:r w:rsidRPr="008E6427">
              <w:rPr>
                <w:rFonts w:ascii="ITC Avant Garde" w:hAnsi="ITC Avant Garde"/>
                <w:b/>
                <w:bCs/>
                <w:color w:val="000000"/>
                <w:sz w:val="20"/>
                <w:szCs w:val="20"/>
              </w:rPr>
              <w:t xml:space="preserve">1) ¿Considera que es necesario o importante que el Instituto proponga una granularidad mayor de áreas geográficas a las Regiones Celulares y a las Áreas Básicas de Servicio (ABS) para los procesos de licitación de espectro radioeléctrico? </w:t>
            </w:r>
          </w:p>
        </w:tc>
        <w:tc>
          <w:tcPr>
            <w:tcW w:w="2078" w:type="pct"/>
            <w:tcBorders>
              <w:top w:val="single" w:sz="8" w:space="0" w:color="auto"/>
              <w:left w:val="nil"/>
              <w:bottom w:val="nil"/>
              <w:right w:val="single" w:sz="8" w:space="0" w:color="000000"/>
            </w:tcBorders>
            <w:shd w:val="clear" w:color="auto" w:fill="auto"/>
            <w:vAlign w:val="center"/>
            <w:hideMark/>
          </w:tcPr>
          <w:p w14:paraId="6C3EDAC1"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t>Megacable Comunicaciones de México, S.A. de C.V.</w:t>
            </w:r>
            <w:r w:rsidRPr="008E6427">
              <w:rPr>
                <w:rFonts w:ascii="ITC Avant Garde" w:hAnsi="ITC Avant Garde"/>
                <w:color w:val="000000"/>
                <w:sz w:val="20"/>
                <w:szCs w:val="20"/>
              </w:rPr>
              <w:t xml:space="preserve">   </w:t>
            </w:r>
            <w:r w:rsidRPr="008E6427">
              <w:rPr>
                <w:rFonts w:ascii="ITC Avant Garde" w:hAnsi="ITC Avant Garde"/>
                <w:b/>
                <w:bCs/>
                <w:color w:val="000000"/>
                <w:sz w:val="20"/>
                <w:szCs w:val="20"/>
              </w:rPr>
              <w:t>(Megacable)</w:t>
            </w:r>
          </w:p>
        </w:tc>
        <w:tc>
          <w:tcPr>
            <w:tcW w:w="2006" w:type="pct"/>
            <w:vMerge w:val="restart"/>
            <w:tcBorders>
              <w:top w:val="single" w:sz="8" w:space="0" w:color="auto"/>
              <w:left w:val="single" w:sz="8" w:space="0" w:color="auto"/>
              <w:bottom w:val="nil"/>
              <w:right w:val="single" w:sz="8" w:space="0" w:color="000000"/>
            </w:tcBorders>
            <w:shd w:val="clear" w:color="auto" w:fill="auto"/>
            <w:vAlign w:val="center"/>
            <w:hideMark/>
          </w:tcPr>
          <w:p w14:paraId="0113B2BA" w14:textId="02642891" w:rsidR="00786D1E" w:rsidRPr="008E6427" w:rsidRDefault="00786D1E" w:rsidP="00786D1E">
            <w:pPr>
              <w:jc w:val="both"/>
              <w:rPr>
                <w:rFonts w:ascii="ITC Avant Garde" w:hAnsi="ITC Avant Garde"/>
                <w:color w:val="000000"/>
                <w:sz w:val="20"/>
                <w:szCs w:val="20"/>
              </w:rPr>
            </w:pPr>
            <w:r>
              <w:rPr>
                <w:rFonts w:ascii="ITC Avant Garde" w:hAnsi="ITC Avant Garde"/>
                <w:color w:val="000000"/>
                <w:sz w:val="20"/>
                <w:szCs w:val="20"/>
              </w:rPr>
              <w:t xml:space="preserve">El Instituto agradece los comentarios </w:t>
            </w:r>
            <w:r w:rsidRPr="00786D1E">
              <w:rPr>
                <w:rFonts w:ascii="ITC Avant Garde" w:hAnsi="ITC Avant Garde"/>
                <w:color w:val="000000"/>
                <w:sz w:val="20"/>
                <w:szCs w:val="20"/>
              </w:rPr>
              <w:t xml:space="preserve">realizados por </w:t>
            </w:r>
            <w:r>
              <w:rPr>
                <w:rFonts w:ascii="ITC Avant Garde" w:hAnsi="ITC Avant Garde"/>
                <w:color w:val="000000"/>
                <w:sz w:val="20"/>
                <w:szCs w:val="20"/>
              </w:rPr>
              <w:t xml:space="preserve">los </w:t>
            </w:r>
            <w:r w:rsidRPr="00786D1E">
              <w:rPr>
                <w:rFonts w:ascii="ITC Avant Garde" w:hAnsi="ITC Avant Garde"/>
                <w:color w:val="000000"/>
                <w:sz w:val="20"/>
                <w:szCs w:val="20"/>
              </w:rPr>
              <w:t>participante</w:t>
            </w:r>
            <w:r>
              <w:rPr>
                <w:rFonts w:ascii="ITC Avant Garde" w:hAnsi="ITC Avant Garde"/>
                <w:color w:val="000000"/>
                <w:sz w:val="20"/>
                <w:szCs w:val="20"/>
              </w:rPr>
              <w:t>s</w:t>
            </w:r>
            <w:r w:rsidRPr="00786D1E">
              <w:rPr>
                <w:rFonts w:ascii="ITC Avant Garde" w:hAnsi="ITC Avant Garde"/>
                <w:color w:val="000000"/>
                <w:sz w:val="20"/>
                <w:szCs w:val="20"/>
              </w:rPr>
              <w:t>. La información</w:t>
            </w:r>
            <w:r>
              <w:rPr>
                <w:rFonts w:ascii="ITC Avant Garde" w:hAnsi="ITC Avant Garde"/>
                <w:color w:val="000000"/>
                <w:sz w:val="20"/>
                <w:szCs w:val="20"/>
              </w:rPr>
              <w:t xml:space="preserve"> </w:t>
            </w:r>
            <w:r w:rsidRPr="00786D1E">
              <w:rPr>
                <w:rFonts w:ascii="ITC Avant Garde" w:hAnsi="ITC Avant Garde"/>
                <w:color w:val="000000"/>
                <w:sz w:val="20"/>
                <w:szCs w:val="20"/>
              </w:rPr>
              <w:t>aportada será considerada para</w:t>
            </w:r>
            <w:r>
              <w:rPr>
                <w:rFonts w:ascii="ITC Avant Garde" w:hAnsi="ITC Avant Garde"/>
                <w:color w:val="000000"/>
                <w:sz w:val="20"/>
                <w:szCs w:val="20"/>
              </w:rPr>
              <w:t xml:space="preserve"> </w:t>
            </w:r>
            <w:r w:rsidRPr="00786D1E">
              <w:rPr>
                <w:rFonts w:ascii="ITC Avant Garde" w:hAnsi="ITC Avant Garde"/>
                <w:color w:val="000000"/>
                <w:sz w:val="20"/>
                <w:szCs w:val="20"/>
              </w:rPr>
              <w:t>las actividades regulatorias en</w:t>
            </w:r>
            <w:r>
              <w:rPr>
                <w:rFonts w:ascii="ITC Avant Garde" w:hAnsi="ITC Avant Garde"/>
                <w:color w:val="000000"/>
                <w:sz w:val="20"/>
                <w:szCs w:val="20"/>
              </w:rPr>
              <w:t xml:space="preserve"> </w:t>
            </w:r>
            <w:r w:rsidRPr="00786D1E">
              <w:rPr>
                <w:rFonts w:ascii="ITC Avant Garde" w:hAnsi="ITC Avant Garde"/>
                <w:color w:val="000000"/>
                <w:sz w:val="20"/>
                <w:szCs w:val="20"/>
              </w:rPr>
              <w:t>materia de espectro radioeléctrico.</w:t>
            </w:r>
          </w:p>
          <w:p w14:paraId="425B0C68" w14:textId="323225B9" w:rsidR="008E6427" w:rsidRPr="008E6427" w:rsidRDefault="008E6427">
            <w:pPr>
              <w:jc w:val="both"/>
              <w:rPr>
                <w:rFonts w:ascii="ITC Avant Garde" w:hAnsi="ITC Avant Garde"/>
                <w:color w:val="000000"/>
                <w:sz w:val="20"/>
                <w:szCs w:val="20"/>
              </w:rPr>
            </w:pPr>
          </w:p>
        </w:tc>
      </w:tr>
      <w:tr w:rsidR="0018589A" w:rsidRPr="008E6427" w14:paraId="4A92EB39" w14:textId="77777777" w:rsidTr="00786D1E">
        <w:trPr>
          <w:gridAfter w:val="1"/>
          <w:wAfter w:w="7" w:type="pct"/>
          <w:trHeight w:val="1382"/>
        </w:trPr>
        <w:tc>
          <w:tcPr>
            <w:tcW w:w="909" w:type="pct"/>
            <w:vMerge/>
            <w:tcBorders>
              <w:top w:val="single" w:sz="8" w:space="0" w:color="auto"/>
              <w:left w:val="single" w:sz="8" w:space="0" w:color="auto"/>
              <w:bottom w:val="nil"/>
              <w:right w:val="single" w:sz="8" w:space="0" w:color="000000"/>
            </w:tcBorders>
            <w:vAlign w:val="center"/>
            <w:hideMark/>
          </w:tcPr>
          <w:p w14:paraId="74734B9A"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auto" w:fill="auto"/>
            <w:hideMark/>
          </w:tcPr>
          <w:p w14:paraId="06283ABA"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Es necesario que se considere la asignación de más espectro para 5G en diversas bandas (baja, media y alta) con el fin de que los operadores que eventualmente adquieran frecuencias puedan elegir las frecuencias más adecuadas para el aplicativo a implementarse.</w:t>
            </w:r>
          </w:p>
        </w:tc>
        <w:tc>
          <w:tcPr>
            <w:tcW w:w="2006" w:type="pct"/>
            <w:vMerge/>
            <w:tcBorders>
              <w:top w:val="single" w:sz="8" w:space="0" w:color="auto"/>
              <w:left w:val="single" w:sz="8" w:space="0" w:color="auto"/>
              <w:bottom w:val="nil"/>
              <w:right w:val="single" w:sz="8" w:space="0" w:color="000000"/>
            </w:tcBorders>
            <w:vAlign w:val="center"/>
            <w:hideMark/>
          </w:tcPr>
          <w:p w14:paraId="506194B6" w14:textId="77777777" w:rsidR="008E6427" w:rsidRPr="008E6427" w:rsidRDefault="008E6427">
            <w:pPr>
              <w:rPr>
                <w:rFonts w:ascii="ITC Avant Garde" w:hAnsi="ITC Avant Garde"/>
                <w:color w:val="000000"/>
                <w:sz w:val="20"/>
                <w:szCs w:val="20"/>
              </w:rPr>
            </w:pPr>
          </w:p>
        </w:tc>
      </w:tr>
      <w:tr w:rsidR="0018589A" w:rsidRPr="008E6427" w14:paraId="1009A321" w14:textId="77777777" w:rsidTr="00786D1E">
        <w:trPr>
          <w:gridAfter w:val="1"/>
          <w:wAfter w:w="7" w:type="pct"/>
          <w:trHeight w:val="298"/>
        </w:trPr>
        <w:tc>
          <w:tcPr>
            <w:tcW w:w="909" w:type="pct"/>
            <w:vMerge/>
            <w:tcBorders>
              <w:top w:val="single" w:sz="8" w:space="0" w:color="auto"/>
              <w:left w:val="single" w:sz="8" w:space="0" w:color="auto"/>
              <w:bottom w:val="nil"/>
              <w:right w:val="single" w:sz="8" w:space="0" w:color="000000"/>
            </w:tcBorders>
            <w:vAlign w:val="center"/>
            <w:hideMark/>
          </w:tcPr>
          <w:p w14:paraId="0156D323"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auto" w:fill="auto"/>
            <w:vAlign w:val="center"/>
            <w:hideMark/>
          </w:tcPr>
          <w:p w14:paraId="7AEE88A1" w14:textId="315B86F5" w:rsidR="008E6427" w:rsidRPr="008E6427" w:rsidRDefault="008E6427" w:rsidP="004654CE">
            <w:pPr>
              <w:rPr>
                <w:rFonts w:ascii="ITC Avant Garde" w:hAnsi="ITC Avant Garde"/>
                <w:b/>
                <w:bCs/>
                <w:color w:val="000000"/>
                <w:sz w:val="20"/>
                <w:szCs w:val="20"/>
              </w:rPr>
            </w:pPr>
            <w:r w:rsidRPr="008E6427">
              <w:rPr>
                <w:rFonts w:ascii="ITC Avant Garde" w:hAnsi="ITC Avant Garde"/>
                <w:b/>
                <w:bCs/>
                <w:color w:val="000000"/>
                <w:sz w:val="20"/>
                <w:szCs w:val="20"/>
              </w:rPr>
              <w:t>Huawei Technologies de México S.A. de C.V. (Huawei)</w:t>
            </w:r>
          </w:p>
        </w:tc>
        <w:tc>
          <w:tcPr>
            <w:tcW w:w="2006" w:type="pct"/>
            <w:vMerge/>
            <w:tcBorders>
              <w:top w:val="single" w:sz="8" w:space="0" w:color="auto"/>
              <w:left w:val="single" w:sz="8" w:space="0" w:color="auto"/>
              <w:bottom w:val="nil"/>
              <w:right w:val="single" w:sz="8" w:space="0" w:color="000000"/>
            </w:tcBorders>
            <w:vAlign w:val="center"/>
            <w:hideMark/>
          </w:tcPr>
          <w:p w14:paraId="2BFC7B0E" w14:textId="77777777" w:rsidR="008E6427" w:rsidRPr="008E6427" w:rsidRDefault="008E6427">
            <w:pPr>
              <w:rPr>
                <w:rFonts w:ascii="ITC Avant Garde" w:hAnsi="ITC Avant Garde"/>
                <w:color w:val="000000"/>
                <w:sz w:val="20"/>
                <w:szCs w:val="20"/>
              </w:rPr>
            </w:pPr>
          </w:p>
        </w:tc>
      </w:tr>
      <w:tr w:rsidR="0018589A" w:rsidRPr="008E6427" w14:paraId="6E855216" w14:textId="77777777" w:rsidTr="00786D1E">
        <w:trPr>
          <w:gridAfter w:val="1"/>
          <w:wAfter w:w="7" w:type="pct"/>
          <w:trHeight w:val="2105"/>
        </w:trPr>
        <w:tc>
          <w:tcPr>
            <w:tcW w:w="909" w:type="pct"/>
            <w:vMerge/>
            <w:tcBorders>
              <w:top w:val="single" w:sz="8" w:space="0" w:color="auto"/>
              <w:left w:val="single" w:sz="8" w:space="0" w:color="auto"/>
              <w:bottom w:val="nil"/>
              <w:right w:val="single" w:sz="8" w:space="0" w:color="000000"/>
            </w:tcBorders>
            <w:vAlign w:val="center"/>
            <w:hideMark/>
          </w:tcPr>
          <w:p w14:paraId="5CC3D0B3"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single" w:sz="8" w:space="0" w:color="auto"/>
              <w:right w:val="single" w:sz="8" w:space="0" w:color="000000"/>
            </w:tcBorders>
            <w:shd w:val="clear" w:color="auto" w:fill="auto"/>
            <w:hideMark/>
          </w:tcPr>
          <w:p w14:paraId="5F2A4734"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Se sugiere que aumentar la granularidad de las áreas geográficas podría mejorar el proceso de subasta de bandas de frecuencias al permitir que pequeños participantes adquieran recursos adecuados para sus despliegues. No obstante, se recomienda analizar las condiciones para aplicar esta metodología. Por ejemplo, las APS podrían funcionar mejor en frecuencias milimétricas que en bandas bajas en términos de rendimiento y eficiencia.</w:t>
            </w:r>
          </w:p>
        </w:tc>
        <w:tc>
          <w:tcPr>
            <w:tcW w:w="2006" w:type="pct"/>
            <w:vMerge/>
            <w:tcBorders>
              <w:top w:val="single" w:sz="8" w:space="0" w:color="auto"/>
              <w:left w:val="single" w:sz="8" w:space="0" w:color="auto"/>
              <w:bottom w:val="nil"/>
              <w:right w:val="single" w:sz="8" w:space="0" w:color="000000"/>
            </w:tcBorders>
            <w:vAlign w:val="center"/>
            <w:hideMark/>
          </w:tcPr>
          <w:p w14:paraId="73FA9078" w14:textId="77777777" w:rsidR="008E6427" w:rsidRPr="008E6427" w:rsidRDefault="008E6427">
            <w:pPr>
              <w:rPr>
                <w:rFonts w:ascii="ITC Avant Garde" w:hAnsi="ITC Avant Garde"/>
                <w:color w:val="000000"/>
                <w:sz w:val="20"/>
                <w:szCs w:val="20"/>
              </w:rPr>
            </w:pPr>
          </w:p>
        </w:tc>
      </w:tr>
      <w:tr w:rsidR="0018589A" w:rsidRPr="008E6427" w14:paraId="1A7FA956" w14:textId="77777777" w:rsidTr="00786D1E">
        <w:trPr>
          <w:gridAfter w:val="1"/>
          <w:wAfter w:w="7" w:type="pct"/>
          <w:trHeight w:val="921"/>
        </w:trPr>
        <w:tc>
          <w:tcPr>
            <w:tcW w:w="909" w:type="pct"/>
            <w:vMerge/>
            <w:tcBorders>
              <w:top w:val="single" w:sz="8" w:space="0" w:color="auto"/>
              <w:left w:val="single" w:sz="8" w:space="0" w:color="auto"/>
              <w:bottom w:val="nil"/>
              <w:right w:val="single" w:sz="8" w:space="0" w:color="000000"/>
            </w:tcBorders>
            <w:vAlign w:val="center"/>
            <w:hideMark/>
          </w:tcPr>
          <w:p w14:paraId="0BAB17FF"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auto" w:fill="auto"/>
            <w:vAlign w:val="center"/>
            <w:hideMark/>
          </w:tcPr>
          <w:p w14:paraId="3DC44ACF"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t>AT&amp;T Comunicaciones Digitales, S. de R.L. de C.V., Grupo AT&amp;T Celular, S. de R.L. de C.V. y AT&amp;T Comercialización Móvil, S. de R.L. de C.V. (AT&amp;T)</w:t>
            </w:r>
          </w:p>
        </w:tc>
        <w:tc>
          <w:tcPr>
            <w:tcW w:w="2006" w:type="pct"/>
            <w:vMerge/>
            <w:tcBorders>
              <w:top w:val="single" w:sz="8" w:space="0" w:color="auto"/>
              <w:left w:val="single" w:sz="8" w:space="0" w:color="auto"/>
              <w:bottom w:val="nil"/>
              <w:right w:val="single" w:sz="8" w:space="0" w:color="000000"/>
            </w:tcBorders>
            <w:vAlign w:val="center"/>
            <w:hideMark/>
          </w:tcPr>
          <w:p w14:paraId="2E76B161" w14:textId="77777777" w:rsidR="008E6427" w:rsidRPr="008E6427" w:rsidRDefault="008E6427">
            <w:pPr>
              <w:rPr>
                <w:rFonts w:ascii="ITC Avant Garde" w:hAnsi="ITC Avant Garde"/>
                <w:color w:val="000000"/>
                <w:sz w:val="20"/>
                <w:szCs w:val="20"/>
              </w:rPr>
            </w:pPr>
          </w:p>
        </w:tc>
      </w:tr>
      <w:tr w:rsidR="0018589A" w:rsidRPr="008E6427" w14:paraId="3A5F63D1" w14:textId="77777777" w:rsidTr="00786D1E">
        <w:trPr>
          <w:gridAfter w:val="1"/>
          <w:wAfter w:w="7" w:type="pct"/>
          <w:trHeight w:val="680"/>
        </w:trPr>
        <w:tc>
          <w:tcPr>
            <w:tcW w:w="909" w:type="pct"/>
            <w:vMerge/>
            <w:tcBorders>
              <w:top w:val="single" w:sz="8" w:space="0" w:color="auto"/>
              <w:left w:val="single" w:sz="8" w:space="0" w:color="auto"/>
              <w:bottom w:val="nil"/>
              <w:right w:val="single" w:sz="8" w:space="0" w:color="000000"/>
            </w:tcBorders>
            <w:vAlign w:val="center"/>
            <w:hideMark/>
          </w:tcPr>
          <w:p w14:paraId="2E900C94"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auto" w:fill="auto"/>
            <w:vAlign w:val="center"/>
            <w:hideMark/>
          </w:tcPr>
          <w:p w14:paraId="673F566A" w14:textId="77777777" w:rsidR="008E6427" w:rsidRPr="008E6427" w:rsidRDefault="008E6427">
            <w:pPr>
              <w:rPr>
                <w:rFonts w:ascii="ITC Avant Garde" w:hAnsi="ITC Avant Garde"/>
                <w:color w:val="000000"/>
                <w:sz w:val="20"/>
                <w:szCs w:val="20"/>
              </w:rPr>
            </w:pPr>
            <w:r w:rsidRPr="008E6427">
              <w:rPr>
                <w:rFonts w:ascii="ITC Avant Garde" w:hAnsi="ITC Avant Garde"/>
                <w:color w:val="000000"/>
                <w:sz w:val="20"/>
                <w:szCs w:val="20"/>
              </w:rPr>
              <w:t>El marco regulatorio de las telecomunicaciones en México se basa en un esquema de libertad tecnológica del que gozan los concesionarios.</w:t>
            </w:r>
          </w:p>
        </w:tc>
        <w:tc>
          <w:tcPr>
            <w:tcW w:w="2006" w:type="pct"/>
            <w:vMerge/>
            <w:tcBorders>
              <w:top w:val="single" w:sz="8" w:space="0" w:color="auto"/>
              <w:left w:val="single" w:sz="8" w:space="0" w:color="auto"/>
              <w:bottom w:val="nil"/>
              <w:right w:val="single" w:sz="8" w:space="0" w:color="000000"/>
            </w:tcBorders>
            <w:vAlign w:val="center"/>
            <w:hideMark/>
          </w:tcPr>
          <w:p w14:paraId="03E319BF" w14:textId="77777777" w:rsidR="008E6427" w:rsidRPr="008E6427" w:rsidRDefault="008E6427">
            <w:pPr>
              <w:rPr>
                <w:rFonts w:ascii="ITC Avant Garde" w:hAnsi="ITC Avant Garde"/>
                <w:color w:val="000000"/>
                <w:sz w:val="20"/>
                <w:szCs w:val="20"/>
              </w:rPr>
            </w:pPr>
          </w:p>
        </w:tc>
      </w:tr>
      <w:tr w:rsidR="0018589A" w:rsidRPr="008E6427" w14:paraId="67377711" w14:textId="77777777" w:rsidTr="00786D1E">
        <w:trPr>
          <w:gridAfter w:val="1"/>
          <w:wAfter w:w="7" w:type="pct"/>
          <w:trHeight w:val="268"/>
        </w:trPr>
        <w:tc>
          <w:tcPr>
            <w:tcW w:w="909" w:type="pct"/>
            <w:vMerge/>
            <w:tcBorders>
              <w:top w:val="single" w:sz="8" w:space="0" w:color="auto"/>
              <w:left w:val="single" w:sz="8" w:space="0" w:color="auto"/>
              <w:bottom w:val="nil"/>
              <w:right w:val="single" w:sz="8" w:space="0" w:color="000000"/>
            </w:tcBorders>
            <w:vAlign w:val="center"/>
            <w:hideMark/>
          </w:tcPr>
          <w:p w14:paraId="788521F0"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auto" w:fill="auto"/>
            <w:vAlign w:val="center"/>
            <w:hideMark/>
          </w:tcPr>
          <w:p w14:paraId="2673EC4D"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t>RADIOMÓVIL DIPSA, S.A. DE C.V. (Telcel)</w:t>
            </w:r>
          </w:p>
        </w:tc>
        <w:tc>
          <w:tcPr>
            <w:tcW w:w="2006" w:type="pct"/>
            <w:vMerge/>
            <w:tcBorders>
              <w:top w:val="single" w:sz="8" w:space="0" w:color="auto"/>
              <w:left w:val="single" w:sz="8" w:space="0" w:color="auto"/>
              <w:bottom w:val="nil"/>
              <w:right w:val="single" w:sz="8" w:space="0" w:color="000000"/>
            </w:tcBorders>
            <w:vAlign w:val="center"/>
            <w:hideMark/>
          </w:tcPr>
          <w:p w14:paraId="483D000B" w14:textId="77777777" w:rsidR="008E6427" w:rsidRPr="008E6427" w:rsidRDefault="008E6427">
            <w:pPr>
              <w:rPr>
                <w:rFonts w:ascii="ITC Avant Garde" w:hAnsi="ITC Avant Garde"/>
                <w:color w:val="000000"/>
                <w:sz w:val="20"/>
                <w:szCs w:val="20"/>
              </w:rPr>
            </w:pPr>
          </w:p>
        </w:tc>
      </w:tr>
      <w:tr w:rsidR="0018589A" w:rsidRPr="008E6427" w14:paraId="2750583E" w14:textId="77777777" w:rsidTr="00786D1E">
        <w:trPr>
          <w:gridAfter w:val="1"/>
          <w:wAfter w:w="7" w:type="pct"/>
          <w:trHeight w:val="2798"/>
        </w:trPr>
        <w:tc>
          <w:tcPr>
            <w:tcW w:w="909" w:type="pct"/>
            <w:vMerge/>
            <w:tcBorders>
              <w:top w:val="single" w:sz="8" w:space="0" w:color="auto"/>
              <w:left w:val="single" w:sz="8" w:space="0" w:color="auto"/>
              <w:bottom w:val="nil"/>
              <w:right w:val="single" w:sz="8" w:space="0" w:color="000000"/>
            </w:tcBorders>
            <w:vAlign w:val="center"/>
            <w:hideMark/>
          </w:tcPr>
          <w:p w14:paraId="55DFB58B"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auto" w:fill="auto"/>
            <w:vAlign w:val="center"/>
            <w:hideMark/>
          </w:tcPr>
          <w:p w14:paraId="024484B2" w14:textId="77777777" w:rsidR="008E6427" w:rsidRPr="008E6427" w:rsidRDefault="008E6427">
            <w:pPr>
              <w:rPr>
                <w:rFonts w:ascii="ITC Avant Garde" w:hAnsi="ITC Avant Garde"/>
                <w:color w:val="000000"/>
                <w:sz w:val="20"/>
                <w:szCs w:val="20"/>
              </w:rPr>
            </w:pPr>
            <w:r w:rsidRPr="008E6427">
              <w:rPr>
                <w:rFonts w:ascii="ITC Avant Garde" w:hAnsi="ITC Avant Garde"/>
                <w:color w:val="000000"/>
                <w:sz w:val="20"/>
                <w:szCs w:val="20"/>
              </w:rPr>
              <w:t>El Instituto debe ponderar el antecedente de la licitación IFT-10 en la banda de 800 MHz, donde solo hubo una oferta para ABS 9.01 en la CDMX y su área metropolitana, dejando desiertos 36 bloques restantes. Esto afecto la generación efectiva de economía de escala debido al mínimo despliegue de la red. Es crucial que el Gobierno Federal, a través de FINABIEN, invirtiera en las localidades marginadas del país para reducir la brecha digital. Fragmentar las áreas de servicio según lo propuesto podría generar mayores restricciones técnicas, especialmente en las fronteras entre bandas de frecuencia, donde se requiere protección contra interferencias entre operadores. Esto podría implicar las necesidades de una banda de guarda o zonas geográficas donde ningún operador pueda utilizar el espectro.</w:t>
            </w:r>
          </w:p>
        </w:tc>
        <w:tc>
          <w:tcPr>
            <w:tcW w:w="2006" w:type="pct"/>
            <w:vMerge/>
            <w:tcBorders>
              <w:top w:val="single" w:sz="8" w:space="0" w:color="auto"/>
              <w:left w:val="single" w:sz="8" w:space="0" w:color="auto"/>
              <w:bottom w:val="nil"/>
              <w:right w:val="single" w:sz="8" w:space="0" w:color="000000"/>
            </w:tcBorders>
            <w:vAlign w:val="center"/>
            <w:hideMark/>
          </w:tcPr>
          <w:p w14:paraId="19A3430F" w14:textId="77777777" w:rsidR="008E6427" w:rsidRPr="008E6427" w:rsidRDefault="008E6427">
            <w:pPr>
              <w:rPr>
                <w:rFonts w:ascii="ITC Avant Garde" w:hAnsi="ITC Avant Garde"/>
                <w:color w:val="000000"/>
                <w:sz w:val="20"/>
                <w:szCs w:val="20"/>
              </w:rPr>
            </w:pPr>
          </w:p>
        </w:tc>
      </w:tr>
      <w:tr w:rsidR="0018589A" w:rsidRPr="008E6427" w14:paraId="5943E1EA" w14:textId="77777777" w:rsidTr="00786D1E">
        <w:trPr>
          <w:gridAfter w:val="1"/>
          <w:wAfter w:w="7" w:type="pct"/>
          <w:trHeight w:val="1531"/>
        </w:trPr>
        <w:tc>
          <w:tcPr>
            <w:tcW w:w="909" w:type="pct"/>
            <w:vMerge w:val="restart"/>
            <w:tcBorders>
              <w:top w:val="single" w:sz="8" w:space="0" w:color="auto"/>
              <w:left w:val="single" w:sz="8" w:space="0" w:color="auto"/>
              <w:bottom w:val="nil"/>
              <w:right w:val="single" w:sz="8" w:space="0" w:color="000000"/>
            </w:tcBorders>
            <w:shd w:val="clear" w:color="000000" w:fill="D9D9D9"/>
            <w:vAlign w:val="center"/>
            <w:hideMark/>
          </w:tcPr>
          <w:p w14:paraId="5055F912" w14:textId="77777777" w:rsidR="008E6427" w:rsidRPr="008E6427" w:rsidRDefault="008E6427">
            <w:pPr>
              <w:jc w:val="center"/>
              <w:rPr>
                <w:rFonts w:ascii="ITC Avant Garde" w:hAnsi="ITC Avant Garde"/>
                <w:b/>
                <w:bCs/>
                <w:color w:val="000000"/>
                <w:sz w:val="20"/>
                <w:szCs w:val="20"/>
              </w:rPr>
            </w:pPr>
            <w:r w:rsidRPr="008E6427">
              <w:rPr>
                <w:rFonts w:ascii="ITC Avant Garde" w:hAnsi="ITC Avant Garde"/>
                <w:b/>
                <w:bCs/>
                <w:color w:val="000000"/>
                <w:sz w:val="20"/>
                <w:szCs w:val="20"/>
              </w:rPr>
              <w:t xml:space="preserve">2) ¿Considera que el número propuesto de 320 Áreas Parciales de Servicio (APS) es adecuado para </w:t>
            </w:r>
            <w:r w:rsidRPr="008E6427">
              <w:rPr>
                <w:rFonts w:ascii="ITC Avant Garde" w:hAnsi="ITC Avant Garde"/>
                <w:b/>
                <w:bCs/>
                <w:color w:val="000000"/>
                <w:sz w:val="20"/>
                <w:szCs w:val="20"/>
              </w:rPr>
              <w:lastRenderedPageBreak/>
              <w:t xml:space="preserve">promover mayor concurrencia en los procesos de licitación pública de espectro radioeléctrico? </w:t>
            </w:r>
          </w:p>
        </w:tc>
        <w:tc>
          <w:tcPr>
            <w:tcW w:w="2078" w:type="pct"/>
            <w:tcBorders>
              <w:top w:val="single" w:sz="8" w:space="0" w:color="auto"/>
              <w:left w:val="nil"/>
              <w:bottom w:val="nil"/>
              <w:right w:val="single" w:sz="8" w:space="0" w:color="000000"/>
            </w:tcBorders>
            <w:shd w:val="clear" w:color="000000" w:fill="D9D9D9"/>
            <w:vAlign w:val="center"/>
            <w:hideMark/>
          </w:tcPr>
          <w:p w14:paraId="0D410A5F"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lastRenderedPageBreak/>
              <w:t>Megacable Comunicaciones de México, S.A. de C.V.</w:t>
            </w:r>
            <w:r w:rsidRPr="008E6427">
              <w:rPr>
                <w:rFonts w:ascii="ITC Avant Garde" w:hAnsi="ITC Avant Garde"/>
                <w:color w:val="000000"/>
                <w:sz w:val="20"/>
                <w:szCs w:val="20"/>
              </w:rPr>
              <w:t xml:space="preserve">    </w:t>
            </w:r>
          </w:p>
        </w:tc>
        <w:tc>
          <w:tcPr>
            <w:tcW w:w="2006" w:type="pct"/>
            <w:vMerge w:val="restart"/>
            <w:tcBorders>
              <w:top w:val="single" w:sz="8" w:space="0" w:color="auto"/>
              <w:left w:val="single" w:sz="8" w:space="0" w:color="auto"/>
              <w:bottom w:val="nil"/>
              <w:right w:val="single" w:sz="8" w:space="0" w:color="000000"/>
            </w:tcBorders>
            <w:shd w:val="clear" w:color="000000" w:fill="D9D9D9"/>
            <w:vAlign w:val="center"/>
          </w:tcPr>
          <w:p w14:paraId="6159D637" w14:textId="77777777" w:rsidR="00786D1E" w:rsidRPr="008E6427" w:rsidRDefault="00786D1E" w:rsidP="00786D1E">
            <w:pPr>
              <w:jc w:val="both"/>
              <w:rPr>
                <w:rFonts w:ascii="ITC Avant Garde" w:hAnsi="ITC Avant Garde"/>
                <w:color w:val="000000"/>
                <w:sz w:val="20"/>
                <w:szCs w:val="20"/>
              </w:rPr>
            </w:pPr>
            <w:r>
              <w:rPr>
                <w:rFonts w:ascii="ITC Avant Garde" w:hAnsi="ITC Avant Garde"/>
                <w:color w:val="000000"/>
                <w:sz w:val="20"/>
                <w:szCs w:val="20"/>
              </w:rPr>
              <w:t xml:space="preserve">El Instituto agradece los comentarios </w:t>
            </w:r>
            <w:r w:rsidRPr="00786D1E">
              <w:rPr>
                <w:rFonts w:ascii="ITC Avant Garde" w:hAnsi="ITC Avant Garde"/>
                <w:color w:val="000000"/>
                <w:sz w:val="20"/>
                <w:szCs w:val="20"/>
              </w:rPr>
              <w:t xml:space="preserve">realizados por </w:t>
            </w:r>
            <w:r>
              <w:rPr>
                <w:rFonts w:ascii="ITC Avant Garde" w:hAnsi="ITC Avant Garde"/>
                <w:color w:val="000000"/>
                <w:sz w:val="20"/>
                <w:szCs w:val="20"/>
              </w:rPr>
              <w:t xml:space="preserve">los </w:t>
            </w:r>
            <w:r w:rsidRPr="00786D1E">
              <w:rPr>
                <w:rFonts w:ascii="ITC Avant Garde" w:hAnsi="ITC Avant Garde"/>
                <w:color w:val="000000"/>
                <w:sz w:val="20"/>
                <w:szCs w:val="20"/>
              </w:rPr>
              <w:t>participante</w:t>
            </w:r>
            <w:r>
              <w:rPr>
                <w:rFonts w:ascii="ITC Avant Garde" w:hAnsi="ITC Avant Garde"/>
                <w:color w:val="000000"/>
                <w:sz w:val="20"/>
                <w:szCs w:val="20"/>
              </w:rPr>
              <w:t>s</w:t>
            </w:r>
            <w:r w:rsidRPr="00786D1E">
              <w:rPr>
                <w:rFonts w:ascii="ITC Avant Garde" w:hAnsi="ITC Avant Garde"/>
                <w:color w:val="000000"/>
                <w:sz w:val="20"/>
                <w:szCs w:val="20"/>
              </w:rPr>
              <w:t>. La información</w:t>
            </w:r>
            <w:r>
              <w:rPr>
                <w:rFonts w:ascii="ITC Avant Garde" w:hAnsi="ITC Avant Garde"/>
                <w:color w:val="000000"/>
                <w:sz w:val="20"/>
                <w:szCs w:val="20"/>
              </w:rPr>
              <w:t xml:space="preserve"> </w:t>
            </w:r>
            <w:r w:rsidRPr="00786D1E">
              <w:rPr>
                <w:rFonts w:ascii="ITC Avant Garde" w:hAnsi="ITC Avant Garde"/>
                <w:color w:val="000000"/>
                <w:sz w:val="20"/>
                <w:szCs w:val="20"/>
              </w:rPr>
              <w:t>aportada será considerada para</w:t>
            </w:r>
            <w:r>
              <w:rPr>
                <w:rFonts w:ascii="ITC Avant Garde" w:hAnsi="ITC Avant Garde"/>
                <w:color w:val="000000"/>
                <w:sz w:val="20"/>
                <w:szCs w:val="20"/>
              </w:rPr>
              <w:t xml:space="preserve"> </w:t>
            </w:r>
            <w:r w:rsidRPr="00786D1E">
              <w:rPr>
                <w:rFonts w:ascii="ITC Avant Garde" w:hAnsi="ITC Avant Garde"/>
                <w:color w:val="000000"/>
                <w:sz w:val="20"/>
                <w:szCs w:val="20"/>
              </w:rPr>
              <w:t>las actividades regulatorias en</w:t>
            </w:r>
            <w:r>
              <w:rPr>
                <w:rFonts w:ascii="ITC Avant Garde" w:hAnsi="ITC Avant Garde"/>
                <w:color w:val="000000"/>
                <w:sz w:val="20"/>
                <w:szCs w:val="20"/>
              </w:rPr>
              <w:t xml:space="preserve"> </w:t>
            </w:r>
            <w:r w:rsidRPr="00786D1E">
              <w:rPr>
                <w:rFonts w:ascii="ITC Avant Garde" w:hAnsi="ITC Avant Garde"/>
                <w:color w:val="000000"/>
                <w:sz w:val="20"/>
                <w:szCs w:val="20"/>
              </w:rPr>
              <w:t>materia de espectro radioeléctrico.</w:t>
            </w:r>
          </w:p>
          <w:p w14:paraId="1337A865" w14:textId="522B4744" w:rsidR="008E6427" w:rsidRPr="008E6427" w:rsidRDefault="008E6427" w:rsidP="004654CE">
            <w:pPr>
              <w:jc w:val="both"/>
              <w:rPr>
                <w:rFonts w:ascii="ITC Avant Garde" w:hAnsi="ITC Avant Garde"/>
                <w:color w:val="000000"/>
                <w:sz w:val="20"/>
                <w:szCs w:val="20"/>
              </w:rPr>
            </w:pPr>
          </w:p>
        </w:tc>
      </w:tr>
      <w:tr w:rsidR="0018589A" w:rsidRPr="008E6427" w14:paraId="7D6A0D40" w14:textId="77777777" w:rsidTr="00786D1E">
        <w:trPr>
          <w:gridAfter w:val="1"/>
          <w:wAfter w:w="7" w:type="pct"/>
          <w:trHeight w:val="1931"/>
        </w:trPr>
        <w:tc>
          <w:tcPr>
            <w:tcW w:w="909" w:type="pct"/>
            <w:vMerge/>
            <w:tcBorders>
              <w:top w:val="single" w:sz="8" w:space="0" w:color="auto"/>
              <w:left w:val="single" w:sz="8" w:space="0" w:color="auto"/>
              <w:bottom w:val="nil"/>
              <w:right w:val="single" w:sz="8" w:space="0" w:color="000000"/>
            </w:tcBorders>
            <w:vAlign w:val="center"/>
            <w:hideMark/>
          </w:tcPr>
          <w:p w14:paraId="1C3EA2D4"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000000" w:fill="D9D9D9"/>
            <w:vAlign w:val="center"/>
            <w:hideMark/>
          </w:tcPr>
          <w:p w14:paraId="29F96A2C"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Los proveedores móviles que los deberían estar habilitando, al parecer no tienen incentivos para hacerlo por diversas razones entre las cuales identificamos, el alto costo del espectro, el alto costo del equipo de red, la ausencia de soluciones masivas que les permite recuperar inversiones, la falta de incentivos para arrendar espectro, entre otros. Esta situación ocasiona que no exista una oferta de servicios factible tanto técnica, como económica, dejando a México en una situación de desventaja frente a otros países.</w:t>
            </w:r>
          </w:p>
        </w:tc>
        <w:tc>
          <w:tcPr>
            <w:tcW w:w="2006" w:type="pct"/>
            <w:vMerge/>
            <w:tcBorders>
              <w:top w:val="single" w:sz="8" w:space="0" w:color="auto"/>
              <w:left w:val="single" w:sz="8" w:space="0" w:color="auto"/>
              <w:bottom w:val="nil"/>
              <w:right w:val="single" w:sz="8" w:space="0" w:color="000000"/>
            </w:tcBorders>
            <w:vAlign w:val="center"/>
            <w:hideMark/>
          </w:tcPr>
          <w:p w14:paraId="606AD494" w14:textId="77777777" w:rsidR="008E6427" w:rsidRPr="008E6427" w:rsidRDefault="008E6427">
            <w:pPr>
              <w:rPr>
                <w:rFonts w:ascii="ITC Avant Garde" w:hAnsi="ITC Avant Garde"/>
                <w:color w:val="000000"/>
                <w:sz w:val="20"/>
                <w:szCs w:val="20"/>
              </w:rPr>
            </w:pPr>
          </w:p>
        </w:tc>
      </w:tr>
      <w:tr w:rsidR="0018589A" w:rsidRPr="008E6427" w14:paraId="0945A75D" w14:textId="77777777" w:rsidTr="00786D1E">
        <w:trPr>
          <w:gridAfter w:val="1"/>
          <w:wAfter w:w="7" w:type="pct"/>
          <w:trHeight w:val="288"/>
        </w:trPr>
        <w:tc>
          <w:tcPr>
            <w:tcW w:w="909" w:type="pct"/>
            <w:vMerge/>
            <w:tcBorders>
              <w:top w:val="single" w:sz="8" w:space="0" w:color="auto"/>
              <w:left w:val="single" w:sz="8" w:space="0" w:color="auto"/>
              <w:bottom w:val="nil"/>
              <w:right w:val="single" w:sz="8" w:space="0" w:color="000000"/>
            </w:tcBorders>
            <w:vAlign w:val="center"/>
            <w:hideMark/>
          </w:tcPr>
          <w:p w14:paraId="688B4822"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000000" w:fill="D9D9D9"/>
            <w:vAlign w:val="center"/>
            <w:hideMark/>
          </w:tcPr>
          <w:p w14:paraId="425B322B"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t xml:space="preserve">Huawei Technologies de México S.A. de C.V.          </w:t>
            </w:r>
          </w:p>
        </w:tc>
        <w:tc>
          <w:tcPr>
            <w:tcW w:w="2006" w:type="pct"/>
            <w:vMerge/>
            <w:tcBorders>
              <w:top w:val="single" w:sz="8" w:space="0" w:color="auto"/>
              <w:left w:val="single" w:sz="8" w:space="0" w:color="auto"/>
              <w:bottom w:val="nil"/>
              <w:right w:val="single" w:sz="8" w:space="0" w:color="000000"/>
            </w:tcBorders>
            <w:vAlign w:val="center"/>
            <w:hideMark/>
          </w:tcPr>
          <w:p w14:paraId="3FA07217" w14:textId="77777777" w:rsidR="008E6427" w:rsidRPr="008E6427" w:rsidRDefault="008E6427">
            <w:pPr>
              <w:rPr>
                <w:rFonts w:ascii="ITC Avant Garde" w:hAnsi="ITC Avant Garde"/>
                <w:color w:val="000000"/>
                <w:sz w:val="20"/>
                <w:szCs w:val="20"/>
              </w:rPr>
            </w:pPr>
          </w:p>
        </w:tc>
      </w:tr>
      <w:tr w:rsidR="0018589A" w:rsidRPr="008E6427" w14:paraId="2D659875" w14:textId="77777777" w:rsidTr="00786D1E">
        <w:trPr>
          <w:gridAfter w:val="1"/>
          <w:wAfter w:w="7" w:type="pct"/>
          <w:trHeight w:val="2529"/>
        </w:trPr>
        <w:tc>
          <w:tcPr>
            <w:tcW w:w="909" w:type="pct"/>
            <w:vMerge/>
            <w:tcBorders>
              <w:top w:val="single" w:sz="8" w:space="0" w:color="auto"/>
              <w:left w:val="single" w:sz="8" w:space="0" w:color="auto"/>
              <w:bottom w:val="nil"/>
              <w:right w:val="single" w:sz="8" w:space="0" w:color="000000"/>
            </w:tcBorders>
            <w:vAlign w:val="center"/>
            <w:hideMark/>
          </w:tcPr>
          <w:p w14:paraId="50324771"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000000" w:fill="D9D9D9"/>
            <w:vAlign w:val="center"/>
            <w:hideMark/>
          </w:tcPr>
          <w:p w14:paraId="33EB9DC8"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Se recomienda limitar las APS a no más de 320 y analizar las condiciones para la participación de nuevos ISP. Aunque la creación de estas áreas podría atraer a nuevos participantes ISP, es importante revisar las capacidades técnicas para garantizar el desarrollo eficiente de servicios en estas áreas. Se sugiere realizar un análisis más detallado de la metodología de creación de las APS para determinar su eficiencia en la asignación de espectro y el desarrollo de las áreas correspondientes.</w:t>
            </w:r>
          </w:p>
        </w:tc>
        <w:tc>
          <w:tcPr>
            <w:tcW w:w="2006" w:type="pct"/>
            <w:vMerge/>
            <w:tcBorders>
              <w:top w:val="single" w:sz="8" w:space="0" w:color="auto"/>
              <w:left w:val="single" w:sz="8" w:space="0" w:color="auto"/>
              <w:bottom w:val="nil"/>
              <w:right w:val="single" w:sz="8" w:space="0" w:color="000000"/>
            </w:tcBorders>
            <w:vAlign w:val="center"/>
            <w:hideMark/>
          </w:tcPr>
          <w:p w14:paraId="7110D26D" w14:textId="77777777" w:rsidR="008E6427" w:rsidRPr="008E6427" w:rsidRDefault="008E6427">
            <w:pPr>
              <w:rPr>
                <w:rFonts w:ascii="ITC Avant Garde" w:hAnsi="ITC Avant Garde"/>
                <w:color w:val="000000"/>
                <w:sz w:val="20"/>
                <w:szCs w:val="20"/>
              </w:rPr>
            </w:pPr>
          </w:p>
        </w:tc>
      </w:tr>
      <w:tr w:rsidR="0018589A" w:rsidRPr="008E6427" w14:paraId="25711E1B" w14:textId="77777777" w:rsidTr="00786D1E">
        <w:trPr>
          <w:gridAfter w:val="1"/>
          <w:wAfter w:w="7" w:type="pct"/>
          <w:trHeight w:val="828"/>
        </w:trPr>
        <w:tc>
          <w:tcPr>
            <w:tcW w:w="909" w:type="pct"/>
            <w:vMerge/>
            <w:tcBorders>
              <w:top w:val="single" w:sz="8" w:space="0" w:color="auto"/>
              <w:left w:val="single" w:sz="8" w:space="0" w:color="auto"/>
              <w:bottom w:val="nil"/>
              <w:right w:val="single" w:sz="8" w:space="0" w:color="000000"/>
            </w:tcBorders>
            <w:vAlign w:val="center"/>
            <w:hideMark/>
          </w:tcPr>
          <w:p w14:paraId="2D9699E5"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000000" w:fill="D9D9D9"/>
            <w:vAlign w:val="center"/>
            <w:hideMark/>
          </w:tcPr>
          <w:p w14:paraId="059AB46C" w14:textId="2B0D69A4" w:rsidR="008E6427" w:rsidRPr="008E6427" w:rsidRDefault="008E6427" w:rsidP="004654CE">
            <w:pPr>
              <w:jc w:val="both"/>
              <w:rPr>
                <w:rFonts w:ascii="ITC Avant Garde" w:hAnsi="ITC Avant Garde"/>
                <w:b/>
                <w:bCs/>
                <w:color w:val="000000"/>
                <w:sz w:val="20"/>
                <w:szCs w:val="20"/>
              </w:rPr>
            </w:pPr>
            <w:r w:rsidRPr="008E6427">
              <w:rPr>
                <w:rFonts w:ascii="ITC Avant Garde" w:hAnsi="ITC Avant Garde"/>
                <w:b/>
                <w:bCs/>
                <w:color w:val="000000"/>
                <w:sz w:val="20"/>
                <w:szCs w:val="20"/>
              </w:rPr>
              <w:t>AT&amp;T Comunicaciones Digitales, S. de R.L. de C.V., Grupo AT&amp;T Celular, S. de R.L. de C.V. y AT&amp;T Comercialización Móvil, S. de R.L. de C.V.</w:t>
            </w:r>
            <w:r w:rsidRPr="008E6427">
              <w:rPr>
                <w:rFonts w:ascii="ITC Avant Garde" w:hAnsi="ITC Avant Garde"/>
                <w:color w:val="000000"/>
                <w:sz w:val="20"/>
                <w:szCs w:val="20"/>
              </w:rPr>
              <w:t xml:space="preserve">                            </w:t>
            </w:r>
          </w:p>
        </w:tc>
        <w:tc>
          <w:tcPr>
            <w:tcW w:w="2006" w:type="pct"/>
            <w:vMerge/>
            <w:tcBorders>
              <w:top w:val="single" w:sz="8" w:space="0" w:color="auto"/>
              <w:left w:val="single" w:sz="8" w:space="0" w:color="auto"/>
              <w:bottom w:val="nil"/>
              <w:right w:val="single" w:sz="8" w:space="0" w:color="000000"/>
            </w:tcBorders>
            <w:vAlign w:val="center"/>
            <w:hideMark/>
          </w:tcPr>
          <w:p w14:paraId="1B0838A0" w14:textId="77777777" w:rsidR="008E6427" w:rsidRPr="008E6427" w:rsidRDefault="008E6427">
            <w:pPr>
              <w:rPr>
                <w:rFonts w:ascii="ITC Avant Garde" w:hAnsi="ITC Avant Garde"/>
                <w:color w:val="000000"/>
                <w:sz w:val="20"/>
                <w:szCs w:val="20"/>
              </w:rPr>
            </w:pPr>
          </w:p>
        </w:tc>
      </w:tr>
      <w:tr w:rsidR="0018589A" w:rsidRPr="008E6427" w14:paraId="128DF117" w14:textId="77777777" w:rsidTr="00786D1E">
        <w:trPr>
          <w:gridAfter w:val="1"/>
          <w:wAfter w:w="7" w:type="pct"/>
          <w:trHeight w:val="48"/>
        </w:trPr>
        <w:tc>
          <w:tcPr>
            <w:tcW w:w="909" w:type="pct"/>
            <w:vMerge/>
            <w:tcBorders>
              <w:top w:val="single" w:sz="8" w:space="0" w:color="auto"/>
              <w:left w:val="single" w:sz="8" w:space="0" w:color="auto"/>
              <w:bottom w:val="nil"/>
              <w:right w:val="single" w:sz="8" w:space="0" w:color="000000"/>
            </w:tcBorders>
            <w:vAlign w:val="center"/>
            <w:hideMark/>
          </w:tcPr>
          <w:p w14:paraId="7F9CAC53"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000000" w:fill="D9D9D9"/>
            <w:vAlign w:val="center"/>
            <w:hideMark/>
          </w:tcPr>
          <w:p w14:paraId="388BE709" w14:textId="4F9AFACB" w:rsidR="008E6427" w:rsidRPr="008E6427" w:rsidRDefault="008E6427" w:rsidP="004654CE">
            <w:pPr>
              <w:jc w:val="both"/>
              <w:rPr>
                <w:rFonts w:ascii="ITC Avant Garde" w:hAnsi="ITC Avant Garde"/>
                <w:color w:val="000000"/>
                <w:sz w:val="20"/>
                <w:szCs w:val="20"/>
              </w:rPr>
            </w:pPr>
          </w:p>
        </w:tc>
        <w:tc>
          <w:tcPr>
            <w:tcW w:w="2006" w:type="pct"/>
            <w:vMerge/>
            <w:tcBorders>
              <w:top w:val="single" w:sz="8" w:space="0" w:color="auto"/>
              <w:left w:val="single" w:sz="8" w:space="0" w:color="auto"/>
              <w:bottom w:val="nil"/>
              <w:right w:val="single" w:sz="8" w:space="0" w:color="000000"/>
            </w:tcBorders>
            <w:vAlign w:val="center"/>
            <w:hideMark/>
          </w:tcPr>
          <w:p w14:paraId="6A2B19E9" w14:textId="77777777" w:rsidR="008E6427" w:rsidRPr="008E6427" w:rsidRDefault="008E6427">
            <w:pPr>
              <w:rPr>
                <w:rFonts w:ascii="ITC Avant Garde" w:hAnsi="ITC Avant Garde"/>
                <w:color w:val="000000"/>
                <w:sz w:val="20"/>
                <w:szCs w:val="20"/>
              </w:rPr>
            </w:pPr>
          </w:p>
        </w:tc>
      </w:tr>
      <w:tr w:rsidR="0018589A" w:rsidRPr="008E6427" w14:paraId="0E0CC22C" w14:textId="77777777" w:rsidTr="00786D1E">
        <w:trPr>
          <w:gridAfter w:val="1"/>
          <w:wAfter w:w="7" w:type="pct"/>
          <w:trHeight w:val="687"/>
        </w:trPr>
        <w:tc>
          <w:tcPr>
            <w:tcW w:w="909" w:type="pct"/>
            <w:vMerge/>
            <w:tcBorders>
              <w:top w:val="single" w:sz="8" w:space="0" w:color="auto"/>
              <w:left w:val="single" w:sz="8" w:space="0" w:color="auto"/>
              <w:bottom w:val="nil"/>
              <w:right w:val="single" w:sz="8" w:space="0" w:color="000000"/>
            </w:tcBorders>
            <w:vAlign w:val="center"/>
            <w:hideMark/>
          </w:tcPr>
          <w:p w14:paraId="6A66B2FB"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000000" w:fill="D9D9D9"/>
            <w:vAlign w:val="center"/>
            <w:hideMark/>
          </w:tcPr>
          <w:p w14:paraId="00ED26CC"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En el caso de la radiodifusión, la ubicación de las antenas y la potencia con la que se radia es parte de la concesión, lo que permite garantizar de forma razonable que no habrá interferencias entre los diferentes concesionarios de radiodifusión.</w:t>
            </w:r>
          </w:p>
        </w:tc>
        <w:tc>
          <w:tcPr>
            <w:tcW w:w="2006" w:type="pct"/>
            <w:vMerge/>
            <w:tcBorders>
              <w:top w:val="single" w:sz="8" w:space="0" w:color="auto"/>
              <w:left w:val="single" w:sz="8" w:space="0" w:color="auto"/>
              <w:bottom w:val="nil"/>
              <w:right w:val="single" w:sz="8" w:space="0" w:color="000000"/>
            </w:tcBorders>
            <w:vAlign w:val="center"/>
            <w:hideMark/>
          </w:tcPr>
          <w:p w14:paraId="24F60AE5" w14:textId="77777777" w:rsidR="008E6427" w:rsidRPr="008E6427" w:rsidRDefault="008E6427">
            <w:pPr>
              <w:rPr>
                <w:rFonts w:ascii="ITC Avant Garde" w:hAnsi="ITC Avant Garde"/>
                <w:color w:val="000000"/>
                <w:sz w:val="20"/>
                <w:szCs w:val="20"/>
              </w:rPr>
            </w:pPr>
          </w:p>
        </w:tc>
      </w:tr>
      <w:tr w:rsidR="0018589A" w:rsidRPr="008E6427" w14:paraId="1D6E04F7" w14:textId="77777777" w:rsidTr="00786D1E">
        <w:trPr>
          <w:gridAfter w:val="1"/>
          <w:wAfter w:w="7" w:type="pct"/>
          <w:trHeight w:val="291"/>
        </w:trPr>
        <w:tc>
          <w:tcPr>
            <w:tcW w:w="909" w:type="pct"/>
            <w:vMerge/>
            <w:tcBorders>
              <w:top w:val="single" w:sz="8" w:space="0" w:color="auto"/>
              <w:left w:val="single" w:sz="8" w:space="0" w:color="auto"/>
              <w:bottom w:val="nil"/>
              <w:right w:val="single" w:sz="8" w:space="0" w:color="000000"/>
            </w:tcBorders>
            <w:vAlign w:val="center"/>
            <w:hideMark/>
          </w:tcPr>
          <w:p w14:paraId="1A81BBD6"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000000" w:fill="D9D9D9"/>
            <w:vAlign w:val="center"/>
            <w:hideMark/>
          </w:tcPr>
          <w:p w14:paraId="7E0FB227" w14:textId="77777777" w:rsidR="008E6427" w:rsidRPr="008E6427" w:rsidRDefault="008E6427" w:rsidP="004654CE">
            <w:pPr>
              <w:jc w:val="both"/>
              <w:rPr>
                <w:rFonts w:ascii="ITC Avant Garde" w:hAnsi="ITC Avant Garde"/>
                <w:b/>
                <w:bCs/>
                <w:color w:val="000000"/>
                <w:sz w:val="20"/>
                <w:szCs w:val="20"/>
              </w:rPr>
            </w:pPr>
            <w:r w:rsidRPr="008E6427">
              <w:rPr>
                <w:rFonts w:ascii="ITC Avant Garde" w:hAnsi="ITC Avant Garde"/>
                <w:b/>
                <w:bCs/>
                <w:color w:val="000000"/>
                <w:sz w:val="20"/>
                <w:szCs w:val="20"/>
              </w:rPr>
              <w:t>RADIOMÓVIL DIPSA, S.A. DE C.V.</w:t>
            </w:r>
            <w:r w:rsidRPr="008E6427">
              <w:rPr>
                <w:rFonts w:ascii="ITC Avant Garde" w:hAnsi="ITC Avant Garde"/>
                <w:color w:val="000000"/>
                <w:sz w:val="20"/>
                <w:szCs w:val="20"/>
              </w:rPr>
              <w:t xml:space="preserve">                                                                                 </w:t>
            </w:r>
          </w:p>
        </w:tc>
        <w:tc>
          <w:tcPr>
            <w:tcW w:w="2006" w:type="pct"/>
            <w:vMerge/>
            <w:tcBorders>
              <w:top w:val="single" w:sz="8" w:space="0" w:color="auto"/>
              <w:left w:val="single" w:sz="8" w:space="0" w:color="auto"/>
              <w:bottom w:val="nil"/>
              <w:right w:val="single" w:sz="8" w:space="0" w:color="000000"/>
            </w:tcBorders>
            <w:vAlign w:val="center"/>
            <w:hideMark/>
          </w:tcPr>
          <w:p w14:paraId="3B328D93" w14:textId="77777777" w:rsidR="008E6427" w:rsidRPr="008E6427" w:rsidRDefault="008E6427">
            <w:pPr>
              <w:rPr>
                <w:rFonts w:ascii="ITC Avant Garde" w:hAnsi="ITC Avant Garde"/>
                <w:color w:val="000000"/>
                <w:sz w:val="20"/>
                <w:szCs w:val="20"/>
              </w:rPr>
            </w:pPr>
          </w:p>
        </w:tc>
      </w:tr>
      <w:tr w:rsidR="0018589A" w:rsidRPr="008E6427" w14:paraId="5017C085" w14:textId="77777777" w:rsidTr="00786D1E">
        <w:trPr>
          <w:gridAfter w:val="1"/>
          <w:wAfter w:w="7" w:type="pct"/>
          <w:trHeight w:val="48"/>
        </w:trPr>
        <w:tc>
          <w:tcPr>
            <w:tcW w:w="909" w:type="pct"/>
            <w:vMerge/>
            <w:tcBorders>
              <w:top w:val="single" w:sz="8" w:space="0" w:color="auto"/>
              <w:left w:val="single" w:sz="8" w:space="0" w:color="auto"/>
              <w:bottom w:val="nil"/>
              <w:right w:val="single" w:sz="8" w:space="0" w:color="000000"/>
            </w:tcBorders>
            <w:vAlign w:val="center"/>
            <w:hideMark/>
          </w:tcPr>
          <w:p w14:paraId="20C132ED"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000000" w:fill="D9D9D9"/>
            <w:vAlign w:val="center"/>
            <w:hideMark/>
          </w:tcPr>
          <w:p w14:paraId="2ECB749B" w14:textId="7EF49A07" w:rsidR="008E6427" w:rsidRPr="008E6427" w:rsidRDefault="008E6427" w:rsidP="004654CE">
            <w:pPr>
              <w:jc w:val="both"/>
              <w:rPr>
                <w:rFonts w:ascii="ITC Avant Garde" w:hAnsi="ITC Avant Garde"/>
                <w:color w:val="000000"/>
                <w:sz w:val="20"/>
                <w:szCs w:val="20"/>
              </w:rPr>
            </w:pPr>
          </w:p>
        </w:tc>
        <w:tc>
          <w:tcPr>
            <w:tcW w:w="2006" w:type="pct"/>
            <w:vMerge/>
            <w:tcBorders>
              <w:top w:val="single" w:sz="8" w:space="0" w:color="auto"/>
              <w:left w:val="single" w:sz="8" w:space="0" w:color="auto"/>
              <w:bottom w:val="nil"/>
              <w:right w:val="single" w:sz="8" w:space="0" w:color="000000"/>
            </w:tcBorders>
            <w:vAlign w:val="center"/>
            <w:hideMark/>
          </w:tcPr>
          <w:p w14:paraId="4E45353A" w14:textId="77777777" w:rsidR="008E6427" w:rsidRPr="008E6427" w:rsidRDefault="008E6427">
            <w:pPr>
              <w:rPr>
                <w:rFonts w:ascii="ITC Avant Garde" w:hAnsi="ITC Avant Garde"/>
                <w:color w:val="000000"/>
                <w:sz w:val="20"/>
                <w:szCs w:val="20"/>
              </w:rPr>
            </w:pPr>
          </w:p>
        </w:tc>
      </w:tr>
      <w:tr w:rsidR="0018589A" w:rsidRPr="008E6427" w14:paraId="70ECA6D5" w14:textId="77777777" w:rsidTr="00786D1E">
        <w:trPr>
          <w:gridAfter w:val="1"/>
          <w:wAfter w:w="7" w:type="pct"/>
          <w:trHeight w:val="272"/>
        </w:trPr>
        <w:tc>
          <w:tcPr>
            <w:tcW w:w="909" w:type="pct"/>
            <w:vMerge/>
            <w:tcBorders>
              <w:top w:val="single" w:sz="8" w:space="0" w:color="auto"/>
              <w:left w:val="single" w:sz="8" w:space="0" w:color="auto"/>
              <w:bottom w:val="nil"/>
              <w:right w:val="single" w:sz="8" w:space="0" w:color="000000"/>
            </w:tcBorders>
            <w:vAlign w:val="center"/>
            <w:hideMark/>
          </w:tcPr>
          <w:p w14:paraId="3A418EF9"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000000" w:fill="D9D9D9"/>
            <w:vAlign w:val="center"/>
            <w:hideMark/>
          </w:tcPr>
          <w:p w14:paraId="0016CC70"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Solicitamos que, en las próximas licitaciones de espectro, se realicen bajo la actual división territorial.</w:t>
            </w:r>
          </w:p>
        </w:tc>
        <w:tc>
          <w:tcPr>
            <w:tcW w:w="2006" w:type="pct"/>
            <w:vMerge/>
            <w:tcBorders>
              <w:top w:val="single" w:sz="8" w:space="0" w:color="auto"/>
              <w:left w:val="single" w:sz="8" w:space="0" w:color="auto"/>
              <w:bottom w:val="nil"/>
              <w:right w:val="single" w:sz="8" w:space="0" w:color="000000"/>
            </w:tcBorders>
            <w:vAlign w:val="center"/>
            <w:hideMark/>
          </w:tcPr>
          <w:p w14:paraId="05ADA056" w14:textId="77777777" w:rsidR="008E6427" w:rsidRPr="008E6427" w:rsidRDefault="008E6427">
            <w:pPr>
              <w:rPr>
                <w:rFonts w:ascii="ITC Avant Garde" w:hAnsi="ITC Avant Garde"/>
                <w:color w:val="000000"/>
                <w:sz w:val="20"/>
                <w:szCs w:val="20"/>
              </w:rPr>
            </w:pPr>
          </w:p>
        </w:tc>
      </w:tr>
      <w:tr w:rsidR="0018589A" w:rsidRPr="008E6427" w14:paraId="50B01110" w14:textId="77777777" w:rsidTr="00786D1E">
        <w:trPr>
          <w:gridAfter w:val="1"/>
          <w:wAfter w:w="7" w:type="pct"/>
          <w:trHeight w:val="315"/>
        </w:trPr>
        <w:tc>
          <w:tcPr>
            <w:tcW w:w="909" w:type="pct"/>
            <w:vMerge w:val="restart"/>
            <w:tcBorders>
              <w:top w:val="single" w:sz="8" w:space="0" w:color="auto"/>
              <w:left w:val="single" w:sz="8" w:space="0" w:color="auto"/>
              <w:bottom w:val="nil"/>
              <w:right w:val="single" w:sz="8" w:space="0" w:color="000000"/>
            </w:tcBorders>
            <w:shd w:val="clear" w:color="auto" w:fill="auto"/>
            <w:vAlign w:val="center"/>
            <w:hideMark/>
          </w:tcPr>
          <w:p w14:paraId="41C92B97" w14:textId="77777777" w:rsidR="008E6427" w:rsidRPr="008E6427" w:rsidRDefault="008E6427">
            <w:pPr>
              <w:jc w:val="center"/>
              <w:rPr>
                <w:rFonts w:ascii="ITC Avant Garde" w:hAnsi="ITC Avant Garde"/>
                <w:b/>
                <w:bCs/>
                <w:color w:val="000000"/>
                <w:sz w:val="20"/>
                <w:szCs w:val="20"/>
              </w:rPr>
            </w:pPr>
            <w:r w:rsidRPr="008E6427">
              <w:rPr>
                <w:rFonts w:ascii="ITC Avant Garde" w:hAnsi="ITC Avant Garde"/>
                <w:b/>
                <w:bCs/>
                <w:color w:val="000000"/>
                <w:sz w:val="20"/>
                <w:szCs w:val="20"/>
              </w:rPr>
              <w:t xml:space="preserve">3) ¿Considera que se le debería dar mayor peso a alguno de los criterios (dimensiones) utilizados para determinar las APS? </w:t>
            </w:r>
          </w:p>
        </w:tc>
        <w:tc>
          <w:tcPr>
            <w:tcW w:w="2078" w:type="pct"/>
            <w:tcBorders>
              <w:top w:val="single" w:sz="8" w:space="0" w:color="auto"/>
              <w:left w:val="nil"/>
              <w:bottom w:val="nil"/>
              <w:right w:val="single" w:sz="8" w:space="0" w:color="000000"/>
            </w:tcBorders>
            <w:shd w:val="clear" w:color="auto" w:fill="auto"/>
            <w:vAlign w:val="center"/>
            <w:hideMark/>
          </w:tcPr>
          <w:p w14:paraId="5D9A0B02" w14:textId="77777777" w:rsidR="008E6427" w:rsidRPr="008E6427" w:rsidRDefault="008E6427" w:rsidP="004654CE">
            <w:pPr>
              <w:jc w:val="both"/>
              <w:rPr>
                <w:rFonts w:ascii="ITC Avant Garde" w:hAnsi="ITC Avant Garde"/>
                <w:b/>
                <w:bCs/>
                <w:color w:val="000000"/>
                <w:sz w:val="20"/>
                <w:szCs w:val="20"/>
              </w:rPr>
            </w:pPr>
            <w:r w:rsidRPr="008E6427">
              <w:rPr>
                <w:rFonts w:ascii="ITC Avant Garde" w:hAnsi="ITC Avant Garde"/>
                <w:b/>
                <w:bCs/>
                <w:color w:val="000000"/>
                <w:sz w:val="20"/>
                <w:szCs w:val="20"/>
              </w:rPr>
              <w:t xml:space="preserve">Megacable Comunicaciones de México, S.A. de C.V.                                          </w:t>
            </w:r>
            <w:r w:rsidRPr="008E6427">
              <w:rPr>
                <w:rFonts w:ascii="ITC Avant Garde" w:hAnsi="ITC Avant Garde"/>
                <w:color w:val="000000"/>
                <w:sz w:val="20"/>
                <w:szCs w:val="20"/>
              </w:rPr>
              <w:t xml:space="preserve"> </w:t>
            </w:r>
          </w:p>
        </w:tc>
        <w:tc>
          <w:tcPr>
            <w:tcW w:w="2006" w:type="pct"/>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2338F08" w14:textId="77777777" w:rsidR="00786D1E" w:rsidRPr="008E6427" w:rsidRDefault="00786D1E" w:rsidP="00786D1E">
            <w:pPr>
              <w:jc w:val="both"/>
              <w:rPr>
                <w:rFonts w:ascii="ITC Avant Garde" w:hAnsi="ITC Avant Garde"/>
                <w:color w:val="000000"/>
                <w:sz w:val="20"/>
                <w:szCs w:val="20"/>
              </w:rPr>
            </w:pPr>
            <w:r>
              <w:rPr>
                <w:rFonts w:ascii="ITC Avant Garde" w:hAnsi="ITC Avant Garde"/>
                <w:color w:val="000000"/>
                <w:sz w:val="20"/>
                <w:szCs w:val="20"/>
              </w:rPr>
              <w:t xml:space="preserve">El Instituto agradece los comentarios </w:t>
            </w:r>
            <w:r w:rsidRPr="00786D1E">
              <w:rPr>
                <w:rFonts w:ascii="ITC Avant Garde" w:hAnsi="ITC Avant Garde"/>
                <w:color w:val="000000"/>
                <w:sz w:val="20"/>
                <w:szCs w:val="20"/>
              </w:rPr>
              <w:t xml:space="preserve">realizados por </w:t>
            </w:r>
            <w:r>
              <w:rPr>
                <w:rFonts w:ascii="ITC Avant Garde" w:hAnsi="ITC Avant Garde"/>
                <w:color w:val="000000"/>
                <w:sz w:val="20"/>
                <w:szCs w:val="20"/>
              </w:rPr>
              <w:t xml:space="preserve">los </w:t>
            </w:r>
            <w:r w:rsidRPr="00786D1E">
              <w:rPr>
                <w:rFonts w:ascii="ITC Avant Garde" w:hAnsi="ITC Avant Garde"/>
                <w:color w:val="000000"/>
                <w:sz w:val="20"/>
                <w:szCs w:val="20"/>
              </w:rPr>
              <w:t>participante</w:t>
            </w:r>
            <w:r>
              <w:rPr>
                <w:rFonts w:ascii="ITC Avant Garde" w:hAnsi="ITC Avant Garde"/>
                <w:color w:val="000000"/>
                <w:sz w:val="20"/>
                <w:szCs w:val="20"/>
              </w:rPr>
              <w:t>s</w:t>
            </w:r>
            <w:r w:rsidRPr="00786D1E">
              <w:rPr>
                <w:rFonts w:ascii="ITC Avant Garde" w:hAnsi="ITC Avant Garde"/>
                <w:color w:val="000000"/>
                <w:sz w:val="20"/>
                <w:szCs w:val="20"/>
              </w:rPr>
              <w:t>. La información</w:t>
            </w:r>
            <w:r>
              <w:rPr>
                <w:rFonts w:ascii="ITC Avant Garde" w:hAnsi="ITC Avant Garde"/>
                <w:color w:val="000000"/>
                <w:sz w:val="20"/>
                <w:szCs w:val="20"/>
              </w:rPr>
              <w:t xml:space="preserve"> </w:t>
            </w:r>
            <w:r w:rsidRPr="00786D1E">
              <w:rPr>
                <w:rFonts w:ascii="ITC Avant Garde" w:hAnsi="ITC Avant Garde"/>
                <w:color w:val="000000"/>
                <w:sz w:val="20"/>
                <w:szCs w:val="20"/>
              </w:rPr>
              <w:t>aportada será considerada para</w:t>
            </w:r>
            <w:r>
              <w:rPr>
                <w:rFonts w:ascii="ITC Avant Garde" w:hAnsi="ITC Avant Garde"/>
                <w:color w:val="000000"/>
                <w:sz w:val="20"/>
                <w:szCs w:val="20"/>
              </w:rPr>
              <w:t xml:space="preserve"> </w:t>
            </w:r>
            <w:r w:rsidRPr="00786D1E">
              <w:rPr>
                <w:rFonts w:ascii="ITC Avant Garde" w:hAnsi="ITC Avant Garde"/>
                <w:color w:val="000000"/>
                <w:sz w:val="20"/>
                <w:szCs w:val="20"/>
              </w:rPr>
              <w:t>las actividades regulatorias en</w:t>
            </w:r>
            <w:r>
              <w:rPr>
                <w:rFonts w:ascii="ITC Avant Garde" w:hAnsi="ITC Avant Garde"/>
                <w:color w:val="000000"/>
                <w:sz w:val="20"/>
                <w:szCs w:val="20"/>
              </w:rPr>
              <w:t xml:space="preserve"> </w:t>
            </w:r>
            <w:r w:rsidRPr="00786D1E">
              <w:rPr>
                <w:rFonts w:ascii="ITC Avant Garde" w:hAnsi="ITC Avant Garde"/>
                <w:color w:val="000000"/>
                <w:sz w:val="20"/>
                <w:szCs w:val="20"/>
              </w:rPr>
              <w:t>materia de espectro radioeléctrico.</w:t>
            </w:r>
          </w:p>
          <w:p w14:paraId="79A52CAE" w14:textId="4E7BE601" w:rsidR="008E6427" w:rsidRPr="008E6427" w:rsidRDefault="008E6427">
            <w:pPr>
              <w:jc w:val="both"/>
              <w:rPr>
                <w:rFonts w:ascii="ITC Avant Garde" w:hAnsi="ITC Avant Garde"/>
                <w:color w:val="000000"/>
                <w:sz w:val="20"/>
                <w:szCs w:val="20"/>
              </w:rPr>
            </w:pPr>
          </w:p>
        </w:tc>
      </w:tr>
      <w:tr w:rsidR="0018589A" w:rsidRPr="008E6427" w14:paraId="7DA35C8E" w14:textId="77777777" w:rsidTr="00786D1E">
        <w:trPr>
          <w:gridAfter w:val="1"/>
          <w:wAfter w:w="7" w:type="pct"/>
          <w:trHeight w:val="1890"/>
        </w:trPr>
        <w:tc>
          <w:tcPr>
            <w:tcW w:w="909" w:type="pct"/>
            <w:vMerge/>
            <w:tcBorders>
              <w:top w:val="single" w:sz="8" w:space="0" w:color="auto"/>
              <w:left w:val="single" w:sz="8" w:space="0" w:color="auto"/>
              <w:bottom w:val="nil"/>
              <w:right w:val="single" w:sz="8" w:space="0" w:color="000000"/>
            </w:tcBorders>
            <w:vAlign w:val="center"/>
            <w:hideMark/>
          </w:tcPr>
          <w:p w14:paraId="0D8B646A"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auto" w:fill="auto"/>
            <w:vAlign w:val="center"/>
            <w:hideMark/>
          </w:tcPr>
          <w:p w14:paraId="3797E291"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 xml:space="preserve">La reducción de cobertura geográfica prevista a 2 municipios no consideramos sea lo ideal para fomentar la participación de nuevos jugadores en la prestación de los servicios requeridos por el sector empresarial e industrial en el contexto de </w:t>
            </w:r>
            <w:proofErr w:type="spellStart"/>
            <w:r w:rsidRPr="008E6427">
              <w:rPr>
                <w:rFonts w:ascii="ITC Avant Garde" w:hAnsi="ITC Avant Garde"/>
                <w:color w:val="000000"/>
                <w:sz w:val="20"/>
                <w:szCs w:val="20"/>
              </w:rPr>
              <w:t>Nearshoring</w:t>
            </w:r>
            <w:proofErr w:type="spellEnd"/>
            <w:r w:rsidRPr="008E6427">
              <w:rPr>
                <w:rFonts w:ascii="ITC Avant Garde" w:hAnsi="ITC Avant Garde"/>
                <w:color w:val="000000"/>
                <w:sz w:val="20"/>
                <w:szCs w:val="20"/>
              </w:rPr>
              <w:t>, ya que la demanda por cobertura que requieren las empresas en sus procesos productivos es mucho más granular.</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58DBA705" w14:textId="77777777" w:rsidR="008E6427" w:rsidRPr="008E6427" w:rsidRDefault="008E6427">
            <w:pPr>
              <w:rPr>
                <w:rFonts w:ascii="ITC Avant Garde" w:hAnsi="ITC Avant Garde"/>
                <w:color w:val="000000"/>
                <w:sz w:val="20"/>
                <w:szCs w:val="20"/>
              </w:rPr>
            </w:pPr>
          </w:p>
        </w:tc>
      </w:tr>
      <w:tr w:rsidR="0018589A" w:rsidRPr="008E6427" w14:paraId="3CF49C67" w14:textId="77777777" w:rsidTr="00786D1E">
        <w:trPr>
          <w:gridAfter w:val="1"/>
          <w:wAfter w:w="7" w:type="pct"/>
          <w:trHeight w:val="222"/>
        </w:trPr>
        <w:tc>
          <w:tcPr>
            <w:tcW w:w="909" w:type="pct"/>
            <w:vMerge/>
            <w:tcBorders>
              <w:top w:val="single" w:sz="8" w:space="0" w:color="auto"/>
              <w:left w:val="single" w:sz="8" w:space="0" w:color="auto"/>
              <w:bottom w:val="nil"/>
              <w:right w:val="single" w:sz="8" w:space="0" w:color="000000"/>
            </w:tcBorders>
            <w:vAlign w:val="center"/>
            <w:hideMark/>
          </w:tcPr>
          <w:p w14:paraId="7F22A972"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auto" w:fill="auto"/>
            <w:vAlign w:val="center"/>
            <w:hideMark/>
          </w:tcPr>
          <w:p w14:paraId="6FCB6FF9" w14:textId="77777777" w:rsidR="008E6427" w:rsidRPr="008E6427" w:rsidRDefault="008E6427" w:rsidP="004654CE">
            <w:pPr>
              <w:jc w:val="both"/>
              <w:rPr>
                <w:rFonts w:ascii="ITC Avant Garde" w:hAnsi="ITC Avant Garde"/>
                <w:b/>
                <w:bCs/>
                <w:color w:val="000000"/>
                <w:sz w:val="20"/>
                <w:szCs w:val="20"/>
              </w:rPr>
            </w:pPr>
            <w:r w:rsidRPr="008E6427">
              <w:rPr>
                <w:rFonts w:ascii="ITC Avant Garde" w:hAnsi="ITC Avant Garde"/>
                <w:b/>
                <w:bCs/>
                <w:color w:val="000000"/>
                <w:sz w:val="20"/>
                <w:szCs w:val="20"/>
              </w:rPr>
              <w:t xml:space="preserve">Huawei Technologies de México S.A. de C.V. </w:t>
            </w:r>
            <w:r w:rsidRPr="008E6427">
              <w:rPr>
                <w:rFonts w:ascii="ITC Avant Garde" w:hAnsi="ITC Avant Garde"/>
                <w:color w:val="000000"/>
                <w:sz w:val="20"/>
                <w:szCs w:val="20"/>
              </w:rPr>
              <w:t xml:space="preserve">                                                                 </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6A93A382" w14:textId="77777777" w:rsidR="008E6427" w:rsidRPr="008E6427" w:rsidRDefault="008E6427">
            <w:pPr>
              <w:rPr>
                <w:rFonts w:ascii="ITC Avant Garde" w:hAnsi="ITC Avant Garde"/>
                <w:color w:val="000000"/>
                <w:sz w:val="20"/>
                <w:szCs w:val="20"/>
              </w:rPr>
            </w:pPr>
          </w:p>
        </w:tc>
      </w:tr>
      <w:tr w:rsidR="0018589A" w:rsidRPr="008E6427" w14:paraId="0FECE62C" w14:textId="77777777" w:rsidTr="00786D1E">
        <w:trPr>
          <w:gridAfter w:val="1"/>
          <w:wAfter w:w="7" w:type="pct"/>
          <w:trHeight w:val="1050"/>
        </w:trPr>
        <w:tc>
          <w:tcPr>
            <w:tcW w:w="909" w:type="pct"/>
            <w:vMerge/>
            <w:tcBorders>
              <w:top w:val="single" w:sz="8" w:space="0" w:color="auto"/>
              <w:left w:val="single" w:sz="8" w:space="0" w:color="auto"/>
              <w:bottom w:val="nil"/>
              <w:right w:val="single" w:sz="8" w:space="0" w:color="000000"/>
            </w:tcBorders>
            <w:vAlign w:val="center"/>
            <w:hideMark/>
          </w:tcPr>
          <w:p w14:paraId="0F20DDA8"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auto" w:fill="auto"/>
            <w:vAlign w:val="center"/>
            <w:hideMark/>
          </w:tcPr>
          <w:p w14:paraId="7AE43F62"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No es necesario dar más peso a los criterios actuales para determinar las APS, pero se sugiere revisar si es necesario agregar nuevas dimensiones para optimizar la asignación de espectro a esas APS.</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21608C23" w14:textId="77777777" w:rsidR="008E6427" w:rsidRPr="008E6427" w:rsidRDefault="008E6427">
            <w:pPr>
              <w:rPr>
                <w:rFonts w:ascii="ITC Avant Garde" w:hAnsi="ITC Avant Garde"/>
                <w:color w:val="000000"/>
                <w:sz w:val="20"/>
                <w:szCs w:val="20"/>
              </w:rPr>
            </w:pPr>
          </w:p>
        </w:tc>
      </w:tr>
      <w:tr w:rsidR="0018589A" w:rsidRPr="008E6427" w14:paraId="0DDEA52D" w14:textId="77777777" w:rsidTr="00786D1E">
        <w:trPr>
          <w:gridAfter w:val="1"/>
          <w:wAfter w:w="7" w:type="pct"/>
          <w:trHeight w:val="1297"/>
        </w:trPr>
        <w:tc>
          <w:tcPr>
            <w:tcW w:w="909" w:type="pct"/>
            <w:vMerge/>
            <w:tcBorders>
              <w:top w:val="single" w:sz="8" w:space="0" w:color="auto"/>
              <w:left w:val="single" w:sz="8" w:space="0" w:color="auto"/>
              <w:bottom w:val="nil"/>
              <w:right w:val="single" w:sz="8" w:space="0" w:color="000000"/>
            </w:tcBorders>
            <w:vAlign w:val="center"/>
            <w:hideMark/>
          </w:tcPr>
          <w:p w14:paraId="521A088C"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auto" w:fill="auto"/>
            <w:vAlign w:val="center"/>
            <w:hideMark/>
          </w:tcPr>
          <w:p w14:paraId="428694D4" w14:textId="40085166" w:rsidR="001A7139" w:rsidRDefault="001A7139" w:rsidP="004654CE">
            <w:pPr>
              <w:jc w:val="both"/>
              <w:rPr>
                <w:rFonts w:ascii="ITC Avant Garde" w:hAnsi="ITC Avant Garde"/>
                <w:color w:val="000000"/>
                <w:sz w:val="20"/>
                <w:szCs w:val="20"/>
              </w:rPr>
            </w:pPr>
            <w:r w:rsidRPr="008E6427">
              <w:rPr>
                <w:rFonts w:ascii="ITC Avant Garde" w:hAnsi="ITC Avant Garde"/>
                <w:b/>
                <w:bCs/>
                <w:color w:val="000000"/>
                <w:sz w:val="20"/>
                <w:szCs w:val="20"/>
              </w:rPr>
              <w:t>AT&amp;T Comunicaciones Digitales, S. de R.L. de C.V., Grupo AT&amp;T Celular, S. de R.L. de C.V. y AT&amp;T Comercialización Móvil, S. de R.L. de C.V.</w:t>
            </w:r>
            <w:r w:rsidRPr="008E6427">
              <w:rPr>
                <w:rFonts w:ascii="ITC Avant Garde" w:hAnsi="ITC Avant Garde"/>
                <w:color w:val="000000"/>
                <w:sz w:val="20"/>
                <w:szCs w:val="20"/>
              </w:rPr>
              <w:t xml:space="preserve">                                  </w:t>
            </w:r>
          </w:p>
          <w:p w14:paraId="4BC6B2BC" w14:textId="34F8A960"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El reto es garantizar que no habrá interferencias con el municipio o APS vecino.</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20C3AD5E" w14:textId="77777777" w:rsidR="008E6427" w:rsidRPr="008E6427" w:rsidRDefault="008E6427">
            <w:pPr>
              <w:rPr>
                <w:rFonts w:ascii="ITC Avant Garde" w:hAnsi="ITC Avant Garde"/>
                <w:color w:val="000000"/>
                <w:sz w:val="20"/>
                <w:szCs w:val="20"/>
              </w:rPr>
            </w:pPr>
          </w:p>
        </w:tc>
      </w:tr>
      <w:tr w:rsidR="0018589A" w:rsidRPr="008E6427" w14:paraId="0BE20DDF" w14:textId="77777777" w:rsidTr="00786D1E">
        <w:trPr>
          <w:gridAfter w:val="1"/>
          <w:wAfter w:w="7" w:type="pct"/>
          <w:trHeight w:val="339"/>
        </w:trPr>
        <w:tc>
          <w:tcPr>
            <w:tcW w:w="909" w:type="pct"/>
            <w:vMerge/>
            <w:tcBorders>
              <w:top w:val="single" w:sz="8" w:space="0" w:color="auto"/>
              <w:left w:val="single" w:sz="8" w:space="0" w:color="auto"/>
              <w:bottom w:val="nil"/>
              <w:right w:val="single" w:sz="8" w:space="0" w:color="000000"/>
            </w:tcBorders>
            <w:vAlign w:val="center"/>
            <w:hideMark/>
          </w:tcPr>
          <w:p w14:paraId="31736167"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auto" w:fill="auto"/>
            <w:vAlign w:val="center"/>
            <w:hideMark/>
          </w:tcPr>
          <w:p w14:paraId="326C6CC8" w14:textId="77777777" w:rsidR="008E6427" w:rsidRPr="008E6427" w:rsidRDefault="008E6427" w:rsidP="004654CE">
            <w:pPr>
              <w:jc w:val="both"/>
              <w:rPr>
                <w:rFonts w:ascii="ITC Avant Garde" w:hAnsi="ITC Avant Garde"/>
                <w:b/>
                <w:bCs/>
                <w:color w:val="000000"/>
                <w:sz w:val="20"/>
                <w:szCs w:val="20"/>
              </w:rPr>
            </w:pPr>
            <w:r w:rsidRPr="008E6427">
              <w:rPr>
                <w:rFonts w:ascii="ITC Avant Garde" w:hAnsi="ITC Avant Garde"/>
                <w:b/>
                <w:bCs/>
                <w:color w:val="000000"/>
                <w:sz w:val="20"/>
                <w:szCs w:val="20"/>
              </w:rPr>
              <w:t>RADIOMÓVIL DIPSA, S.A. DE C.V.</w:t>
            </w:r>
            <w:r w:rsidRPr="008E6427">
              <w:rPr>
                <w:rFonts w:ascii="ITC Avant Garde" w:hAnsi="ITC Avant Garde"/>
                <w:color w:val="000000"/>
                <w:sz w:val="20"/>
                <w:szCs w:val="20"/>
              </w:rPr>
              <w:t xml:space="preserve">                                                                                     </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04960FA0" w14:textId="77777777" w:rsidR="008E6427" w:rsidRPr="008E6427" w:rsidRDefault="008E6427">
            <w:pPr>
              <w:rPr>
                <w:rFonts w:ascii="ITC Avant Garde" w:hAnsi="ITC Avant Garde"/>
                <w:color w:val="000000"/>
                <w:sz w:val="20"/>
                <w:szCs w:val="20"/>
              </w:rPr>
            </w:pPr>
          </w:p>
        </w:tc>
      </w:tr>
      <w:tr w:rsidR="0018589A" w:rsidRPr="008E6427" w14:paraId="263F700C" w14:textId="77777777" w:rsidTr="00786D1E">
        <w:trPr>
          <w:gridAfter w:val="1"/>
          <w:wAfter w:w="7" w:type="pct"/>
          <w:trHeight w:val="2272"/>
        </w:trPr>
        <w:tc>
          <w:tcPr>
            <w:tcW w:w="909" w:type="pct"/>
            <w:vMerge/>
            <w:tcBorders>
              <w:top w:val="single" w:sz="8" w:space="0" w:color="auto"/>
              <w:left w:val="single" w:sz="8" w:space="0" w:color="auto"/>
              <w:bottom w:val="nil"/>
              <w:right w:val="single" w:sz="8" w:space="0" w:color="000000"/>
            </w:tcBorders>
            <w:vAlign w:val="center"/>
            <w:hideMark/>
          </w:tcPr>
          <w:p w14:paraId="7A3AE5F2"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auto" w:fill="auto"/>
            <w:vAlign w:val="center"/>
            <w:hideMark/>
          </w:tcPr>
          <w:p w14:paraId="40946F1F"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Para que el crowdsourcing sea efectivo, es esencial contar con una muestra confiable de datos, incluyendo una distribución equitativa en tiempo y espacio, pruebas veraces con usuarios, un entorno de pruebas controlado y mediciones sin restricciones en las suscripciones. Además, cada usuario debe proporcionar información única sobre las pruebas realizadas. En cuanto a la segmentación territorial por APS, se sugiere incorporar un peso basado en la densidad poblacional (habitantes/km^2) para facilitar la relación y agrupamiento entre municipios.</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1977DBFE" w14:textId="77777777" w:rsidR="008E6427" w:rsidRPr="008E6427" w:rsidRDefault="008E6427">
            <w:pPr>
              <w:rPr>
                <w:rFonts w:ascii="ITC Avant Garde" w:hAnsi="ITC Avant Garde"/>
                <w:color w:val="000000"/>
                <w:sz w:val="20"/>
                <w:szCs w:val="20"/>
              </w:rPr>
            </w:pPr>
          </w:p>
        </w:tc>
      </w:tr>
      <w:tr w:rsidR="0018589A" w:rsidRPr="008E6427" w14:paraId="2BFB0EBA" w14:textId="77777777" w:rsidTr="00786D1E">
        <w:trPr>
          <w:gridAfter w:val="1"/>
          <w:wAfter w:w="7" w:type="pct"/>
          <w:trHeight w:val="380"/>
        </w:trPr>
        <w:tc>
          <w:tcPr>
            <w:tcW w:w="909" w:type="pct"/>
            <w:vMerge w:val="restart"/>
            <w:tcBorders>
              <w:top w:val="single" w:sz="8" w:space="0" w:color="auto"/>
              <w:left w:val="single" w:sz="8" w:space="0" w:color="auto"/>
              <w:bottom w:val="nil"/>
              <w:right w:val="single" w:sz="8" w:space="0" w:color="000000"/>
            </w:tcBorders>
            <w:shd w:val="clear" w:color="000000" w:fill="D9D9D9"/>
            <w:vAlign w:val="center"/>
            <w:hideMark/>
          </w:tcPr>
          <w:p w14:paraId="6ABA4EDA" w14:textId="77777777" w:rsidR="008E6427" w:rsidRPr="008E6427" w:rsidRDefault="008E6427">
            <w:pPr>
              <w:jc w:val="center"/>
              <w:rPr>
                <w:rFonts w:ascii="ITC Avant Garde" w:hAnsi="ITC Avant Garde"/>
                <w:b/>
                <w:bCs/>
                <w:color w:val="000000"/>
                <w:sz w:val="20"/>
                <w:szCs w:val="20"/>
              </w:rPr>
            </w:pPr>
            <w:r w:rsidRPr="008E6427">
              <w:rPr>
                <w:rFonts w:ascii="ITC Avant Garde" w:hAnsi="ITC Avant Garde"/>
                <w:b/>
                <w:bCs/>
                <w:color w:val="000000"/>
                <w:sz w:val="20"/>
                <w:szCs w:val="20"/>
              </w:rPr>
              <w:t>4) ¿Considera que el área mínima de 200 km</w:t>
            </w:r>
            <w:r w:rsidRPr="008E6427">
              <w:rPr>
                <w:rFonts w:ascii="ITC Avant Garde" w:hAnsi="ITC Avant Garde"/>
                <w:b/>
                <w:bCs/>
                <w:color w:val="000000"/>
                <w:sz w:val="20"/>
                <w:szCs w:val="20"/>
                <w:vertAlign w:val="superscript"/>
              </w:rPr>
              <w:t>2</w:t>
            </w:r>
            <w:r w:rsidRPr="008E6427">
              <w:rPr>
                <w:rFonts w:ascii="ITC Avant Garde" w:hAnsi="ITC Avant Garde"/>
                <w:b/>
                <w:bCs/>
                <w:color w:val="000000"/>
                <w:sz w:val="20"/>
                <w:szCs w:val="20"/>
              </w:rPr>
              <w:t xml:space="preserve"> para una APS es adecuada, de acuerdo con las condiciones de propagación de señales de los servicios de telecomunicaciones móviles? </w:t>
            </w:r>
          </w:p>
        </w:tc>
        <w:tc>
          <w:tcPr>
            <w:tcW w:w="2078" w:type="pct"/>
            <w:tcBorders>
              <w:top w:val="single" w:sz="8" w:space="0" w:color="auto"/>
              <w:left w:val="nil"/>
              <w:bottom w:val="nil"/>
              <w:right w:val="single" w:sz="8" w:space="0" w:color="000000"/>
            </w:tcBorders>
            <w:shd w:val="clear" w:color="000000" w:fill="D9D9D9"/>
            <w:vAlign w:val="center"/>
            <w:hideMark/>
          </w:tcPr>
          <w:p w14:paraId="087000E0" w14:textId="77777777" w:rsidR="008E6427" w:rsidRPr="008E6427" w:rsidRDefault="008E6427" w:rsidP="004654CE">
            <w:pPr>
              <w:jc w:val="both"/>
              <w:rPr>
                <w:rFonts w:ascii="ITC Avant Garde" w:hAnsi="ITC Avant Garde"/>
                <w:b/>
                <w:bCs/>
                <w:color w:val="000000"/>
                <w:sz w:val="20"/>
                <w:szCs w:val="20"/>
              </w:rPr>
            </w:pPr>
            <w:r w:rsidRPr="008E6427">
              <w:rPr>
                <w:rFonts w:ascii="ITC Avant Garde" w:hAnsi="ITC Avant Garde"/>
                <w:b/>
                <w:bCs/>
                <w:color w:val="000000"/>
                <w:sz w:val="20"/>
                <w:szCs w:val="20"/>
              </w:rPr>
              <w:t xml:space="preserve">Megacable Comunicaciones de México, S.A. de C.V.                                           </w:t>
            </w:r>
            <w:r w:rsidRPr="008E6427">
              <w:rPr>
                <w:rFonts w:ascii="ITC Avant Garde" w:hAnsi="ITC Avant Garde"/>
                <w:color w:val="000000"/>
                <w:sz w:val="20"/>
                <w:szCs w:val="20"/>
              </w:rPr>
              <w:t xml:space="preserve"> </w:t>
            </w:r>
          </w:p>
        </w:tc>
        <w:tc>
          <w:tcPr>
            <w:tcW w:w="2006" w:type="pct"/>
            <w:vMerge w:val="restart"/>
            <w:tcBorders>
              <w:top w:val="single" w:sz="8" w:space="0" w:color="auto"/>
              <w:left w:val="single" w:sz="8" w:space="0" w:color="auto"/>
              <w:bottom w:val="nil"/>
              <w:right w:val="single" w:sz="8" w:space="0" w:color="000000"/>
            </w:tcBorders>
            <w:shd w:val="clear" w:color="000000" w:fill="D9D9D9"/>
            <w:vAlign w:val="center"/>
            <w:hideMark/>
          </w:tcPr>
          <w:p w14:paraId="7A1E2480" w14:textId="77777777" w:rsidR="00786D1E" w:rsidRPr="008E6427" w:rsidRDefault="00786D1E" w:rsidP="00786D1E">
            <w:pPr>
              <w:jc w:val="both"/>
              <w:rPr>
                <w:rFonts w:ascii="ITC Avant Garde" w:hAnsi="ITC Avant Garde"/>
                <w:color w:val="000000"/>
                <w:sz w:val="20"/>
                <w:szCs w:val="20"/>
              </w:rPr>
            </w:pPr>
            <w:r>
              <w:rPr>
                <w:rFonts w:ascii="ITC Avant Garde" w:hAnsi="ITC Avant Garde"/>
                <w:color w:val="000000"/>
                <w:sz w:val="20"/>
                <w:szCs w:val="20"/>
              </w:rPr>
              <w:t xml:space="preserve">El Instituto agradece los comentarios </w:t>
            </w:r>
            <w:r w:rsidRPr="00786D1E">
              <w:rPr>
                <w:rFonts w:ascii="ITC Avant Garde" w:hAnsi="ITC Avant Garde"/>
                <w:color w:val="000000"/>
                <w:sz w:val="20"/>
                <w:szCs w:val="20"/>
              </w:rPr>
              <w:t xml:space="preserve">realizados por </w:t>
            </w:r>
            <w:r>
              <w:rPr>
                <w:rFonts w:ascii="ITC Avant Garde" w:hAnsi="ITC Avant Garde"/>
                <w:color w:val="000000"/>
                <w:sz w:val="20"/>
                <w:szCs w:val="20"/>
              </w:rPr>
              <w:t xml:space="preserve">los </w:t>
            </w:r>
            <w:r w:rsidRPr="00786D1E">
              <w:rPr>
                <w:rFonts w:ascii="ITC Avant Garde" w:hAnsi="ITC Avant Garde"/>
                <w:color w:val="000000"/>
                <w:sz w:val="20"/>
                <w:szCs w:val="20"/>
              </w:rPr>
              <w:t>participante</w:t>
            </w:r>
            <w:r>
              <w:rPr>
                <w:rFonts w:ascii="ITC Avant Garde" w:hAnsi="ITC Avant Garde"/>
                <w:color w:val="000000"/>
                <w:sz w:val="20"/>
                <w:szCs w:val="20"/>
              </w:rPr>
              <w:t>s</w:t>
            </w:r>
            <w:r w:rsidRPr="00786D1E">
              <w:rPr>
                <w:rFonts w:ascii="ITC Avant Garde" w:hAnsi="ITC Avant Garde"/>
                <w:color w:val="000000"/>
                <w:sz w:val="20"/>
                <w:szCs w:val="20"/>
              </w:rPr>
              <w:t>. La información</w:t>
            </w:r>
            <w:r>
              <w:rPr>
                <w:rFonts w:ascii="ITC Avant Garde" w:hAnsi="ITC Avant Garde"/>
                <w:color w:val="000000"/>
                <w:sz w:val="20"/>
                <w:szCs w:val="20"/>
              </w:rPr>
              <w:t xml:space="preserve"> </w:t>
            </w:r>
            <w:r w:rsidRPr="00786D1E">
              <w:rPr>
                <w:rFonts w:ascii="ITC Avant Garde" w:hAnsi="ITC Avant Garde"/>
                <w:color w:val="000000"/>
                <w:sz w:val="20"/>
                <w:szCs w:val="20"/>
              </w:rPr>
              <w:t>aportada será considerada para</w:t>
            </w:r>
            <w:r>
              <w:rPr>
                <w:rFonts w:ascii="ITC Avant Garde" w:hAnsi="ITC Avant Garde"/>
                <w:color w:val="000000"/>
                <w:sz w:val="20"/>
                <w:szCs w:val="20"/>
              </w:rPr>
              <w:t xml:space="preserve"> </w:t>
            </w:r>
            <w:r w:rsidRPr="00786D1E">
              <w:rPr>
                <w:rFonts w:ascii="ITC Avant Garde" w:hAnsi="ITC Avant Garde"/>
                <w:color w:val="000000"/>
                <w:sz w:val="20"/>
                <w:szCs w:val="20"/>
              </w:rPr>
              <w:t>las actividades regulatorias en</w:t>
            </w:r>
            <w:r>
              <w:rPr>
                <w:rFonts w:ascii="ITC Avant Garde" w:hAnsi="ITC Avant Garde"/>
                <w:color w:val="000000"/>
                <w:sz w:val="20"/>
                <w:szCs w:val="20"/>
              </w:rPr>
              <w:t xml:space="preserve"> </w:t>
            </w:r>
            <w:r w:rsidRPr="00786D1E">
              <w:rPr>
                <w:rFonts w:ascii="ITC Avant Garde" w:hAnsi="ITC Avant Garde"/>
                <w:color w:val="000000"/>
                <w:sz w:val="20"/>
                <w:szCs w:val="20"/>
              </w:rPr>
              <w:t>materia de espectro radioeléctrico.</w:t>
            </w:r>
          </w:p>
          <w:p w14:paraId="4BDE58A2" w14:textId="0F02D125" w:rsidR="008E6427" w:rsidRPr="008E6427" w:rsidRDefault="008E6427">
            <w:pPr>
              <w:jc w:val="both"/>
              <w:rPr>
                <w:rFonts w:ascii="ITC Avant Garde" w:hAnsi="ITC Avant Garde"/>
                <w:color w:val="000000"/>
                <w:sz w:val="20"/>
                <w:szCs w:val="20"/>
              </w:rPr>
            </w:pPr>
          </w:p>
        </w:tc>
      </w:tr>
      <w:tr w:rsidR="0018589A" w:rsidRPr="008E6427" w14:paraId="2452CA21" w14:textId="77777777" w:rsidTr="00786D1E">
        <w:trPr>
          <w:gridAfter w:val="1"/>
          <w:wAfter w:w="7" w:type="pct"/>
          <w:trHeight w:val="2841"/>
        </w:trPr>
        <w:tc>
          <w:tcPr>
            <w:tcW w:w="909" w:type="pct"/>
            <w:vMerge/>
            <w:tcBorders>
              <w:top w:val="single" w:sz="8" w:space="0" w:color="auto"/>
              <w:left w:val="single" w:sz="8" w:space="0" w:color="auto"/>
              <w:bottom w:val="nil"/>
              <w:right w:val="single" w:sz="8" w:space="0" w:color="000000"/>
            </w:tcBorders>
            <w:vAlign w:val="center"/>
            <w:hideMark/>
          </w:tcPr>
          <w:p w14:paraId="5970C12C"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000000" w:fill="D9D9D9"/>
            <w:vAlign w:val="center"/>
            <w:hideMark/>
          </w:tcPr>
          <w:p w14:paraId="55AF9963"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Esto puede ocasionar que el costo por adquirir las frecuencias se incremente en detrimento de todas las partes interesadas: a) las licitaciones quedaran desiertas y el gobierno no recaudara contraprestaciones. B) La relocalización de las empresas en México será menor al no tener disponibles este tipo de servicios, lo que afecta económicamente. c) Las empresas que se localizan en México serán menos competitivas por la ausencia de estos servicios. d) Los concesionarios que tienen interés en ofrecer estos servicios continuaran sin tener acceso a espectro radioeléctrico para proveer este tipo de soluciones.</w:t>
            </w:r>
          </w:p>
        </w:tc>
        <w:tc>
          <w:tcPr>
            <w:tcW w:w="2006" w:type="pct"/>
            <w:vMerge/>
            <w:tcBorders>
              <w:top w:val="single" w:sz="8" w:space="0" w:color="auto"/>
              <w:left w:val="single" w:sz="8" w:space="0" w:color="auto"/>
              <w:bottom w:val="nil"/>
              <w:right w:val="single" w:sz="8" w:space="0" w:color="000000"/>
            </w:tcBorders>
            <w:vAlign w:val="center"/>
            <w:hideMark/>
          </w:tcPr>
          <w:p w14:paraId="4C9C5417" w14:textId="77777777" w:rsidR="008E6427" w:rsidRPr="008E6427" w:rsidRDefault="008E6427">
            <w:pPr>
              <w:rPr>
                <w:rFonts w:ascii="ITC Avant Garde" w:hAnsi="ITC Avant Garde"/>
                <w:color w:val="000000"/>
                <w:sz w:val="20"/>
                <w:szCs w:val="20"/>
              </w:rPr>
            </w:pPr>
          </w:p>
        </w:tc>
      </w:tr>
      <w:tr w:rsidR="0018589A" w:rsidRPr="008E6427" w14:paraId="501040A1" w14:textId="77777777" w:rsidTr="00786D1E">
        <w:trPr>
          <w:gridAfter w:val="1"/>
          <w:wAfter w:w="7" w:type="pct"/>
          <w:trHeight w:val="288"/>
        </w:trPr>
        <w:tc>
          <w:tcPr>
            <w:tcW w:w="909" w:type="pct"/>
            <w:vMerge/>
            <w:tcBorders>
              <w:top w:val="single" w:sz="8" w:space="0" w:color="auto"/>
              <w:left w:val="single" w:sz="8" w:space="0" w:color="auto"/>
              <w:bottom w:val="nil"/>
              <w:right w:val="single" w:sz="8" w:space="0" w:color="000000"/>
            </w:tcBorders>
            <w:vAlign w:val="center"/>
            <w:hideMark/>
          </w:tcPr>
          <w:p w14:paraId="17210A50"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000000" w:fill="D9D9D9"/>
            <w:vAlign w:val="center"/>
            <w:hideMark/>
          </w:tcPr>
          <w:p w14:paraId="69956CFC" w14:textId="77777777" w:rsidR="008E6427" w:rsidRPr="008E6427" w:rsidRDefault="008E6427" w:rsidP="004654CE">
            <w:pPr>
              <w:jc w:val="both"/>
              <w:rPr>
                <w:rFonts w:ascii="ITC Avant Garde" w:hAnsi="ITC Avant Garde"/>
                <w:b/>
                <w:bCs/>
                <w:color w:val="000000"/>
                <w:sz w:val="20"/>
                <w:szCs w:val="20"/>
              </w:rPr>
            </w:pPr>
            <w:r w:rsidRPr="008E6427">
              <w:rPr>
                <w:rFonts w:ascii="ITC Avant Garde" w:hAnsi="ITC Avant Garde"/>
                <w:b/>
                <w:bCs/>
                <w:color w:val="000000"/>
                <w:sz w:val="20"/>
                <w:szCs w:val="20"/>
              </w:rPr>
              <w:t>Huawei Technologies de México S.A. de C.V.</w:t>
            </w:r>
            <w:r w:rsidRPr="008E6427">
              <w:rPr>
                <w:rFonts w:ascii="ITC Avant Garde" w:hAnsi="ITC Avant Garde"/>
                <w:color w:val="000000"/>
                <w:sz w:val="20"/>
                <w:szCs w:val="20"/>
              </w:rPr>
              <w:t xml:space="preserve">                                                                  </w:t>
            </w:r>
          </w:p>
        </w:tc>
        <w:tc>
          <w:tcPr>
            <w:tcW w:w="2006" w:type="pct"/>
            <w:vMerge/>
            <w:tcBorders>
              <w:top w:val="single" w:sz="8" w:space="0" w:color="auto"/>
              <w:left w:val="single" w:sz="8" w:space="0" w:color="auto"/>
              <w:bottom w:val="nil"/>
              <w:right w:val="single" w:sz="8" w:space="0" w:color="000000"/>
            </w:tcBorders>
            <w:vAlign w:val="center"/>
            <w:hideMark/>
          </w:tcPr>
          <w:p w14:paraId="2482FC28" w14:textId="77777777" w:rsidR="008E6427" w:rsidRPr="008E6427" w:rsidRDefault="008E6427">
            <w:pPr>
              <w:rPr>
                <w:rFonts w:ascii="ITC Avant Garde" w:hAnsi="ITC Avant Garde"/>
                <w:color w:val="000000"/>
                <w:sz w:val="20"/>
                <w:szCs w:val="20"/>
              </w:rPr>
            </w:pPr>
          </w:p>
        </w:tc>
      </w:tr>
      <w:tr w:rsidR="0018589A" w:rsidRPr="008E6427" w14:paraId="5FC72E3E" w14:textId="77777777" w:rsidTr="00786D1E">
        <w:trPr>
          <w:gridAfter w:val="1"/>
          <w:wAfter w:w="7" w:type="pct"/>
          <w:trHeight w:val="2483"/>
        </w:trPr>
        <w:tc>
          <w:tcPr>
            <w:tcW w:w="909" w:type="pct"/>
            <w:vMerge/>
            <w:tcBorders>
              <w:top w:val="single" w:sz="8" w:space="0" w:color="auto"/>
              <w:left w:val="single" w:sz="8" w:space="0" w:color="auto"/>
              <w:bottom w:val="nil"/>
              <w:right w:val="single" w:sz="8" w:space="0" w:color="000000"/>
            </w:tcBorders>
            <w:vAlign w:val="center"/>
            <w:hideMark/>
          </w:tcPr>
          <w:p w14:paraId="1A8C3FE0"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000000" w:fill="D9D9D9"/>
            <w:vAlign w:val="center"/>
            <w:hideMark/>
          </w:tcPr>
          <w:p w14:paraId="117B309F"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1. Escenario de servicios MBB: Cubrir 200 km^2, podría no ser rentable para los operadores debido a los costos logísticos, de interferencia mercadeo. Se necesita una inversión mayor para obtener ganancias sostenibles. 2. Escenario de red privado: Para proveedor de servicios de internet (ISP) que busca cubrir ubicaciones específicas como campus o fábricas, 200 km^2 es demasiado grande. La inversión necesaria varía según la banda de frecuencia utilizada. Se sugiere analizar las condiciones para establecer un área mínima de cobertura adaptada al tipo de servicio y las características de propagación de las bandas de frecuencia utilizada.</w:t>
            </w:r>
          </w:p>
        </w:tc>
        <w:tc>
          <w:tcPr>
            <w:tcW w:w="2006" w:type="pct"/>
            <w:vMerge/>
            <w:tcBorders>
              <w:top w:val="single" w:sz="8" w:space="0" w:color="auto"/>
              <w:left w:val="single" w:sz="8" w:space="0" w:color="auto"/>
              <w:bottom w:val="nil"/>
              <w:right w:val="single" w:sz="8" w:space="0" w:color="000000"/>
            </w:tcBorders>
            <w:vAlign w:val="center"/>
            <w:hideMark/>
          </w:tcPr>
          <w:p w14:paraId="3E04F8BD" w14:textId="77777777" w:rsidR="008E6427" w:rsidRPr="008E6427" w:rsidRDefault="008E6427">
            <w:pPr>
              <w:rPr>
                <w:rFonts w:ascii="ITC Avant Garde" w:hAnsi="ITC Avant Garde"/>
                <w:color w:val="000000"/>
                <w:sz w:val="20"/>
                <w:szCs w:val="20"/>
              </w:rPr>
            </w:pPr>
          </w:p>
        </w:tc>
      </w:tr>
      <w:tr w:rsidR="0018589A" w:rsidRPr="008E6427" w14:paraId="1DF8DE9C" w14:textId="77777777" w:rsidTr="00786D1E">
        <w:trPr>
          <w:gridAfter w:val="1"/>
          <w:wAfter w:w="7" w:type="pct"/>
          <w:trHeight w:val="288"/>
        </w:trPr>
        <w:tc>
          <w:tcPr>
            <w:tcW w:w="909" w:type="pct"/>
            <w:vMerge/>
            <w:tcBorders>
              <w:top w:val="single" w:sz="8" w:space="0" w:color="auto"/>
              <w:left w:val="single" w:sz="8" w:space="0" w:color="auto"/>
              <w:bottom w:val="nil"/>
              <w:right w:val="single" w:sz="8" w:space="0" w:color="000000"/>
            </w:tcBorders>
            <w:vAlign w:val="center"/>
            <w:hideMark/>
          </w:tcPr>
          <w:p w14:paraId="7745FA94"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000000" w:fill="D9D9D9"/>
            <w:vAlign w:val="center"/>
            <w:hideMark/>
          </w:tcPr>
          <w:p w14:paraId="52AAFBD9" w14:textId="77777777" w:rsidR="008E6427" w:rsidRPr="008E6427" w:rsidRDefault="008E6427" w:rsidP="004654CE">
            <w:pPr>
              <w:jc w:val="both"/>
              <w:rPr>
                <w:rFonts w:ascii="ITC Avant Garde" w:hAnsi="ITC Avant Garde"/>
                <w:b/>
                <w:bCs/>
                <w:color w:val="000000"/>
                <w:sz w:val="20"/>
                <w:szCs w:val="20"/>
              </w:rPr>
            </w:pPr>
            <w:r w:rsidRPr="008E6427">
              <w:rPr>
                <w:rFonts w:ascii="ITC Avant Garde" w:hAnsi="ITC Avant Garde"/>
                <w:b/>
                <w:bCs/>
                <w:color w:val="000000"/>
                <w:sz w:val="20"/>
                <w:szCs w:val="20"/>
              </w:rPr>
              <w:t>RADIOMÓVIL DIPSA, S.A. DE C.V.</w:t>
            </w:r>
            <w:r w:rsidRPr="008E6427">
              <w:rPr>
                <w:rFonts w:ascii="ITC Avant Garde" w:hAnsi="ITC Avant Garde"/>
                <w:color w:val="000000"/>
                <w:sz w:val="20"/>
                <w:szCs w:val="20"/>
              </w:rPr>
              <w:t xml:space="preserve">                                                                                         </w:t>
            </w:r>
          </w:p>
        </w:tc>
        <w:tc>
          <w:tcPr>
            <w:tcW w:w="2006" w:type="pct"/>
            <w:vMerge/>
            <w:tcBorders>
              <w:top w:val="single" w:sz="8" w:space="0" w:color="auto"/>
              <w:left w:val="single" w:sz="8" w:space="0" w:color="auto"/>
              <w:bottom w:val="nil"/>
              <w:right w:val="single" w:sz="8" w:space="0" w:color="000000"/>
            </w:tcBorders>
            <w:vAlign w:val="center"/>
            <w:hideMark/>
          </w:tcPr>
          <w:p w14:paraId="048C85E2" w14:textId="77777777" w:rsidR="008E6427" w:rsidRPr="008E6427" w:rsidRDefault="008E6427">
            <w:pPr>
              <w:rPr>
                <w:rFonts w:ascii="ITC Avant Garde" w:hAnsi="ITC Avant Garde"/>
                <w:color w:val="000000"/>
                <w:sz w:val="20"/>
                <w:szCs w:val="20"/>
              </w:rPr>
            </w:pPr>
          </w:p>
        </w:tc>
      </w:tr>
      <w:tr w:rsidR="0018589A" w:rsidRPr="008E6427" w14:paraId="58E23EF8" w14:textId="77777777" w:rsidTr="00786D1E">
        <w:trPr>
          <w:gridAfter w:val="1"/>
          <w:wAfter w:w="7" w:type="pct"/>
          <w:trHeight w:val="2781"/>
        </w:trPr>
        <w:tc>
          <w:tcPr>
            <w:tcW w:w="909" w:type="pct"/>
            <w:vMerge/>
            <w:tcBorders>
              <w:top w:val="single" w:sz="8" w:space="0" w:color="auto"/>
              <w:left w:val="single" w:sz="8" w:space="0" w:color="auto"/>
              <w:bottom w:val="nil"/>
              <w:right w:val="single" w:sz="8" w:space="0" w:color="000000"/>
            </w:tcBorders>
            <w:vAlign w:val="center"/>
            <w:hideMark/>
          </w:tcPr>
          <w:p w14:paraId="6F80C04A"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000000" w:fill="D9D9D9"/>
            <w:vAlign w:val="center"/>
            <w:hideMark/>
          </w:tcPr>
          <w:p w14:paraId="395DCADF"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El "Documento de Referencia" de la consulta establece la agrupación de municipios con un área mínima de 200 km^2 por cada APS, utilizando cálculos de link Budget empleados por fabricantes de equipos móviles. Se sugiere que el Instituto debería haber adjuntado los cálculos y soporte para garantizar transparencia y claridad en los términos de la consulta. Además, en caso de implementar la segmentación del otorgamiento de espectro por APS, se recomienda considerar al menos el doble de la distancia propuesta para mantener una zona libre de interferencia con los operadores en la frontera contigua del APS.</w:t>
            </w:r>
          </w:p>
        </w:tc>
        <w:tc>
          <w:tcPr>
            <w:tcW w:w="2006" w:type="pct"/>
            <w:vMerge/>
            <w:tcBorders>
              <w:top w:val="single" w:sz="8" w:space="0" w:color="auto"/>
              <w:left w:val="single" w:sz="8" w:space="0" w:color="auto"/>
              <w:bottom w:val="nil"/>
              <w:right w:val="single" w:sz="8" w:space="0" w:color="000000"/>
            </w:tcBorders>
            <w:vAlign w:val="center"/>
            <w:hideMark/>
          </w:tcPr>
          <w:p w14:paraId="5E3CADBE" w14:textId="77777777" w:rsidR="008E6427" w:rsidRPr="008E6427" w:rsidRDefault="008E6427">
            <w:pPr>
              <w:rPr>
                <w:rFonts w:ascii="ITC Avant Garde" w:hAnsi="ITC Avant Garde"/>
                <w:color w:val="000000"/>
                <w:sz w:val="20"/>
                <w:szCs w:val="20"/>
              </w:rPr>
            </w:pPr>
          </w:p>
        </w:tc>
      </w:tr>
      <w:tr w:rsidR="0018589A" w:rsidRPr="008E6427" w14:paraId="6CF6904A" w14:textId="77777777" w:rsidTr="00786D1E">
        <w:trPr>
          <w:gridAfter w:val="1"/>
          <w:wAfter w:w="7" w:type="pct"/>
          <w:trHeight w:val="238"/>
        </w:trPr>
        <w:tc>
          <w:tcPr>
            <w:tcW w:w="909"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A968DFA" w14:textId="77777777" w:rsidR="008E6427" w:rsidRPr="008E6427" w:rsidRDefault="008E6427">
            <w:pPr>
              <w:jc w:val="center"/>
              <w:rPr>
                <w:rFonts w:ascii="ITC Avant Garde" w:hAnsi="ITC Avant Garde"/>
                <w:b/>
                <w:bCs/>
                <w:color w:val="000000"/>
                <w:sz w:val="20"/>
                <w:szCs w:val="20"/>
              </w:rPr>
            </w:pPr>
            <w:r w:rsidRPr="008E6427">
              <w:rPr>
                <w:rFonts w:ascii="ITC Avant Garde" w:hAnsi="ITC Avant Garde"/>
                <w:b/>
                <w:bCs/>
                <w:color w:val="000000"/>
                <w:sz w:val="20"/>
                <w:szCs w:val="20"/>
              </w:rPr>
              <w:t xml:space="preserve">5) ¿Considera que las nuevas APS propuestas facilitarían los procesos de asignación de espectro que realiza el </w:t>
            </w:r>
            <w:r w:rsidRPr="008E6427">
              <w:rPr>
                <w:rFonts w:ascii="ITC Avant Garde" w:hAnsi="ITC Avant Garde"/>
                <w:b/>
                <w:bCs/>
                <w:color w:val="000000"/>
                <w:sz w:val="20"/>
                <w:szCs w:val="20"/>
              </w:rPr>
              <w:lastRenderedPageBreak/>
              <w:t xml:space="preserve">Instituto, sin causar problemas de interferencia perjudicial en caso de ser asignados a agentes diferentes en APS contiguas, para bandas bajas (&lt; 1 GHz) y bandas medias (entre 1 y 8 GHz)? </w:t>
            </w:r>
          </w:p>
        </w:tc>
        <w:tc>
          <w:tcPr>
            <w:tcW w:w="2078" w:type="pct"/>
            <w:tcBorders>
              <w:top w:val="single" w:sz="8" w:space="0" w:color="auto"/>
              <w:left w:val="nil"/>
              <w:bottom w:val="nil"/>
              <w:right w:val="single" w:sz="8" w:space="0" w:color="000000"/>
            </w:tcBorders>
            <w:shd w:val="clear" w:color="auto" w:fill="auto"/>
            <w:vAlign w:val="center"/>
            <w:hideMark/>
          </w:tcPr>
          <w:p w14:paraId="7CD1A082" w14:textId="77777777" w:rsidR="008E6427" w:rsidRPr="008E6427" w:rsidRDefault="008E6427" w:rsidP="004654CE">
            <w:pPr>
              <w:jc w:val="both"/>
              <w:rPr>
                <w:rFonts w:ascii="ITC Avant Garde" w:hAnsi="ITC Avant Garde"/>
                <w:b/>
                <w:bCs/>
                <w:color w:val="000000"/>
                <w:sz w:val="20"/>
                <w:szCs w:val="20"/>
              </w:rPr>
            </w:pPr>
            <w:r w:rsidRPr="008E6427">
              <w:rPr>
                <w:rFonts w:ascii="ITC Avant Garde" w:hAnsi="ITC Avant Garde"/>
                <w:b/>
                <w:bCs/>
                <w:color w:val="000000"/>
                <w:sz w:val="20"/>
                <w:szCs w:val="20"/>
              </w:rPr>
              <w:lastRenderedPageBreak/>
              <w:t xml:space="preserve">Megacable Comunicaciones de México, S.A. de C.V.                                           </w:t>
            </w:r>
            <w:r w:rsidRPr="008E6427">
              <w:rPr>
                <w:rFonts w:ascii="ITC Avant Garde" w:hAnsi="ITC Avant Garde"/>
                <w:color w:val="000000"/>
                <w:sz w:val="20"/>
                <w:szCs w:val="20"/>
              </w:rPr>
              <w:t xml:space="preserve"> </w:t>
            </w:r>
          </w:p>
        </w:tc>
        <w:tc>
          <w:tcPr>
            <w:tcW w:w="2006"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77E0CA8" w14:textId="77777777" w:rsidR="00786D1E" w:rsidRPr="008E6427" w:rsidRDefault="00786D1E" w:rsidP="00786D1E">
            <w:pPr>
              <w:jc w:val="both"/>
              <w:rPr>
                <w:rFonts w:ascii="ITC Avant Garde" w:hAnsi="ITC Avant Garde"/>
                <w:color w:val="000000"/>
                <w:sz w:val="20"/>
                <w:szCs w:val="20"/>
              </w:rPr>
            </w:pPr>
            <w:r>
              <w:rPr>
                <w:rFonts w:ascii="ITC Avant Garde" w:hAnsi="ITC Avant Garde"/>
                <w:color w:val="000000"/>
                <w:sz w:val="20"/>
                <w:szCs w:val="20"/>
              </w:rPr>
              <w:t xml:space="preserve">El Instituto agradece los comentarios </w:t>
            </w:r>
            <w:r w:rsidRPr="00786D1E">
              <w:rPr>
                <w:rFonts w:ascii="ITC Avant Garde" w:hAnsi="ITC Avant Garde"/>
                <w:color w:val="000000"/>
                <w:sz w:val="20"/>
                <w:szCs w:val="20"/>
              </w:rPr>
              <w:t xml:space="preserve">realizados por </w:t>
            </w:r>
            <w:r>
              <w:rPr>
                <w:rFonts w:ascii="ITC Avant Garde" w:hAnsi="ITC Avant Garde"/>
                <w:color w:val="000000"/>
                <w:sz w:val="20"/>
                <w:szCs w:val="20"/>
              </w:rPr>
              <w:t xml:space="preserve">los </w:t>
            </w:r>
            <w:r w:rsidRPr="00786D1E">
              <w:rPr>
                <w:rFonts w:ascii="ITC Avant Garde" w:hAnsi="ITC Avant Garde"/>
                <w:color w:val="000000"/>
                <w:sz w:val="20"/>
                <w:szCs w:val="20"/>
              </w:rPr>
              <w:t>participante</w:t>
            </w:r>
            <w:r>
              <w:rPr>
                <w:rFonts w:ascii="ITC Avant Garde" w:hAnsi="ITC Avant Garde"/>
                <w:color w:val="000000"/>
                <w:sz w:val="20"/>
                <w:szCs w:val="20"/>
              </w:rPr>
              <w:t>s</w:t>
            </w:r>
            <w:r w:rsidRPr="00786D1E">
              <w:rPr>
                <w:rFonts w:ascii="ITC Avant Garde" w:hAnsi="ITC Avant Garde"/>
                <w:color w:val="000000"/>
                <w:sz w:val="20"/>
                <w:szCs w:val="20"/>
              </w:rPr>
              <w:t>. La información</w:t>
            </w:r>
            <w:r>
              <w:rPr>
                <w:rFonts w:ascii="ITC Avant Garde" w:hAnsi="ITC Avant Garde"/>
                <w:color w:val="000000"/>
                <w:sz w:val="20"/>
                <w:szCs w:val="20"/>
              </w:rPr>
              <w:t xml:space="preserve"> </w:t>
            </w:r>
            <w:r w:rsidRPr="00786D1E">
              <w:rPr>
                <w:rFonts w:ascii="ITC Avant Garde" w:hAnsi="ITC Avant Garde"/>
                <w:color w:val="000000"/>
                <w:sz w:val="20"/>
                <w:szCs w:val="20"/>
              </w:rPr>
              <w:t>aportada será considerada para</w:t>
            </w:r>
            <w:r>
              <w:rPr>
                <w:rFonts w:ascii="ITC Avant Garde" w:hAnsi="ITC Avant Garde"/>
                <w:color w:val="000000"/>
                <w:sz w:val="20"/>
                <w:szCs w:val="20"/>
              </w:rPr>
              <w:t xml:space="preserve"> </w:t>
            </w:r>
            <w:r w:rsidRPr="00786D1E">
              <w:rPr>
                <w:rFonts w:ascii="ITC Avant Garde" w:hAnsi="ITC Avant Garde"/>
                <w:color w:val="000000"/>
                <w:sz w:val="20"/>
                <w:szCs w:val="20"/>
              </w:rPr>
              <w:t>las actividades regulatorias en</w:t>
            </w:r>
            <w:r>
              <w:rPr>
                <w:rFonts w:ascii="ITC Avant Garde" w:hAnsi="ITC Avant Garde"/>
                <w:color w:val="000000"/>
                <w:sz w:val="20"/>
                <w:szCs w:val="20"/>
              </w:rPr>
              <w:t xml:space="preserve"> </w:t>
            </w:r>
            <w:r w:rsidRPr="00786D1E">
              <w:rPr>
                <w:rFonts w:ascii="ITC Avant Garde" w:hAnsi="ITC Avant Garde"/>
                <w:color w:val="000000"/>
                <w:sz w:val="20"/>
                <w:szCs w:val="20"/>
              </w:rPr>
              <w:t>materia de espectro radioeléctrico.</w:t>
            </w:r>
          </w:p>
          <w:p w14:paraId="1107A2A0" w14:textId="716B2BD9" w:rsidR="008E6427" w:rsidRPr="008E6427" w:rsidRDefault="008E6427">
            <w:pPr>
              <w:jc w:val="both"/>
              <w:rPr>
                <w:rFonts w:ascii="ITC Avant Garde" w:hAnsi="ITC Avant Garde"/>
                <w:color w:val="000000"/>
                <w:sz w:val="20"/>
                <w:szCs w:val="20"/>
              </w:rPr>
            </w:pPr>
          </w:p>
        </w:tc>
      </w:tr>
      <w:tr w:rsidR="0018589A" w:rsidRPr="008E6427" w14:paraId="53D66402" w14:textId="77777777" w:rsidTr="00786D1E">
        <w:trPr>
          <w:gridAfter w:val="1"/>
          <w:wAfter w:w="7" w:type="pct"/>
          <w:trHeight w:val="957"/>
        </w:trPr>
        <w:tc>
          <w:tcPr>
            <w:tcW w:w="909" w:type="pct"/>
            <w:vMerge/>
            <w:tcBorders>
              <w:top w:val="single" w:sz="8" w:space="0" w:color="auto"/>
              <w:left w:val="single" w:sz="8" w:space="0" w:color="auto"/>
              <w:bottom w:val="single" w:sz="8" w:space="0" w:color="000000"/>
              <w:right w:val="single" w:sz="8" w:space="0" w:color="000000"/>
            </w:tcBorders>
            <w:vAlign w:val="center"/>
            <w:hideMark/>
          </w:tcPr>
          <w:p w14:paraId="4A0A619D"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auto" w:fill="auto"/>
            <w:vAlign w:val="center"/>
            <w:hideMark/>
          </w:tcPr>
          <w:p w14:paraId="0B4FB242"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 xml:space="preserve">Se recomienda que la mayor granularidad se prevea para bandas de frecuencias milimétricas las cuales permiten </w:t>
            </w:r>
            <w:r w:rsidRPr="008E6427">
              <w:rPr>
                <w:rFonts w:ascii="ITC Avant Garde" w:hAnsi="ITC Avant Garde"/>
                <w:color w:val="000000"/>
                <w:sz w:val="20"/>
                <w:szCs w:val="20"/>
              </w:rPr>
              <w:lastRenderedPageBreak/>
              <w:t>grandes anchos de banda que son requeridos por los aplicativos más avanzados y vehículos autónomos.</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0B7648E0" w14:textId="77777777" w:rsidR="008E6427" w:rsidRPr="008E6427" w:rsidRDefault="008E6427">
            <w:pPr>
              <w:rPr>
                <w:rFonts w:ascii="ITC Avant Garde" w:hAnsi="ITC Avant Garde"/>
                <w:color w:val="000000"/>
                <w:sz w:val="20"/>
                <w:szCs w:val="20"/>
              </w:rPr>
            </w:pPr>
          </w:p>
        </w:tc>
      </w:tr>
      <w:tr w:rsidR="0018589A" w:rsidRPr="008E6427" w14:paraId="424B9D22" w14:textId="77777777" w:rsidTr="00786D1E">
        <w:trPr>
          <w:gridAfter w:val="1"/>
          <w:wAfter w:w="7" w:type="pct"/>
          <w:trHeight w:val="248"/>
        </w:trPr>
        <w:tc>
          <w:tcPr>
            <w:tcW w:w="909" w:type="pct"/>
            <w:vMerge/>
            <w:tcBorders>
              <w:top w:val="single" w:sz="8" w:space="0" w:color="auto"/>
              <w:left w:val="single" w:sz="8" w:space="0" w:color="auto"/>
              <w:bottom w:val="single" w:sz="8" w:space="0" w:color="000000"/>
              <w:right w:val="single" w:sz="8" w:space="0" w:color="000000"/>
            </w:tcBorders>
            <w:vAlign w:val="center"/>
            <w:hideMark/>
          </w:tcPr>
          <w:p w14:paraId="62C78820"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auto" w:fill="auto"/>
            <w:vAlign w:val="center"/>
            <w:hideMark/>
          </w:tcPr>
          <w:p w14:paraId="1BBE26F1" w14:textId="77777777" w:rsidR="008E6427" w:rsidRPr="008E6427" w:rsidRDefault="008E6427" w:rsidP="004654CE">
            <w:pPr>
              <w:jc w:val="both"/>
              <w:rPr>
                <w:rFonts w:ascii="ITC Avant Garde" w:hAnsi="ITC Avant Garde"/>
                <w:b/>
                <w:bCs/>
                <w:color w:val="000000"/>
                <w:sz w:val="20"/>
                <w:szCs w:val="20"/>
              </w:rPr>
            </w:pPr>
            <w:r w:rsidRPr="008E6427">
              <w:rPr>
                <w:rFonts w:ascii="ITC Avant Garde" w:hAnsi="ITC Avant Garde"/>
                <w:b/>
                <w:bCs/>
                <w:color w:val="000000"/>
                <w:sz w:val="20"/>
                <w:szCs w:val="20"/>
              </w:rPr>
              <w:t>Huawei Technologies de México S.A. de C.V.</w:t>
            </w:r>
            <w:r w:rsidRPr="008E6427">
              <w:rPr>
                <w:rFonts w:ascii="ITC Avant Garde" w:hAnsi="ITC Avant Garde"/>
                <w:color w:val="000000"/>
                <w:sz w:val="20"/>
                <w:szCs w:val="20"/>
              </w:rPr>
              <w:t xml:space="preserve">                                                                 </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68E8B3EE" w14:textId="77777777" w:rsidR="008E6427" w:rsidRPr="008E6427" w:rsidRDefault="008E6427">
            <w:pPr>
              <w:rPr>
                <w:rFonts w:ascii="ITC Avant Garde" w:hAnsi="ITC Avant Garde"/>
                <w:color w:val="000000"/>
                <w:sz w:val="20"/>
                <w:szCs w:val="20"/>
              </w:rPr>
            </w:pPr>
          </w:p>
        </w:tc>
      </w:tr>
      <w:tr w:rsidR="0018589A" w:rsidRPr="008E6427" w14:paraId="16B53D63" w14:textId="77777777" w:rsidTr="00786D1E">
        <w:trPr>
          <w:gridAfter w:val="1"/>
          <w:wAfter w:w="7" w:type="pct"/>
          <w:trHeight w:val="1911"/>
        </w:trPr>
        <w:tc>
          <w:tcPr>
            <w:tcW w:w="909" w:type="pct"/>
            <w:vMerge/>
            <w:tcBorders>
              <w:top w:val="single" w:sz="8" w:space="0" w:color="auto"/>
              <w:left w:val="single" w:sz="8" w:space="0" w:color="auto"/>
              <w:bottom w:val="single" w:sz="8" w:space="0" w:color="000000"/>
              <w:right w:val="single" w:sz="8" w:space="0" w:color="000000"/>
            </w:tcBorders>
            <w:vAlign w:val="center"/>
            <w:hideMark/>
          </w:tcPr>
          <w:p w14:paraId="69D7FBDD"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single" w:sz="8" w:space="0" w:color="auto"/>
              <w:right w:val="single" w:sz="8" w:space="0" w:color="000000"/>
            </w:tcBorders>
            <w:shd w:val="clear" w:color="auto" w:fill="auto"/>
            <w:vAlign w:val="center"/>
            <w:hideMark/>
          </w:tcPr>
          <w:p w14:paraId="1DE63750"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Debido a las propiedades de propagación de diferentes bandas, puede haber dificultades para controlar la interferencia entre estaciones base contiguas, lo que requiere estrategias de reducción de cobertura y acuerdos continuos entre las partes afectadas. Se menciona constante, como en las zonas fronterizas del país, donde se han implementado medidas para combatir la interferencia y proteger los servicios afectados.</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23E4AC5D" w14:textId="77777777" w:rsidR="008E6427" w:rsidRPr="008E6427" w:rsidRDefault="008E6427">
            <w:pPr>
              <w:rPr>
                <w:rFonts w:ascii="ITC Avant Garde" w:hAnsi="ITC Avant Garde"/>
                <w:color w:val="000000"/>
                <w:sz w:val="20"/>
                <w:szCs w:val="20"/>
              </w:rPr>
            </w:pPr>
          </w:p>
        </w:tc>
      </w:tr>
      <w:tr w:rsidR="0018589A" w:rsidRPr="008E6427" w14:paraId="4438FBBC" w14:textId="77777777" w:rsidTr="00786D1E">
        <w:trPr>
          <w:gridAfter w:val="1"/>
          <w:wAfter w:w="7" w:type="pct"/>
          <w:trHeight w:val="828"/>
        </w:trPr>
        <w:tc>
          <w:tcPr>
            <w:tcW w:w="909" w:type="pct"/>
            <w:vMerge/>
            <w:tcBorders>
              <w:top w:val="single" w:sz="8" w:space="0" w:color="auto"/>
              <w:left w:val="single" w:sz="8" w:space="0" w:color="auto"/>
              <w:bottom w:val="single" w:sz="8" w:space="0" w:color="000000"/>
              <w:right w:val="single" w:sz="8" w:space="0" w:color="000000"/>
            </w:tcBorders>
            <w:vAlign w:val="center"/>
            <w:hideMark/>
          </w:tcPr>
          <w:p w14:paraId="4200AB06"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auto" w:fill="auto"/>
            <w:vAlign w:val="center"/>
            <w:hideMark/>
          </w:tcPr>
          <w:p w14:paraId="2EADD787"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t>AT&amp;T Comunicaciones Digitales, S. de R.L. de C.V., Grupo AT&amp;T Celular, S. de R.L. de C.V. y AT&amp;T Comercialización Móvil, S. de R.L. de C.V.</w:t>
            </w:r>
            <w:r w:rsidRPr="008E6427">
              <w:rPr>
                <w:rFonts w:ascii="ITC Avant Garde" w:hAnsi="ITC Avant Garde"/>
                <w:color w:val="000000"/>
                <w:sz w:val="20"/>
                <w:szCs w:val="20"/>
              </w:rPr>
              <w:t xml:space="preserve">                                </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5E32216B" w14:textId="77777777" w:rsidR="008E6427" w:rsidRPr="008E6427" w:rsidRDefault="008E6427">
            <w:pPr>
              <w:rPr>
                <w:rFonts w:ascii="ITC Avant Garde" w:hAnsi="ITC Avant Garde"/>
                <w:color w:val="000000"/>
                <w:sz w:val="20"/>
                <w:szCs w:val="20"/>
              </w:rPr>
            </w:pPr>
          </w:p>
        </w:tc>
      </w:tr>
      <w:tr w:rsidR="0018589A" w:rsidRPr="008E6427" w14:paraId="457FD070" w14:textId="77777777" w:rsidTr="00786D1E">
        <w:trPr>
          <w:gridAfter w:val="1"/>
          <w:wAfter w:w="7" w:type="pct"/>
          <w:trHeight w:val="1170"/>
        </w:trPr>
        <w:tc>
          <w:tcPr>
            <w:tcW w:w="909" w:type="pct"/>
            <w:vMerge/>
            <w:tcBorders>
              <w:top w:val="single" w:sz="8" w:space="0" w:color="auto"/>
              <w:left w:val="single" w:sz="8" w:space="0" w:color="auto"/>
              <w:bottom w:val="single" w:sz="8" w:space="0" w:color="000000"/>
              <w:right w:val="single" w:sz="8" w:space="0" w:color="000000"/>
            </w:tcBorders>
            <w:vAlign w:val="center"/>
            <w:hideMark/>
          </w:tcPr>
          <w:p w14:paraId="591E2A6C"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auto" w:fill="auto"/>
            <w:vAlign w:val="center"/>
            <w:hideMark/>
          </w:tcPr>
          <w:p w14:paraId="754E43E1"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Se sugiere al Instituto identificar en conjunto con la industria y expertos las posibles soluciones que eviten llegar a ese problema de interferencias antes de dar la primera concesión de espectro con este nuevo criterio geográfico.</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568EF5FD" w14:textId="77777777" w:rsidR="008E6427" w:rsidRPr="008E6427" w:rsidRDefault="008E6427">
            <w:pPr>
              <w:rPr>
                <w:rFonts w:ascii="ITC Avant Garde" w:hAnsi="ITC Avant Garde"/>
                <w:color w:val="000000"/>
                <w:sz w:val="20"/>
                <w:szCs w:val="20"/>
              </w:rPr>
            </w:pPr>
          </w:p>
        </w:tc>
      </w:tr>
      <w:tr w:rsidR="0018589A" w:rsidRPr="008E6427" w14:paraId="47D06D03" w14:textId="77777777" w:rsidTr="00786D1E">
        <w:trPr>
          <w:gridAfter w:val="1"/>
          <w:wAfter w:w="7" w:type="pct"/>
          <w:trHeight w:val="288"/>
        </w:trPr>
        <w:tc>
          <w:tcPr>
            <w:tcW w:w="909" w:type="pct"/>
            <w:vMerge/>
            <w:tcBorders>
              <w:top w:val="single" w:sz="8" w:space="0" w:color="auto"/>
              <w:left w:val="single" w:sz="8" w:space="0" w:color="auto"/>
              <w:bottom w:val="single" w:sz="8" w:space="0" w:color="000000"/>
              <w:right w:val="single" w:sz="8" w:space="0" w:color="000000"/>
            </w:tcBorders>
            <w:vAlign w:val="center"/>
            <w:hideMark/>
          </w:tcPr>
          <w:p w14:paraId="536C373F"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auto" w:fill="auto"/>
            <w:vAlign w:val="center"/>
            <w:hideMark/>
          </w:tcPr>
          <w:p w14:paraId="79904E90"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t xml:space="preserve">RADIOMÓVIL DIPSA, S.A. DE C.V.                                                                    </w:t>
            </w:r>
            <w:r w:rsidRPr="008E6427">
              <w:rPr>
                <w:rFonts w:ascii="ITC Avant Garde" w:hAnsi="ITC Avant Garde"/>
                <w:color w:val="000000"/>
                <w:sz w:val="20"/>
                <w:szCs w:val="20"/>
              </w:rPr>
              <w:t xml:space="preserve"> </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3022F2FC" w14:textId="77777777" w:rsidR="008E6427" w:rsidRPr="008E6427" w:rsidRDefault="008E6427">
            <w:pPr>
              <w:rPr>
                <w:rFonts w:ascii="ITC Avant Garde" w:hAnsi="ITC Avant Garde"/>
                <w:color w:val="000000"/>
                <w:sz w:val="20"/>
                <w:szCs w:val="20"/>
              </w:rPr>
            </w:pPr>
          </w:p>
        </w:tc>
      </w:tr>
      <w:tr w:rsidR="0018589A" w:rsidRPr="008E6427" w14:paraId="70C389A2" w14:textId="77777777" w:rsidTr="00786D1E">
        <w:trPr>
          <w:gridAfter w:val="1"/>
          <w:wAfter w:w="7" w:type="pct"/>
          <w:trHeight w:val="471"/>
        </w:trPr>
        <w:tc>
          <w:tcPr>
            <w:tcW w:w="909" w:type="pct"/>
            <w:vMerge/>
            <w:tcBorders>
              <w:top w:val="single" w:sz="8" w:space="0" w:color="auto"/>
              <w:left w:val="single" w:sz="8" w:space="0" w:color="auto"/>
              <w:bottom w:val="single" w:sz="8" w:space="0" w:color="000000"/>
              <w:right w:val="single" w:sz="8" w:space="0" w:color="000000"/>
            </w:tcBorders>
            <w:vAlign w:val="center"/>
            <w:hideMark/>
          </w:tcPr>
          <w:p w14:paraId="21F2E029"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single" w:sz="8" w:space="0" w:color="auto"/>
              <w:right w:val="single" w:sz="8" w:space="0" w:color="000000"/>
            </w:tcBorders>
            <w:shd w:val="clear" w:color="auto" w:fill="auto"/>
            <w:vAlign w:val="center"/>
            <w:hideMark/>
          </w:tcPr>
          <w:p w14:paraId="7D8E5716" w14:textId="77777777" w:rsidR="008E6427" w:rsidRPr="008E6427" w:rsidRDefault="008E6427">
            <w:pPr>
              <w:rPr>
                <w:rFonts w:ascii="ITC Avant Garde" w:hAnsi="ITC Avant Garde"/>
                <w:color w:val="000000"/>
                <w:sz w:val="20"/>
                <w:szCs w:val="20"/>
              </w:rPr>
            </w:pPr>
            <w:r w:rsidRPr="008E6427">
              <w:rPr>
                <w:rFonts w:ascii="ITC Avant Garde" w:hAnsi="ITC Avant Garde"/>
                <w:color w:val="000000"/>
                <w:sz w:val="20"/>
                <w:szCs w:val="20"/>
              </w:rPr>
              <w:t>No, por las consideraciones realizadas en los puntos 1 y 4.</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58AFF129" w14:textId="77777777" w:rsidR="008E6427" w:rsidRPr="008E6427" w:rsidRDefault="008E6427">
            <w:pPr>
              <w:rPr>
                <w:rFonts w:ascii="ITC Avant Garde" w:hAnsi="ITC Avant Garde"/>
                <w:color w:val="000000"/>
                <w:sz w:val="20"/>
                <w:szCs w:val="20"/>
              </w:rPr>
            </w:pPr>
          </w:p>
        </w:tc>
      </w:tr>
      <w:tr w:rsidR="0018589A" w:rsidRPr="008E6427" w14:paraId="75A74CA1" w14:textId="77777777" w:rsidTr="00786D1E">
        <w:trPr>
          <w:gridAfter w:val="1"/>
          <w:wAfter w:w="7" w:type="pct"/>
          <w:trHeight w:val="199"/>
        </w:trPr>
        <w:tc>
          <w:tcPr>
            <w:tcW w:w="909" w:type="pct"/>
            <w:vMerge w:val="restart"/>
            <w:tcBorders>
              <w:top w:val="single" w:sz="8" w:space="0" w:color="auto"/>
              <w:left w:val="single" w:sz="8" w:space="0" w:color="auto"/>
              <w:bottom w:val="nil"/>
              <w:right w:val="single" w:sz="8" w:space="0" w:color="000000"/>
            </w:tcBorders>
            <w:shd w:val="clear" w:color="000000" w:fill="D9D9D9"/>
            <w:vAlign w:val="center"/>
            <w:hideMark/>
          </w:tcPr>
          <w:p w14:paraId="18840098" w14:textId="77777777" w:rsidR="008E6427" w:rsidRPr="008E6427" w:rsidRDefault="008E6427">
            <w:pPr>
              <w:jc w:val="center"/>
              <w:rPr>
                <w:rFonts w:ascii="ITC Avant Garde" w:hAnsi="ITC Avant Garde"/>
                <w:b/>
                <w:bCs/>
                <w:color w:val="000000"/>
                <w:sz w:val="20"/>
                <w:szCs w:val="20"/>
              </w:rPr>
            </w:pPr>
            <w:r w:rsidRPr="008E6427">
              <w:rPr>
                <w:rFonts w:ascii="ITC Avant Garde" w:hAnsi="ITC Avant Garde"/>
                <w:b/>
                <w:bCs/>
                <w:color w:val="000000"/>
                <w:sz w:val="20"/>
                <w:szCs w:val="20"/>
              </w:rPr>
              <w:t xml:space="preserve">6) ¿Considera que en una licitación de espectro el Instituto debería proponer bloques de espectro para una misma banda de frecuencias con una combinación de distintas áreas geográficas (bloques nacionales, por Región Celular, por ABS y por APS)? </w:t>
            </w:r>
          </w:p>
        </w:tc>
        <w:tc>
          <w:tcPr>
            <w:tcW w:w="2078" w:type="pct"/>
            <w:tcBorders>
              <w:top w:val="single" w:sz="8" w:space="0" w:color="auto"/>
              <w:left w:val="nil"/>
              <w:bottom w:val="nil"/>
              <w:right w:val="single" w:sz="8" w:space="0" w:color="000000"/>
            </w:tcBorders>
            <w:shd w:val="clear" w:color="000000" w:fill="D9D9D9"/>
            <w:vAlign w:val="center"/>
            <w:hideMark/>
          </w:tcPr>
          <w:p w14:paraId="1B177AB2"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t>Megacable Comunicaciones de México, S.A. de C.V.</w:t>
            </w:r>
            <w:r w:rsidRPr="008E6427">
              <w:rPr>
                <w:rFonts w:ascii="ITC Avant Garde" w:hAnsi="ITC Avant Garde"/>
                <w:color w:val="000000"/>
                <w:sz w:val="20"/>
                <w:szCs w:val="20"/>
              </w:rPr>
              <w:t xml:space="preserve">  </w:t>
            </w:r>
          </w:p>
        </w:tc>
        <w:tc>
          <w:tcPr>
            <w:tcW w:w="2006" w:type="pct"/>
            <w:vMerge w:val="restart"/>
            <w:tcBorders>
              <w:top w:val="single" w:sz="8" w:space="0" w:color="auto"/>
              <w:left w:val="single" w:sz="8" w:space="0" w:color="auto"/>
              <w:bottom w:val="nil"/>
              <w:right w:val="single" w:sz="8" w:space="0" w:color="000000"/>
            </w:tcBorders>
            <w:shd w:val="clear" w:color="000000" w:fill="D9D9D9"/>
            <w:vAlign w:val="center"/>
            <w:hideMark/>
          </w:tcPr>
          <w:p w14:paraId="32624EED" w14:textId="77777777" w:rsidR="00786D1E" w:rsidRPr="008E6427" w:rsidRDefault="00786D1E" w:rsidP="00786D1E">
            <w:pPr>
              <w:jc w:val="both"/>
              <w:rPr>
                <w:rFonts w:ascii="ITC Avant Garde" w:hAnsi="ITC Avant Garde"/>
                <w:color w:val="000000"/>
                <w:sz w:val="20"/>
                <w:szCs w:val="20"/>
              </w:rPr>
            </w:pPr>
            <w:r>
              <w:rPr>
                <w:rFonts w:ascii="ITC Avant Garde" w:hAnsi="ITC Avant Garde"/>
                <w:color w:val="000000"/>
                <w:sz w:val="20"/>
                <w:szCs w:val="20"/>
              </w:rPr>
              <w:t xml:space="preserve">El Instituto agradece los comentarios </w:t>
            </w:r>
            <w:r w:rsidRPr="00786D1E">
              <w:rPr>
                <w:rFonts w:ascii="ITC Avant Garde" w:hAnsi="ITC Avant Garde"/>
                <w:color w:val="000000"/>
                <w:sz w:val="20"/>
                <w:szCs w:val="20"/>
              </w:rPr>
              <w:t xml:space="preserve">realizados por </w:t>
            </w:r>
            <w:r>
              <w:rPr>
                <w:rFonts w:ascii="ITC Avant Garde" w:hAnsi="ITC Avant Garde"/>
                <w:color w:val="000000"/>
                <w:sz w:val="20"/>
                <w:szCs w:val="20"/>
              </w:rPr>
              <w:t xml:space="preserve">los </w:t>
            </w:r>
            <w:r w:rsidRPr="00786D1E">
              <w:rPr>
                <w:rFonts w:ascii="ITC Avant Garde" w:hAnsi="ITC Avant Garde"/>
                <w:color w:val="000000"/>
                <w:sz w:val="20"/>
                <w:szCs w:val="20"/>
              </w:rPr>
              <w:t>participante</w:t>
            </w:r>
            <w:r>
              <w:rPr>
                <w:rFonts w:ascii="ITC Avant Garde" w:hAnsi="ITC Avant Garde"/>
                <w:color w:val="000000"/>
                <w:sz w:val="20"/>
                <w:szCs w:val="20"/>
              </w:rPr>
              <w:t>s</w:t>
            </w:r>
            <w:r w:rsidRPr="00786D1E">
              <w:rPr>
                <w:rFonts w:ascii="ITC Avant Garde" w:hAnsi="ITC Avant Garde"/>
                <w:color w:val="000000"/>
                <w:sz w:val="20"/>
                <w:szCs w:val="20"/>
              </w:rPr>
              <w:t>. La información</w:t>
            </w:r>
            <w:r>
              <w:rPr>
                <w:rFonts w:ascii="ITC Avant Garde" w:hAnsi="ITC Avant Garde"/>
                <w:color w:val="000000"/>
                <w:sz w:val="20"/>
                <w:szCs w:val="20"/>
              </w:rPr>
              <w:t xml:space="preserve"> </w:t>
            </w:r>
            <w:r w:rsidRPr="00786D1E">
              <w:rPr>
                <w:rFonts w:ascii="ITC Avant Garde" w:hAnsi="ITC Avant Garde"/>
                <w:color w:val="000000"/>
                <w:sz w:val="20"/>
                <w:szCs w:val="20"/>
              </w:rPr>
              <w:t>aportada será considerada para</w:t>
            </w:r>
            <w:r>
              <w:rPr>
                <w:rFonts w:ascii="ITC Avant Garde" w:hAnsi="ITC Avant Garde"/>
                <w:color w:val="000000"/>
                <w:sz w:val="20"/>
                <w:szCs w:val="20"/>
              </w:rPr>
              <w:t xml:space="preserve"> </w:t>
            </w:r>
            <w:r w:rsidRPr="00786D1E">
              <w:rPr>
                <w:rFonts w:ascii="ITC Avant Garde" w:hAnsi="ITC Avant Garde"/>
                <w:color w:val="000000"/>
                <w:sz w:val="20"/>
                <w:szCs w:val="20"/>
              </w:rPr>
              <w:t>las actividades regulatorias en</w:t>
            </w:r>
            <w:r>
              <w:rPr>
                <w:rFonts w:ascii="ITC Avant Garde" w:hAnsi="ITC Avant Garde"/>
                <w:color w:val="000000"/>
                <w:sz w:val="20"/>
                <w:szCs w:val="20"/>
              </w:rPr>
              <w:t xml:space="preserve"> </w:t>
            </w:r>
            <w:r w:rsidRPr="00786D1E">
              <w:rPr>
                <w:rFonts w:ascii="ITC Avant Garde" w:hAnsi="ITC Avant Garde"/>
                <w:color w:val="000000"/>
                <w:sz w:val="20"/>
                <w:szCs w:val="20"/>
              </w:rPr>
              <w:t>materia de espectro radioeléctrico.</w:t>
            </w:r>
          </w:p>
          <w:p w14:paraId="6ECAD055" w14:textId="79B8675D" w:rsidR="008E6427" w:rsidRPr="008E6427" w:rsidRDefault="008E6427">
            <w:pPr>
              <w:jc w:val="both"/>
              <w:rPr>
                <w:rFonts w:ascii="ITC Avant Garde" w:hAnsi="ITC Avant Garde"/>
                <w:color w:val="000000"/>
                <w:sz w:val="20"/>
                <w:szCs w:val="20"/>
              </w:rPr>
            </w:pPr>
          </w:p>
        </w:tc>
      </w:tr>
      <w:tr w:rsidR="0018589A" w:rsidRPr="008E6427" w14:paraId="6CDB5DB8" w14:textId="77777777" w:rsidTr="00786D1E">
        <w:trPr>
          <w:gridAfter w:val="1"/>
          <w:wAfter w:w="7" w:type="pct"/>
          <w:trHeight w:val="1737"/>
        </w:trPr>
        <w:tc>
          <w:tcPr>
            <w:tcW w:w="909" w:type="pct"/>
            <w:vMerge/>
            <w:tcBorders>
              <w:top w:val="single" w:sz="8" w:space="0" w:color="auto"/>
              <w:left w:val="single" w:sz="8" w:space="0" w:color="auto"/>
              <w:bottom w:val="nil"/>
              <w:right w:val="single" w:sz="8" w:space="0" w:color="000000"/>
            </w:tcBorders>
            <w:vAlign w:val="center"/>
            <w:hideMark/>
          </w:tcPr>
          <w:p w14:paraId="2E33B127"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000000" w:fill="D9D9D9"/>
            <w:vAlign w:val="center"/>
            <w:hideMark/>
          </w:tcPr>
          <w:p w14:paraId="101FF7F8"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Se debe de establecer la cobertura ya sea frecuencias bajas mayor cobertura, frecuencias altas menor cobertura. El esquema previsto en el documento de referencia se pensó para frecuencias bajas o frecuencias medias, sin embargo, no resulta práctico para aun implementación por ejemplo con bandas milimétricas, que podría dar juego a nuevos y pequeños operadores para soluciones dentro de fábricas o parques industriales.</w:t>
            </w:r>
          </w:p>
        </w:tc>
        <w:tc>
          <w:tcPr>
            <w:tcW w:w="2006" w:type="pct"/>
            <w:vMerge/>
            <w:tcBorders>
              <w:top w:val="single" w:sz="8" w:space="0" w:color="auto"/>
              <w:left w:val="single" w:sz="8" w:space="0" w:color="auto"/>
              <w:bottom w:val="nil"/>
              <w:right w:val="single" w:sz="8" w:space="0" w:color="000000"/>
            </w:tcBorders>
            <w:vAlign w:val="center"/>
            <w:hideMark/>
          </w:tcPr>
          <w:p w14:paraId="35788D8E" w14:textId="77777777" w:rsidR="008E6427" w:rsidRPr="008E6427" w:rsidRDefault="008E6427">
            <w:pPr>
              <w:rPr>
                <w:rFonts w:ascii="ITC Avant Garde" w:hAnsi="ITC Avant Garde"/>
                <w:color w:val="000000"/>
                <w:sz w:val="20"/>
                <w:szCs w:val="20"/>
              </w:rPr>
            </w:pPr>
          </w:p>
        </w:tc>
      </w:tr>
      <w:tr w:rsidR="0018589A" w:rsidRPr="008E6427" w14:paraId="7D1CD4B3" w14:textId="77777777" w:rsidTr="00786D1E">
        <w:trPr>
          <w:gridAfter w:val="1"/>
          <w:wAfter w:w="7" w:type="pct"/>
          <w:trHeight w:val="122"/>
        </w:trPr>
        <w:tc>
          <w:tcPr>
            <w:tcW w:w="909" w:type="pct"/>
            <w:vMerge/>
            <w:tcBorders>
              <w:top w:val="single" w:sz="8" w:space="0" w:color="auto"/>
              <w:left w:val="single" w:sz="8" w:space="0" w:color="auto"/>
              <w:bottom w:val="nil"/>
              <w:right w:val="single" w:sz="8" w:space="0" w:color="000000"/>
            </w:tcBorders>
            <w:vAlign w:val="center"/>
            <w:hideMark/>
          </w:tcPr>
          <w:p w14:paraId="36A75394"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right w:val="single" w:sz="8" w:space="0" w:color="000000"/>
            </w:tcBorders>
            <w:shd w:val="clear" w:color="000000" w:fill="D9D9D9"/>
            <w:vAlign w:val="center"/>
            <w:hideMark/>
          </w:tcPr>
          <w:p w14:paraId="4C3E38CB"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t>Huawei Technologies de México S.A. de C.V.</w:t>
            </w:r>
            <w:r w:rsidRPr="008E6427">
              <w:rPr>
                <w:rFonts w:ascii="ITC Avant Garde" w:hAnsi="ITC Avant Garde"/>
                <w:color w:val="000000"/>
                <w:sz w:val="20"/>
                <w:szCs w:val="20"/>
              </w:rPr>
              <w:t xml:space="preserve">                                                                </w:t>
            </w:r>
          </w:p>
        </w:tc>
        <w:tc>
          <w:tcPr>
            <w:tcW w:w="2006" w:type="pct"/>
            <w:vMerge/>
            <w:tcBorders>
              <w:top w:val="single" w:sz="8" w:space="0" w:color="auto"/>
              <w:left w:val="single" w:sz="8" w:space="0" w:color="auto"/>
              <w:bottom w:val="nil"/>
              <w:right w:val="single" w:sz="8" w:space="0" w:color="000000"/>
            </w:tcBorders>
            <w:vAlign w:val="center"/>
            <w:hideMark/>
          </w:tcPr>
          <w:p w14:paraId="0A15B065" w14:textId="77777777" w:rsidR="008E6427" w:rsidRPr="008E6427" w:rsidRDefault="008E6427">
            <w:pPr>
              <w:rPr>
                <w:rFonts w:ascii="ITC Avant Garde" w:hAnsi="ITC Avant Garde"/>
                <w:color w:val="000000"/>
                <w:sz w:val="20"/>
                <w:szCs w:val="20"/>
              </w:rPr>
            </w:pPr>
          </w:p>
        </w:tc>
      </w:tr>
      <w:tr w:rsidR="0018589A" w:rsidRPr="008E6427" w14:paraId="41509A64" w14:textId="77777777" w:rsidTr="00786D1E">
        <w:trPr>
          <w:gridAfter w:val="1"/>
          <w:wAfter w:w="7" w:type="pct"/>
          <w:trHeight w:val="1234"/>
        </w:trPr>
        <w:tc>
          <w:tcPr>
            <w:tcW w:w="909" w:type="pct"/>
            <w:vMerge/>
            <w:tcBorders>
              <w:top w:val="single" w:sz="8" w:space="0" w:color="auto"/>
              <w:left w:val="single" w:sz="8" w:space="0" w:color="auto"/>
              <w:bottom w:val="nil"/>
              <w:right w:val="single" w:sz="8" w:space="0" w:color="000000"/>
            </w:tcBorders>
            <w:vAlign w:val="center"/>
            <w:hideMark/>
          </w:tcPr>
          <w:p w14:paraId="5618D834"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single" w:sz="4" w:space="0" w:color="auto"/>
              <w:right w:val="single" w:sz="8" w:space="0" w:color="000000"/>
            </w:tcBorders>
            <w:shd w:val="clear" w:color="000000" w:fill="D9D9D9"/>
            <w:vAlign w:val="center"/>
            <w:hideMark/>
          </w:tcPr>
          <w:p w14:paraId="122B226D"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Se sugiere mantener la asignación de espectro a nivel nacional para asegurar servicios fundamentales y eficiencia en el uso de recursos de frecuencia. Posteriormente, se pueden aplicar metodologías de asignación específicas (regional/ABS/APS) según las características de propagación de las frecuencias asignadas.</w:t>
            </w:r>
          </w:p>
        </w:tc>
        <w:tc>
          <w:tcPr>
            <w:tcW w:w="2006" w:type="pct"/>
            <w:vMerge/>
            <w:tcBorders>
              <w:top w:val="single" w:sz="8" w:space="0" w:color="auto"/>
              <w:left w:val="single" w:sz="8" w:space="0" w:color="auto"/>
              <w:bottom w:val="nil"/>
              <w:right w:val="single" w:sz="8" w:space="0" w:color="000000"/>
            </w:tcBorders>
            <w:vAlign w:val="center"/>
            <w:hideMark/>
          </w:tcPr>
          <w:p w14:paraId="1BD479C7" w14:textId="77777777" w:rsidR="008E6427" w:rsidRPr="008E6427" w:rsidRDefault="008E6427">
            <w:pPr>
              <w:rPr>
                <w:rFonts w:ascii="ITC Avant Garde" w:hAnsi="ITC Avant Garde"/>
                <w:color w:val="000000"/>
                <w:sz w:val="20"/>
                <w:szCs w:val="20"/>
              </w:rPr>
            </w:pPr>
          </w:p>
        </w:tc>
      </w:tr>
      <w:tr w:rsidR="0018589A" w:rsidRPr="008E6427" w14:paraId="74B0D23E" w14:textId="77777777" w:rsidTr="00786D1E">
        <w:trPr>
          <w:gridAfter w:val="1"/>
          <w:wAfter w:w="7" w:type="pct"/>
          <w:trHeight w:val="288"/>
        </w:trPr>
        <w:tc>
          <w:tcPr>
            <w:tcW w:w="909" w:type="pct"/>
            <w:vMerge/>
            <w:tcBorders>
              <w:top w:val="single" w:sz="8" w:space="0" w:color="auto"/>
              <w:left w:val="single" w:sz="8" w:space="0" w:color="auto"/>
              <w:bottom w:val="nil"/>
              <w:right w:val="single" w:sz="8" w:space="0" w:color="000000"/>
            </w:tcBorders>
            <w:vAlign w:val="center"/>
            <w:hideMark/>
          </w:tcPr>
          <w:p w14:paraId="4C3FB2AA" w14:textId="77777777" w:rsidR="008E6427" w:rsidRPr="008E6427" w:rsidRDefault="008E6427">
            <w:pPr>
              <w:rPr>
                <w:rFonts w:ascii="ITC Avant Garde" w:hAnsi="ITC Avant Garde"/>
                <w:b/>
                <w:bCs/>
                <w:color w:val="000000"/>
                <w:sz w:val="20"/>
                <w:szCs w:val="20"/>
              </w:rPr>
            </w:pPr>
          </w:p>
        </w:tc>
        <w:tc>
          <w:tcPr>
            <w:tcW w:w="2078" w:type="pct"/>
            <w:tcBorders>
              <w:top w:val="single" w:sz="4" w:space="0" w:color="auto"/>
              <w:left w:val="nil"/>
              <w:bottom w:val="nil"/>
              <w:right w:val="single" w:sz="8" w:space="0" w:color="000000"/>
            </w:tcBorders>
            <w:shd w:val="clear" w:color="000000" w:fill="D9D9D9"/>
            <w:vAlign w:val="center"/>
            <w:hideMark/>
          </w:tcPr>
          <w:p w14:paraId="42B5F069"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t xml:space="preserve">RADIOMÓVIL DIPSA, S.A. DE C.V.                                                                        </w:t>
            </w:r>
            <w:r w:rsidRPr="008E6427">
              <w:rPr>
                <w:rFonts w:ascii="ITC Avant Garde" w:hAnsi="ITC Avant Garde"/>
                <w:color w:val="000000"/>
                <w:sz w:val="20"/>
                <w:szCs w:val="20"/>
              </w:rPr>
              <w:t xml:space="preserve"> </w:t>
            </w:r>
          </w:p>
        </w:tc>
        <w:tc>
          <w:tcPr>
            <w:tcW w:w="2006" w:type="pct"/>
            <w:vMerge/>
            <w:tcBorders>
              <w:top w:val="single" w:sz="8" w:space="0" w:color="auto"/>
              <w:left w:val="single" w:sz="8" w:space="0" w:color="auto"/>
              <w:bottom w:val="nil"/>
              <w:right w:val="single" w:sz="8" w:space="0" w:color="000000"/>
            </w:tcBorders>
            <w:vAlign w:val="center"/>
            <w:hideMark/>
          </w:tcPr>
          <w:p w14:paraId="58D4BF04" w14:textId="77777777" w:rsidR="008E6427" w:rsidRPr="008E6427" w:rsidRDefault="008E6427">
            <w:pPr>
              <w:rPr>
                <w:rFonts w:ascii="ITC Avant Garde" w:hAnsi="ITC Avant Garde"/>
                <w:color w:val="000000"/>
                <w:sz w:val="20"/>
                <w:szCs w:val="20"/>
              </w:rPr>
            </w:pPr>
          </w:p>
        </w:tc>
      </w:tr>
      <w:tr w:rsidR="0018589A" w:rsidRPr="008E6427" w14:paraId="1BDE0101" w14:textId="77777777" w:rsidTr="00786D1E">
        <w:trPr>
          <w:gridAfter w:val="1"/>
          <w:wAfter w:w="7" w:type="pct"/>
          <w:trHeight w:val="1641"/>
        </w:trPr>
        <w:tc>
          <w:tcPr>
            <w:tcW w:w="909" w:type="pct"/>
            <w:vMerge/>
            <w:tcBorders>
              <w:top w:val="single" w:sz="8" w:space="0" w:color="auto"/>
              <w:left w:val="single" w:sz="8" w:space="0" w:color="auto"/>
              <w:bottom w:val="nil"/>
              <w:right w:val="single" w:sz="8" w:space="0" w:color="000000"/>
            </w:tcBorders>
            <w:vAlign w:val="center"/>
            <w:hideMark/>
          </w:tcPr>
          <w:p w14:paraId="3E7E93E7"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nil"/>
              <w:right w:val="single" w:sz="8" w:space="0" w:color="000000"/>
            </w:tcBorders>
            <w:shd w:val="clear" w:color="000000" w:fill="D9D9D9"/>
            <w:vAlign w:val="center"/>
            <w:hideMark/>
          </w:tcPr>
          <w:p w14:paraId="18FCD6AB"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La asignación actual del espectro nacional por región celular y por ABS permite a los operadores ofrecer servicios en zonas urbanas y marginadas. Si se considera implementar nuevas APS en futuras licitaciones de espectro, es crucial integrar áreas por grupos de APS contiguos para reducir la complejidad en la gestión y facilitar acuerdos operativos entre concesionarios.</w:t>
            </w:r>
          </w:p>
        </w:tc>
        <w:tc>
          <w:tcPr>
            <w:tcW w:w="2006" w:type="pct"/>
            <w:vMerge/>
            <w:tcBorders>
              <w:top w:val="single" w:sz="8" w:space="0" w:color="auto"/>
              <w:left w:val="single" w:sz="8" w:space="0" w:color="auto"/>
              <w:bottom w:val="nil"/>
              <w:right w:val="single" w:sz="8" w:space="0" w:color="000000"/>
            </w:tcBorders>
            <w:vAlign w:val="center"/>
            <w:hideMark/>
          </w:tcPr>
          <w:p w14:paraId="36C4181E" w14:textId="77777777" w:rsidR="008E6427" w:rsidRPr="008E6427" w:rsidRDefault="008E6427">
            <w:pPr>
              <w:rPr>
                <w:rFonts w:ascii="ITC Avant Garde" w:hAnsi="ITC Avant Garde"/>
                <w:color w:val="000000"/>
                <w:sz w:val="20"/>
                <w:szCs w:val="20"/>
              </w:rPr>
            </w:pPr>
          </w:p>
        </w:tc>
      </w:tr>
      <w:tr w:rsidR="0018589A" w:rsidRPr="008E6427" w14:paraId="778B5882" w14:textId="77777777" w:rsidTr="00786D1E">
        <w:trPr>
          <w:gridAfter w:val="1"/>
          <w:wAfter w:w="7" w:type="pct"/>
          <w:trHeight w:val="360"/>
        </w:trPr>
        <w:tc>
          <w:tcPr>
            <w:tcW w:w="909" w:type="pct"/>
            <w:vMerge w:val="restart"/>
            <w:tcBorders>
              <w:top w:val="single" w:sz="8" w:space="0" w:color="auto"/>
              <w:left w:val="single" w:sz="8" w:space="0" w:color="auto"/>
              <w:bottom w:val="nil"/>
              <w:right w:val="single" w:sz="8" w:space="0" w:color="000000"/>
            </w:tcBorders>
            <w:shd w:val="clear" w:color="auto" w:fill="auto"/>
            <w:vAlign w:val="center"/>
            <w:hideMark/>
          </w:tcPr>
          <w:p w14:paraId="2ED94F7E" w14:textId="77777777" w:rsidR="008E6427" w:rsidRPr="008E6427" w:rsidRDefault="008E6427">
            <w:pPr>
              <w:jc w:val="center"/>
              <w:rPr>
                <w:rFonts w:ascii="ITC Avant Garde" w:hAnsi="ITC Avant Garde"/>
                <w:b/>
                <w:bCs/>
                <w:color w:val="000000"/>
                <w:sz w:val="20"/>
                <w:szCs w:val="20"/>
              </w:rPr>
            </w:pPr>
            <w:r w:rsidRPr="008E6427">
              <w:rPr>
                <w:rFonts w:ascii="ITC Avant Garde" w:hAnsi="ITC Avant Garde"/>
                <w:b/>
                <w:bCs/>
                <w:color w:val="000000"/>
                <w:sz w:val="20"/>
                <w:szCs w:val="20"/>
              </w:rPr>
              <w:t>7)     Agregue cualquier otro comentario u opinión respecto de la propuesta de crear una alternativa de mayor granularidad geográfica para las licitaciones de espectro radioeléctrico que realiza el Instituto.</w:t>
            </w:r>
          </w:p>
        </w:tc>
        <w:tc>
          <w:tcPr>
            <w:tcW w:w="2078" w:type="pct"/>
            <w:tcBorders>
              <w:top w:val="single" w:sz="8" w:space="0" w:color="auto"/>
              <w:left w:val="nil"/>
              <w:bottom w:val="nil"/>
              <w:right w:val="single" w:sz="8" w:space="0" w:color="000000"/>
            </w:tcBorders>
            <w:shd w:val="clear" w:color="auto" w:fill="auto"/>
            <w:vAlign w:val="center"/>
            <w:hideMark/>
          </w:tcPr>
          <w:p w14:paraId="61CB5D3A"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t xml:space="preserve">Megacable Comunicaciones de México, S.A. de C.V.                                        </w:t>
            </w:r>
            <w:r w:rsidRPr="008E6427">
              <w:rPr>
                <w:rFonts w:ascii="ITC Avant Garde" w:hAnsi="ITC Avant Garde"/>
                <w:color w:val="000000"/>
                <w:sz w:val="20"/>
                <w:szCs w:val="20"/>
              </w:rPr>
              <w:t xml:space="preserve"> </w:t>
            </w:r>
          </w:p>
        </w:tc>
        <w:tc>
          <w:tcPr>
            <w:tcW w:w="2006" w:type="pct"/>
            <w:vMerge w:val="restart"/>
            <w:tcBorders>
              <w:top w:val="single" w:sz="8" w:space="0" w:color="auto"/>
              <w:left w:val="single" w:sz="8" w:space="0" w:color="auto"/>
              <w:bottom w:val="nil"/>
              <w:right w:val="single" w:sz="8" w:space="0" w:color="000000"/>
            </w:tcBorders>
            <w:shd w:val="clear" w:color="auto" w:fill="auto"/>
            <w:vAlign w:val="center"/>
            <w:hideMark/>
          </w:tcPr>
          <w:p w14:paraId="502E44F3" w14:textId="77777777" w:rsidR="00786D1E" w:rsidRPr="008E6427" w:rsidRDefault="00786D1E" w:rsidP="00786D1E">
            <w:pPr>
              <w:jc w:val="both"/>
              <w:rPr>
                <w:rFonts w:ascii="ITC Avant Garde" w:hAnsi="ITC Avant Garde"/>
                <w:color w:val="000000"/>
                <w:sz w:val="20"/>
                <w:szCs w:val="20"/>
              </w:rPr>
            </w:pPr>
            <w:r>
              <w:rPr>
                <w:rFonts w:ascii="ITC Avant Garde" w:hAnsi="ITC Avant Garde"/>
                <w:color w:val="000000"/>
                <w:sz w:val="20"/>
                <w:szCs w:val="20"/>
              </w:rPr>
              <w:t xml:space="preserve">El Instituto agradece los comentarios </w:t>
            </w:r>
            <w:r w:rsidRPr="00786D1E">
              <w:rPr>
                <w:rFonts w:ascii="ITC Avant Garde" w:hAnsi="ITC Avant Garde"/>
                <w:color w:val="000000"/>
                <w:sz w:val="20"/>
                <w:szCs w:val="20"/>
              </w:rPr>
              <w:t xml:space="preserve">realizados por </w:t>
            </w:r>
            <w:r>
              <w:rPr>
                <w:rFonts w:ascii="ITC Avant Garde" w:hAnsi="ITC Avant Garde"/>
                <w:color w:val="000000"/>
                <w:sz w:val="20"/>
                <w:szCs w:val="20"/>
              </w:rPr>
              <w:t xml:space="preserve">los </w:t>
            </w:r>
            <w:r w:rsidRPr="00786D1E">
              <w:rPr>
                <w:rFonts w:ascii="ITC Avant Garde" w:hAnsi="ITC Avant Garde"/>
                <w:color w:val="000000"/>
                <w:sz w:val="20"/>
                <w:szCs w:val="20"/>
              </w:rPr>
              <w:t>participante</w:t>
            </w:r>
            <w:r>
              <w:rPr>
                <w:rFonts w:ascii="ITC Avant Garde" w:hAnsi="ITC Avant Garde"/>
                <w:color w:val="000000"/>
                <w:sz w:val="20"/>
                <w:szCs w:val="20"/>
              </w:rPr>
              <w:t>s</w:t>
            </w:r>
            <w:r w:rsidRPr="00786D1E">
              <w:rPr>
                <w:rFonts w:ascii="ITC Avant Garde" w:hAnsi="ITC Avant Garde"/>
                <w:color w:val="000000"/>
                <w:sz w:val="20"/>
                <w:szCs w:val="20"/>
              </w:rPr>
              <w:t>. La información</w:t>
            </w:r>
            <w:r>
              <w:rPr>
                <w:rFonts w:ascii="ITC Avant Garde" w:hAnsi="ITC Avant Garde"/>
                <w:color w:val="000000"/>
                <w:sz w:val="20"/>
                <w:szCs w:val="20"/>
              </w:rPr>
              <w:t xml:space="preserve"> </w:t>
            </w:r>
            <w:r w:rsidRPr="00786D1E">
              <w:rPr>
                <w:rFonts w:ascii="ITC Avant Garde" w:hAnsi="ITC Avant Garde"/>
                <w:color w:val="000000"/>
                <w:sz w:val="20"/>
                <w:szCs w:val="20"/>
              </w:rPr>
              <w:t>aportada será considerada para</w:t>
            </w:r>
            <w:r>
              <w:rPr>
                <w:rFonts w:ascii="ITC Avant Garde" w:hAnsi="ITC Avant Garde"/>
                <w:color w:val="000000"/>
                <w:sz w:val="20"/>
                <w:szCs w:val="20"/>
              </w:rPr>
              <w:t xml:space="preserve"> </w:t>
            </w:r>
            <w:r w:rsidRPr="00786D1E">
              <w:rPr>
                <w:rFonts w:ascii="ITC Avant Garde" w:hAnsi="ITC Avant Garde"/>
                <w:color w:val="000000"/>
                <w:sz w:val="20"/>
                <w:szCs w:val="20"/>
              </w:rPr>
              <w:t>las actividades regulatorias en</w:t>
            </w:r>
            <w:r>
              <w:rPr>
                <w:rFonts w:ascii="ITC Avant Garde" w:hAnsi="ITC Avant Garde"/>
                <w:color w:val="000000"/>
                <w:sz w:val="20"/>
                <w:szCs w:val="20"/>
              </w:rPr>
              <w:t xml:space="preserve"> </w:t>
            </w:r>
            <w:r w:rsidRPr="00786D1E">
              <w:rPr>
                <w:rFonts w:ascii="ITC Avant Garde" w:hAnsi="ITC Avant Garde"/>
                <w:color w:val="000000"/>
                <w:sz w:val="20"/>
                <w:szCs w:val="20"/>
              </w:rPr>
              <w:t>materia de espectro radioeléctrico.</w:t>
            </w:r>
          </w:p>
          <w:p w14:paraId="51C46CB6" w14:textId="58E123FB" w:rsidR="008E6427" w:rsidRPr="008E6427" w:rsidRDefault="008E6427">
            <w:pPr>
              <w:jc w:val="both"/>
              <w:rPr>
                <w:rFonts w:ascii="ITC Avant Garde" w:hAnsi="ITC Avant Garde"/>
                <w:color w:val="000000"/>
                <w:sz w:val="20"/>
                <w:szCs w:val="20"/>
              </w:rPr>
            </w:pPr>
          </w:p>
        </w:tc>
      </w:tr>
      <w:tr w:rsidR="0018589A" w:rsidRPr="008E6427" w14:paraId="0B5341BF" w14:textId="77777777" w:rsidTr="00786D1E">
        <w:trPr>
          <w:gridAfter w:val="1"/>
          <w:wAfter w:w="7" w:type="pct"/>
          <w:trHeight w:val="2142"/>
        </w:trPr>
        <w:tc>
          <w:tcPr>
            <w:tcW w:w="909" w:type="pct"/>
            <w:vMerge/>
            <w:tcBorders>
              <w:top w:val="single" w:sz="8" w:space="0" w:color="auto"/>
              <w:left w:val="single" w:sz="8" w:space="0" w:color="auto"/>
              <w:bottom w:val="nil"/>
              <w:right w:val="single" w:sz="8" w:space="0" w:color="000000"/>
            </w:tcBorders>
            <w:vAlign w:val="center"/>
            <w:hideMark/>
          </w:tcPr>
          <w:p w14:paraId="37CF5DA0"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single" w:sz="8" w:space="0" w:color="auto"/>
              <w:right w:val="single" w:sz="8" w:space="0" w:color="000000"/>
            </w:tcBorders>
            <w:shd w:val="clear" w:color="auto" w:fill="auto"/>
            <w:vAlign w:val="center"/>
            <w:hideMark/>
          </w:tcPr>
          <w:p w14:paraId="29479A45" w14:textId="77777777" w:rsidR="008E6427" w:rsidRPr="008E6427" w:rsidRDefault="008E6427" w:rsidP="004654CE">
            <w:pPr>
              <w:jc w:val="both"/>
              <w:rPr>
                <w:rFonts w:ascii="ITC Avant Garde" w:hAnsi="ITC Avant Garde"/>
                <w:color w:val="000000"/>
                <w:sz w:val="20"/>
                <w:szCs w:val="20"/>
              </w:rPr>
            </w:pPr>
            <w:r w:rsidRPr="008E6427">
              <w:rPr>
                <w:rFonts w:ascii="ITC Avant Garde" w:hAnsi="ITC Avant Garde"/>
                <w:color w:val="000000"/>
                <w:sz w:val="20"/>
                <w:szCs w:val="20"/>
              </w:rPr>
              <w:t>Es muy importante que la política fiscal se enfoque en hacer atractivas las frecuencias que se liciten en el futuro haciéndolas asequibles para estos nuevos jugadores, ya que la asignación de las mismas redundará en nuevos ingresos por concepto de contraprestaciones y pago de derechos para la federación y evitara que queden bloques de espectro desiertos en las licitaciones. El esquema debe considerar para su fórmula la frecuencia que se va a usar y así, considerar áreas mucho más pequeñas para frecuencias milimétricas.</w:t>
            </w:r>
          </w:p>
        </w:tc>
        <w:tc>
          <w:tcPr>
            <w:tcW w:w="2006" w:type="pct"/>
            <w:vMerge/>
            <w:tcBorders>
              <w:top w:val="single" w:sz="8" w:space="0" w:color="auto"/>
              <w:left w:val="single" w:sz="8" w:space="0" w:color="auto"/>
              <w:bottom w:val="nil"/>
              <w:right w:val="single" w:sz="8" w:space="0" w:color="000000"/>
            </w:tcBorders>
            <w:vAlign w:val="center"/>
            <w:hideMark/>
          </w:tcPr>
          <w:p w14:paraId="3AF6060F" w14:textId="77777777" w:rsidR="008E6427" w:rsidRPr="008E6427" w:rsidRDefault="008E6427">
            <w:pPr>
              <w:rPr>
                <w:rFonts w:ascii="ITC Avant Garde" w:hAnsi="ITC Avant Garde"/>
                <w:color w:val="000000"/>
                <w:sz w:val="20"/>
                <w:szCs w:val="20"/>
              </w:rPr>
            </w:pPr>
          </w:p>
        </w:tc>
      </w:tr>
      <w:tr w:rsidR="0018589A" w:rsidRPr="008E6427" w14:paraId="74C206F4" w14:textId="77777777" w:rsidTr="00786D1E">
        <w:trPr>
          <w:gridAfter w:val="1"/>
          <w:wAfter w:w="7" w:type="pct"/>
          <w:trHeight w:val="248"/>
        </w:trPr>
        <w:tc>
          <w:tcPr>
            <w:tcW w:w="909" w:type="pct"/>
            <w:vMerge/>
            <w:tcBorders>
              <w:top w:val="single" w:sz="8" w:space="0" w:color="auto"/>
              <w:left w:val="single" w:sz="8" w:space="0" w:color="auto"/>
              <w:bottom w:val="nil"/>
              <w:right w:val="single" w:sz="8" w:space="0" w:color="000000"/>
            </w:tcBorders>
            <w:vAlign w:val="center"/>
            <w:hideMark/>
          </w:tcPr>
          <w:p w14:paraId="140DFD21" w14:textId="77777777" w:rsidR="008E6427" w:rsidRPr="008E6427" w:rsidRDefault="008E6427">
            <w:pPr>
              <w:rPr>
                <w:rFonts w:ascii="ITC Avant Garde" w:hAnsi="ITC Avant Garde"/>
                <w:b/>
                <w:bCs/>
                <w:color w:val="000000"/>
                <w:sz w:val="20"/>
                <w:szCs w:val="20"/>
              </w:rPr>
            </w:pPr>
          </w:p>
        </w:tc>
        <w:tc>
          <w:tcPr>
            <w:tcW w:w="2078" w:type="pct"/>
            <w:tcBorders>
              <w:top w:val="single" w:sz="8" w:space="0" w:color="auto"/>
              <w:left w:val="nil"/>
              <w:bottom w:val="nil"/>
              <w:right w:val="single" w:sz="8" w:space="0" w:color="000000"/>
            </w:tcBorders>
            <w:shd w:val="clear" w:color="auto" w:fill="auto"/>
            <w:vAlign w:val="center"/>
            <w:hideMark/>
          </w:tcPr>
          <w:p w14:paraId="77B48C10"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t xml:space="preserve">Huawei Technologies de México S.A. de C.V.                                                     </w:t>
            </w:r>
            <w:r w:rsidRPr="008E6427">
              <w:rPr>
                <w:rFonts w:ascii="ITC Avant Garde" w:hAnsi="ITC Avant Garde"/>
                <w:color w:val="000000"/>
                <w:sz w:val="20"/>
                <w:szCs w:val="20"/>
              </w:rPr>
              <w:t xml:space="preserve"> </w:t>
            </w:r>
          </w:p>
        </w:tc>
        <w:tc>
          <w:tcPr>
            <w:tcW w:w="2006" w:type="pct"/>
            <w:vMerge/>
            <w:tcBorders>
              <w:top w:val="single" w:sz="8" w:space="0" w:color="auto"/>
              <w:left w:val="single" w:sz="8" w:space="0" w:color="auto"/>
              <w:bottom w:val="nil"/>
              <w:right w:val="single" w:sz="8" w:space="0" w:color="000000"/>
            </w:tcBorders>
            <w:vAlign w:val="center"/>
            <w:hideMark/>
          </w:tcPr>
          <w:p w14:paraId="646E410A" w14:textId="77777777" w:rsidR="008E6427" w:rsidRPr="008E6427" w:rsidRDefault="008E6427">
            <w:pPr>
              <w:rPr>
                <w:rFonts w:ascii="ITC Avant Garde" w:hAnsi="ITC Avant Garde"/>
                <w:color w:val="000000"/>
                <w:sz w:val="20"/>
                <w:szCs w:val="20"/>
              </w:rPr>
            </w:pPr>
          </w:p>
        </w:tc>
      </w:tr>
      <w:tr w:rsidR="0018589A" w:rsidRPr="008E6427" w14:paraId="6F3F1F71" w14:textId="77777777" w:rsidTr="00786D1E">
        <w:trPr>
          <w:gridAfter w:val="1"/>
          <w:wAfter w:w="7" w:type="pct"/>
          <w:trHeight w:val="3279"/>
        </w:trPr>
        <w:tc>
          <w:tcPr>
            <w:tcW w:w="909" w:type="pct"/>
            <w:vMerge/>
            <w:tcBorders>
              <w:top w:val="single" w:sz="8" w:space="0" w:color="auto"/>
              <w:left w:val="single" w:sz="8" w:space="0" w:color="auto"/>
              <w:bottom w:val="nil"/>
              <w:right w:val="single" w:sz="8" w:space="0" w:color="000000"/>
            </w:tcBorders>
            <w:vAlign w:val="center"/>
            <w:hideMark/>
          </w:tcPr>
          <w:p w14:paraId="5291B52D"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single" w:sz="8" w:space="0" w:color="auto"/>
              <w:right w:val="single" w:sz="8" w:space="0" w:color="000000"/>
            </w:tcBorders>
            <w:shd w:val="clear" w:color="auto" w:fill="auto"/>
            <w:vAlign w:val="center"/>
            <w:hideMark/>
          </w:tcPr>
          <w:p w14:paraId="1B1A2312" w14:textId="77777777" w:rsidR="00FC3B7F" w:rsidRDefault="008E6427" w:rsidP="00FC3B7F">
            <w:pPr>
              <w:jc w:val="both"/>
              <w:rPr>
                <w:rFonts w:ascii="ITC Avant Garde" w:hAnsi="ITC Avant Garde"/>
                <w:sz w:val="20"/>
                <w:szCs w:val="20"/>
              </w:rPr>
            </w:pPr>
            <w:r w:rsidRPr="00FC3B7F">
              <w:rPr>
                <w:rFonts w:ascii="ITC Avant Garde" w:hAnsi="ITC Avant Garde"/>
                <w:sz w:val="20"/>
                <w:szCs w:val="20"/>
              </w:rPr>
              <w:t xml:space="preserve">Se recomienda una mayor granularidad en las áreas de servicio, considerando dimensiones como el nivel económico, las condiciones de competencia y la rentabilidad de la zona. Esto busca garantizar un uso más eficiente del espectro y promover el desarrollo de esas áreas. Basados en casos observados en Alemania, se advierte que reservar recursos de espectro puede tener riesgos significativos para la economía. Se recomienda evitar reservar bloques de espectro adecuados para el desarrollo de servicios IMT de industrias verticales. </w:t>
            </w:r>
          </w:p>
          <w:p w14:paraId="3AE066F9" w14:textId="54C02ED9" w:rsidR="008E6427" w:rsidRPr="008E6427" w:rsidRDefault="008E6427" w:rsidP="00FC3B7F">
            <w:pPr>
              <w:jc w:val="both"/>
              <w:rPr>
                <w:rFonts w:ascii="ITC Avant Garde" w:hAnsi="ITC Avant Garde"/>
                <w:color w:val="000000"/>
                <w:sz w:val="20"/>
                <w:szCs w:val="20"/>
              </w:rPr>
            </w:pPr>
            <w:r w:rsidRPr="00FC3B7F">
              <w:rPr>
                <w:rFonts w:ascii="ITC Avant Garde" w:hAnsi="ITC Avant Garde"/>
                <w:sz w:val="20"/>
                <w:szCs w:val="20"/>
              </w:rPr>
              <w:t>https://www.gsma.com/spectrum/wp-content/uploads/2023/06/Impact-of-Spectrum-Set-Asides-on-5G.pdf</w:t>
            </w:r>
          </w:p>
        </w:tc>
        <w:tc>
          <w:tcPr>
            <w:tcW w:w="2006" w:type="pct"/>
            <w:vMerge/>
            <w:tcBorders>
              <w:top w:val="single" w:sz="8" w:space="0" w:color="auto"/>
              <w:left w:val="single" w:sz="8" w:space="0" w:color="auto"/>
              <w:bottom w:val="nil"/>
              <w:right w:val="single" w:sz="8" w:space="0" w:color="000000"/>
            </w:tcBorders>
            <w:vAlign w:val="center"/>
            <w:hideMark/>
          </w:tcPr>
          <w:p w14:paraId="4DDB4050" w14:textId="77777777" w:rsidR="008E6427" w:rsidRPr="008E6427" w:rsidRDefault="008E6427">
            <w:pPr>
              <w:rPr>
                <w:rFonts w:ascii="ITC Avant Garde" w:hAnsi="ITC Avant Garde"/>
                <w:color w:val="000000"/>
                <w:sz w:val="20"/>
                <w:szCs w:val="20"/>
              </w:rPr>
            </w:pPr>
          </w:p>
        </w:tc>
      </w:tr>
      <w:tr w:rsidR="0018589A" w:rsidRPr="008E6427" w14:paraId="410CDA81" w14:textId="77777777" w:rsidTr="00786D1E">
        <w:trPr>
          <w:gridAfter w:val="1"/>
          <w:wAfter w:w="7" w:type="pct"/>
          <w:trHeight w:val="1044"/>
        </w:trPr>
        <w:tc>
          <w:tcPr>
            <w:tcW w:w="909" w:type="pct"/>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63A61ED8" w14:textId="77777777" w:rsidR="008E6427" w:rsidRPr="008E6427" w:rsidRDefault="008E6427">
            <w:pPr>
              <w:jc w:val="center"/>
              <w:rPr>
                <w:rFonts w:ascii="ITC Avant Garde" w:hAnsi="ITC Avant Garde"/>
                <w:b/>
                <w:bCs/>
                <w:color w:val="000000"/>
                <w:sz w:val="20"/>
                <w:szCs w:val="20"/>
              </w:rPr>
            </w:pPr>
            <w:r w:rsidRPr="008E6427">
              <w:rPr>
                <w:rFonts w:ascii="ITC Avant Garde" w:hAnsi="ITC Avant Garde"/>
                <w:b/>
                <w:bCs/>
                <w:color w:val="000000"/>
                <w:sz w:val="20"/>
                <w:szCs w:val="20"/>
              </w:rPr>
              <w:t xml:space="preserve">III. Comentarios, opiniones y aportaciones específicos de la persona participante sobre el </w:t>
            </w:r>
            <w:r w:rsidRPr="008E6427">
              <w:rPr>
                <w:rFonts w:ascii="ITC Avant Garde" w:hAnsi="ITC Avant Garde"/>
                <w:b/>
                <w:bCs/>
                <w:color w:val="000000"/>
                <w:sz w:val="20"/>
                <w:szCs w:val="20"/>
              </w:rPr>
              <w:lastRenderedPageBreak/>
              <w:t>asunto en Consulta Pública</w:t>
            </w:r>
          </w:p>
        </w:tc>
        <w:tc>
          <w:tcPr>
            <w:tcW w:w="2078" w:type="pct"/>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14:paraId="76FA3AC7" w14:textId="32068CC9" w:rsidR="008E6427" w:rsidRPr="008E6427" w:rsidRDefault="008E6427">
            <w:pPr>
              <w:rPr>
                <w:rFonts w:ascii="ITC Avant Garde" w:hAnsi="ITC Avant Garde" w:cs="Calibri"/>
                <w:color w:val="000000"/>
                <w:sz w:val="20"/>
                <w:szCs w:val="20"/>
              </w:rPr>
            </w:pPr>
          </w:p>
        </w:tc>
        <w:tc>
          <w:tcPr>
            <w:tcW w:w="2006" w:type="pct"/>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78ADDD39" w14:textId="77777777" w:rsidR="008E6427" w:rsidRPr="008E6427" w:rsidRDefault="008E6427" w:rsidP="004654CE">
            <w:pPr>
              <w:rPr>
                <w:rFonts w:ascii="ITC Avant Garde" w:hAnsi="ITC Avant Garde" w:cs="Times New Roman"/>
                <w:color w:val="000000"/>
                <w:sz w:val="20"/>
                <w:szCs w:val="20"/>
              </w:rPr>
            </w:pPr>
            <w:r w:rsidRPr="008E6427">
              <w:rPr>
                <w:rFonts w:ascii="ITC Avant Garde" w:hAnsi="ITC Avant Garde"/>
                <w:color w:val="000000"/>
                <w:sz w:val="20"/>
                <w:szCs w:val="20"/>
              </w:rPr>
              <w:t> </w:t>
            </w:r>
          </w:p>
        </w:tc>
      </w:tr>
      <w:tr w:rsidR="0018589A" w:rsidRPr="008E6427" w14:paraId="1D03F6B8" w14:textId="77777777" w:rsidTr="00786D1E">
        <w:trPr>
          <w:trHeight w:val="288"/>
        </w:trPr>
        <w:tc>
          <w:tcPr>
            <w:tcW w:w="909" w:type="pct"/>
            <w:vMerge/>
            <w:tcBorders>
              <w:top w:val="single" w:sz="8" w:space="0" w:color="auto"/>
              <w:left w:val="single" w:sz="8" w:space="0" w:color="auto"/>
              <w:bottom w:val="single" w:sz="8" w:space="0" w:color="000000"/>
              <w:right w:val="single" w:sz="8" w:space="0" w:color="000000"/>
            </w:tcBorders>
            <w:vAlign w:val="center"/>
            <w:hideMark/>
          </w:tcPr>
          <w:p w14:paraId="25275803" w14:textId="77777777" w:rsidR="008E6427" w:rsidRPr="008E6427" w:rsidRDefault="008E6427">
            <w:pPr>
              <w:rPr>
                <w:rFonts w:ascii="ITC Avant Garde" w:hAnsi="ITC Avant Garde"/>
                <w:b/>
                <w:bCs/>
                <w:color w:val="000000"/>
                <w:sz w:val="20"/>
                <w:szCs w:val="20"/>
              </w:rPr>
            </w:pPr>
          </w:p>
        </w:tc>
        <w:tc>
          <w:tcPr>
            <w:tcW w:w="2078" w:type="pct"/>
            <w:vMerge/>
            <w:tcBorders>
              <w:top w:val="single" w:sz="8" w:space="0" w:color="auto"/>
              <w:left w:val="single" w:sz="8" w:space="0" w:color="auto"/>
              <w:bottom w:val="single" w:sz="8" w:space="0" w:color="000000"/>
              <w:right w:val="single" w:sz="8" w:space="0" w:color="000000"/>
            </w:tcBorders>
            <w:vAlign w:val="center"/>
            <w:hideMark/>
          </w:tcPr>
          <w:p w14:paraId="71683A10" w14:textId="77777777" w:rsidR="008E6427" w:rsidRPr="008E6427" w:rsidRDefault="008E6427">
            <w:pPr>
              <w:rPr>
                <w:rFonts w:ascii="ITC Avant Garde" w:hAnsi="ITC Avant Garde" w:cs="Calibri"/>
                <w:color w:val="000000"/>
                <w:sz w:val="20"/>
                <w:szCs w:val="20"/>
              </w:rPr>
            </w:pP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468862E3" w14:textId="77777777" w:rsidR="008E6427" w:rsidRPr="008E6427" w:rsidRDefault="008E6427">
            <w:pPr>
              <w:rPr>
                <w:rFonts w:ascii="ITC Avant Garde" w:hAnsi="ITC Avant Garde"/>
                <w:color w:val="000000"/>
                <w:sz w:val="20"/>
                <w:szCs w:val="20"/>
              </w:rPr>
            </w:pPr>
          </w:p>
        </w:tc>
        <w:tc>
          <w:tcPr>
            <w:tcW w:w="7" w:type="pct"/>
            <w:tcBorders>
              <w:top w:val="nil"/>
              <w:left w:val="nil"/>
              <w:bottom w:val="nil"/>
              <w:right w:val="nil"/>
            </w:tcBorders>
            <w:shd w:val="clear" w:color="auto" w:fill="auto"/>
            <w:noWrap/>
            <w:vAlign w:val="bottom"/>
            <w:hideMark/>
          </w:tcPr>
          <w:p w14:paraId="794667AB" w14:textId="77777777" w:rsidR="008E6427" w:rsidRPr="008E6427" w:rsidRDefault="008E6427">
            <w:pPr>
              <w:jc w:val="center"/>
              <w:rPr>
                <w:rFonts w:ascii="ITC Avant Garde" w:hAnsi="ITC Avant Garde"/>
                <w:color w:val="000000"/>
                <w:sz w:val="20"/>
                <w:szCs w:val="20"/>
              </w:rPr>
            </w:pPr>
          </w:p>
        </w:tc>
      </w:tr>
      <w:tr w:rsidR="0018589A" w:rsidRPr="008E6427" w14:paraId="31FB8593" w14:textId="77777777" w:rsidTr="00786D1E">
        <w:trPr>
          <w:trHeight w:val="288"/>
        </w:trPr>
        <w:tc>
          <w:tcPr>
            <w:tcW w:w="909" w:type="pct"/>
            <w:vMerge/>
            <w:tcBorders>
              <w:top w:val="single" w:sz="8" w:space="0" w:color="auto"/>
              <w:left w:val="single" w:sz="8" w:space="0" w:color="auto"/>
              <w:bottom w:val="single" w:sz="8" w:space="0" w:color="000000"/>
              <w:right w:val="single" w:sz="8" w:space="0" w:color="000000"/>
            </w:tcBorders>
            <w:vAlign w:val="center"/>
            <w:hideMark/>
          </w:tcPr>
          <w:p w14:paraId="3C1CC464" w14:textId="77777777" w:rsidR="008E6427" w:rsidRPr="008E6427" w:rsidRDefault="008E6427">
            <w:pPr>
              <w:rPr>
                <w:rFonts w:ascii="ITC Avant Garde" w:hAnsi="ITC Avant Garde"/>
                <w:b/>
                <w:bCs/>
                <w:color w:val="000000"/>
                <w:sz w:val="20"/>
                <w:szCs w:val="20"/>
              </w:rPr>
            </w:pPr>
          </w:p>
        </w:tc>
        <w:tc>
          <w:tcPr>
            <w:tcW w:w="2078" w:type="pct"/>
            <w:vMerge/>
            <w:tcBorders>
              <w:top w:val="single" w:sz="8" w:space="0" w:color="auto"/>
              <w:left w:val="single" w:sz="8" w:space="0" w:color="auto"/>
              <w:bottom w:val="single" w:sz="8" w:space="0" w:color="000000"/>
              <w:right w:val="single" w:sz="8" w:space="0" w:color="000000"/>
            </w:tcBorders>
            <w:vAlign w:val="center"/>
            <w:hideMark/>
          </w:tcPr>
          <w:p w14:paraId="36A6F81C" w14:textId="77777777" w:rsidR="008E6427" w:rsidRPr="008E6427" w:rsidRDefault="008E6427">
            <w:pPr>
              <w:rPr>
                <w:rFonts w:ascii="ITC Avant Garde" w:hAnsi="ITC Avant Garde" w:cs="Calibri"/>
                <w:color w:val="000000"/>
                <w:sz w:val="20"/>
                <w:szCs w:val="20"/>
              </w:rPr>
            </w:pP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3E892476" w14:textId="77777777" w:rsidR="008E6427" w:rsidRPr="008E6427" w:rsidRDefault="008E6427">
            <w:pPr>
              <w:rPr>
                <w:rFonts w:ascii="ITC Avant Garde" w:hAnsi="ITC Avant Garde"/>
                <w:color w:val="000000"/>
                <w:sz w:val="20"/>
                <w:szCs w:val="20"/>
              </w:rPr>
            </w:pPr>
          </w:p>
        </w:tc>
        <w:tc>
          <w:tcPr>
            <w:tcW w:w="7" w:type="pct"/>
            <w:tcBorders>
              <w:top w:val="nil"/>
              <w:left w:val="nil"/>
              <w:bottom w:val="nil"/>
              <w:right w:val="nil"/>
            </w:tcBorders>
            <w:shd w:val="clear" w:color="auto" w:fill="auto"/>
            <w:noWrap/>
            <w:vAlign w:val="bottom"/>
            <w:hideMark/>
          </w:tcPr>
          <w:p w14:paraId="2E4897FD" w14:textId="77777777" w:rsidR="008E6427" w:rsidRPr="008E6427" w:rsidRDefault="008E6427">
            <w:pPr>
              <w:rPr>
                <w:rFonts w:ascii="ITC Avant Garde" w:hAnsi="ITC Avant Garde"/>
                <w:sz w:val="20"/>
                <w:szCs w:val="20"/>
              </w:rPr>
            </w:pPr>
          </w:p>
        </w:tc>
      </w:tr>
      <w:tr w:rsidR="0018589A" w:rsidRPr="008E6427" w14:paraId="0C2B1C32" w14:textId="77777777" w:rsidTr="00786D1E">
        <w:trPr>
          <w:trHeight w:val="288"/>
        </w:trPr>
        <w:tc>
          <w:tcPr>
            <w:tcW w:w="909" w:type="pct"/>
            <w:vMerge/>
            <w:tcBorders>
              <w:top w:val="single" w:sz="8" w:space="0" w:color="auto"/>
              <w:left w:val="single" w:sz="8" w:space="0" w:color="auto"/>
              <w:bottom w:val="single" w:sz="8" w:space="0" w:color="000000"/>
              <w:right w:val="single" w:sz="8" w:space="0" w:color="000000"/>
            </w:tcBorders>
            <w:vAlign w:val="center"/>
            <w:hideMark/>
          </w:tcPr>
          <w:p w14:paraId="194028E1" w14:textId="77777777" w:rsidR="008E6427" w:rsidRPr="008E6427" w:rsidRDefault="008E6427">
            <w:pPr>
              <w:rPr>
                <w:rFonts w:ascii="ITC Avant Garde" w:hAnsi="ITC Avant Garde"/>
                <w:b/>
                <w:bCs/>
                <w:color w:val="000000"/>
                <w:sz w:val="20"/>
                <w:szCs w:val="20"/>
              </w:rPr>
            </w:pPr>
          </w:p>
        </w:tc>
        <w:tc>
          <w:tcPr>
            <w:tcW w:w="2078" w:type="pct"/>
            <w:vMerge/>
            <w:tcBorders>
              <w:top w:val="single" w:sz="8" w:space="0" w:color="auto"/>
              <w:left w:val="single" w:sz="8" w:space="0" w:color="auto"/>
              <w:bottom w:val="single" w:sz="8" w:space="0" w:color="000000"/>
              <w:right w:val="single" w:sz="8" w:space="0" w:color="000000"/>
            </w:tcBorders>
            <w:vAlign w:val="center"/>
            <w:hideMark/>
          </w:tcPr>
          <w:p w14:paraId="4D6CF65C" w14:textId="77777777" w:rsidR="008E6427" w:rsidRPr="008E6427" w:rsidRDefault="008E6427">
            <w:pPr>
              <w:rPr>
                <w:rFonts w:ascii="ITC Avant Garde" w:hAnsi="ITC Avant Garde" w:cs="Calibri"/>
                <w:color w:val="000000"/>
                <w:sz w:val="20"/>
                <w:szCs w:val="20"/>
              </w:rPr>
            </w:pP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68341138" w14:textId="77777777" w:rsidR="008E6427" w:rsidRPr="008E6427" w:rsidRDefault="008E6427">
            <w:pPr>
              <w:rPr>
                <w:rFonts w:ascii="ITC Avant Garde" w:hAnsi="ITC Avant Garde"/>
                <w:color w:val="000000"/>
                <w:sz w:val="20"/>
                <w:szCs w:val="20"/>
              </w:rPr>
            </w:pPr>
          </w:p>
        </w:tc>
        <w:tc>
          <w:tcPr>
            <w:tcW w:w="7" w:type="pct"/>
            <w:tcBorders>
              <w:top w:val="nil"/>
              <w:left w:val="nil"/>
              <w:bottom w:val="nil"/>
              <w:right w:val="nil"/>
            </w:tcBorders>
            <w:shd w:val="clear" w:color="auto" w:fill="auto"/>
            <w:noWrap/>
            <w:vAlign w:val="bottom"/>
            <w:hideMark/>
          </w:tcPr>
          <w:p w14:paraId="30857D77" w14:textId="77777777" w:rsidR="008E6427" w:rsidRPr="008E6427" w:rsidRDefault="008E6427">
            <w:pPr>
              <w:rPr>
                <w:rFonts w:ascii="ITC Avant Garde" w:hAnsi="ITC Avant Garde"/>
                <w:sz w:val="20"/>
                <w:szCs w:val="20"/>
              </w:rPr>
            </w:pPr>
          </w:p>
        </w:tc>
      </w:tr>
      <w:tr w:rsidR="004B295E" w:rsidRPr="008E6427" w14:paraId="4322D586" w14:textId="77777777" w:rsidTr="00786D1E">
        <w:trPr>
          <w:trHeight w:val="48"/>
        </w:trPr>
        <w:tc>
          <w:tcPr>
            <w:tcW w:w="909" w:type="pct"/>
            <w:vMerge/>
            <w:tcBorders>
              <w:top w:val="single" w:sz="8" w:space="0" w:color="auto"/>
              <w:left w:val="single" w:sz="8" w:space="0" w:color="auto"/>
              <w:bottom w:val="single" w:sz="8" w:space="0" w:color="000000"/>
              <w:right w:val="single" w:sz="8" w:space="0" w:color="000000"/>
            </w:tcBorders>
            <w:vAlign w:val="center"/>
            <w:hideMark/>
          </w:tcPr>
          <w:p w14:paraId="6CE55518" w14:textId="77777777" w:rsidR="008E6427" w:rsidRPr="008E6427" w:rsidRDefault="008E6427">
            <w:pPr>
              <w:rPr>
                <w:rFonts w:ascii="ITC Avant Garde" w:hAnsi="ITC Avant Garde"/>
                <w:b/>
                <w:bCs/>
                <w:color w:val="000000"/>
                <w:sz w:val="20"/>
                <w:szCs w:val="20"/>
              </w:rPr>
            </w:pPr>
          </w:p>
        </w:tc>
        <w:tc>
          <w:tcPr>
            <w:tcW w:w="2078" w:type="pct"/>
            <w:vMerge/>
            <w:tcBorders>
              <w:top w:val="single" w:sz="8" w:space="0" w:color="auto"/>
              <w:left w:val="single" w:sz="8" w:space="0" w:color="auto"/>
              <w:bottom w:val="single" w:sz="8" w:space="0" w:color="000000"/>
              <w:right w:val="single" w:sz="8" w:space="0" w:color="000000"/>
            </w:tcBorders>
            <w:vAlign w:val="center"/>
            <w:hideMark/>
          </w:tcPr>
          <w:p w14:paraId="34FE7CFE" w14:textId="77777777" w:rsidR="008E6427" w:rsidRPr="008E6427" w:rsidRDefault="008E6427">
            <w:pPr>
              <w:rPr>
                <w:rFonts w:ascii="ITC Avant Garde" w:hAnsi="ITC Avant Garde" w:cs="Calibri"/>
                <w:color w:val="000000"/>
                <w:sz w:val="20"/>
                <w:szCs w:val="20"/>
              </w:rPr>
            </w:pP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220DFF1B" w14:textId="77777777" w:rsidR="008E6427" w:rsidRPr="008E6427" w:rsidRDefault="008E6427">
            <w:pPr>
              <w:rPr>
                <w:rFonts w:ascii="ITC Avant Garde" w:hAnsi="ITC Avant Garde"/>
                <w:color w:val="000000"/>
                <w:sz w:val="20"/>
                <w:szCs w:val="20"/>
              </w:rPr>
            </w:pPr>
          </w:p>
        </w:tc>
        <w:tc>
          <w:tcPr>
            <w:tcW w:w="7" w:type="pct"/>
            <w:tcBorders>
              <w:top w:val="nil"/>
              <w:left w:val="nil"/>
              <w:bottom w:val="nil"/>
              <w:right w:val="nil"/>
            </w:tcBorders>
            <w:shd w:val="clear" w:color="auto" w:fill="auto"/>
            <w:noWrap/>
            <w:vAlign w:val="bottom"/>
            <w:hideMark/>
          </w:tcPr>
          <w:p w14:paraId="0E0078B1" w14:textId="77777777" w:rsidR="008E6427" w:rsidRPr="008E6427" w:rsidRDefault="008E6427">
            <w:pPr>
              <w:rPr>
                <w:rFonts w:ascii="ITC Avant Garde" w:hAnsi="ITC Avant Garde"/>
                <w:sz w:val="20"/>
                <w:szCs w:val="20"/>
              </w:rPr>
            </w:pPr>
          </w:p>
        </w:tc>
      </w:tr>
      <w:tr w:rsidR="004B295E" w:rsidRPr="008E6427" w14:paraId="56E15F8E" w14:textId="77777777" w:rsidTr="00786D1E">
        <w:trPr>
          <w:trHeight w:val="216"/>
        </w:trPr>
        <w:tc>
          <w:tcPr>
            <w:tcW w:w="909"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A664A80" w14:textId="77777777" w:rsidR="008E6427" w:rsidRPr="008E6427" w:rsidRDefault="008E6427">
            <w:pPr>
              <w:jc w:val="center"/>
              <w:rPr>
                <w:rFonts w:ascii="ITC Avant Garde" w:hAnsi="ITC Avant Garde"/>
                <w:b/>
                <w:bCs/>
                <w:color w:val="000000"/>
                <w:sz w:val="20"/>
                <w:szCs w:val="20"/>
              </w:rPr>
            </w:pPr>
            <w:r w:rsidRPr="008E6427">
              <w:rPr>
                <w:rFonts w:ascii="ITC Avant Garde" w:hAnsi="ITC Avant Garde"/>
                <w:b/>
                <w:bCs/>
                <w:color w:val="000000"/>
                <w:sz w:val="20"/>
                <w:szCs w:val="20"/>
              </w:rPr>
              <w:t>IV.    Comentarios, opiniones y aportaciones generales de la persona participante sobre el asunto en Consulta Pública</w:t>
            </w:r>
          </w:p>
        </w:tc>
        <w:tc>
          <w:tcPr>
            <w:tcW w:w="2078" w:type="pct"/>
            <w:tcBorders>
              <w:top w:val="single" w:sz="8" w:space="0" w:color="auto"/>
              <w:left w:val="nil"/>
              <w:right w:val="single" w:sz="8" w:space="0" w:color="000000"/>
            </w:tcBorders>
            <w:shd w:val="clear" w:color="auto" w:fill="auto"/>
            <w:vAlign w:val="center"/>
            <w:hideMark/>
          </w:tcPr>
          <w:p w14:paraId="3144DBA8"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t>Megacable Comunicaciones de México, S.A. de C.V.</w:t>
            </w:r>
            <w:r w:rsidRPr="008E6427">
              <w:rPr>
                <w:rFonts w:ascii="ITC Avant Garde" w:hAnsi="ITC Avant Garde"/>
                <w:color w:val="000000"/>
                <w:sz w:val="20"/>
                <w:szCs w:val="20"/>
              </w:rPr>
              <w:t xml:space="preserve">                                            </w:t>
            </w:r>
          </w:p>
        </w:tc>
        <w:tc>
          <w:tcPr>
            <w:tcW w:w="2006"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6B5B021" w14:textId="77777777" w:rsidR="00786D1E" w:rsidRPr="008E6427" w:rsidRDefault="00786D1E" w:rsidP="00786D1E">
            <w:pPr>
              <w:jc w:val="both"/>
              <w:rPr>
                <w:rFonts w:ascii="ITC Avant Garde" w:hAnsi="ITC Avant Garde"/>
                <w:color w:val="000000"/>
                <w:sz w:val="20"/>
                <w:szCs w:val="20"/>
              </w:rPr>
            </w:pPr>
            <w:r>
              <w:rPr>
                <w:rFonts w:ascii="ITC Avant Garde" w:hAnsi="ITC Avant Garde"/>
                <w:color w:val="000000"/>
                <w:sz w:val="20"/>
                <w:szCs w:val="20"/>
              </w:rPr>
              <w:t xml:space="preserve">El Instituto agradece los comentarios </w:t>
            </w:r>
            <w:r w:rsidRPr="00786D1E">
              <w:rPr>
                <w:rFonts w:ascii="ITC Avant Garde" w:hAnsi="ITC Avant Garde"/>
                <w:color w:val="000000"/>
                <w:sz w:val="20"/>
                <w:szCs w:val="20"/>
              </w:rPr>
              <w:t xml:space="preserve">realizados por </w:t>
            </w:r>
            <w:r>
              <w:rPr>
                <w:rFonts w:ascii="ITC Avant Garde" w:hAnsi="ITC Avant Garde"/>
                <w:color w:val="000000"/>
                <w:sz w:val="20"/>
                <w:szCs w:val="20"/>
              </w:rPr>
              <w:t xml:space="preserve">los </w:t>
            </w:r>
            <w:r w:rsidRPr="00786D1E">
              <w:rPr>
                <w:rFonts w:ascii="ITC Avant Garde" w:hAnsi="ITC Avant Garde"/>
                <w:color w:val="000000"/>
                <w:sz w:val="20"/>
                <w:szCs w:val="20"/>
              </w:rPr>
              <w:t>participante</w:t>
            </w:r>
            <w:r>
              <w:rPr>
                <w:rFonts w:ascii="ITC Avant Garde" w:hAnsi="ITC Avant Garde"/>
                <w:color w:val="000000"/>
                <w:sz w:val="20"/>
                <w:szCs w:val="20"/>
              </w:rPr>
              <w:t>s</w:t>
            </w:r>
            <w:r w:rsidRPr="00786D1E">
              <w:rPr>
                <w:rFonts w:ascii="ITC Avant Garde" w:hAnsi="ITC Avant Garde"/>
                <w:color w:val="000000"/>
                <w:sz w:val="20"/>
                <w:szCs w:val="20"/>
              </w:rPr>
              <w:t>. La información</w:t>
            </w:r>
            <w:r>
              <w:rPr>
                <w:rFonts w:ascii="ITC Avant Garde" w:hAnsi="ITC Avant Garde"/>
                <w:color w:val="000000"/>
                <w:sz w:val="20"/>
                <w:szCs w:val="20"/>
              </w:rPr>
              <w:t xml:space="preserve"> </w:t>
            </w:r>
            <w:r w:rsidRPr="00786D1E">
              <w:rPr>
                <w:rFonts w:ascii="ITC Avant Garde" w:hAnsi="ITC Avant Garde"/>
                <w:color w:val="000000"/>
                <w:sz w:val="20"/>
                <w:szCs w:val="20"/>
              </w:rPr>
              <w:t>aportada será considerada para</w:t>
            </w:r>
            <w:r>
              <w:rPr>
                <w:rFonts w:ascii="ITC Avant Garde" w:hAnsi="ITC Avant Garde"/>
                <w:color w:val="000000"/>
                <w:sz w:val="20"/>
                <w:szCs w:val="20"/>
              </w:rPr>
              <w:t xml:space="preserve"> </w:t>
            </w:r>
            <w:r w:rsidRPr="00786D1E">
              <w:rPr>
                <w:rFonts w:ascii="ITC Avant Garde" w:hAnsi="ITC Avant Garde"/>
                <w:color w:val="000000"/>
                <w:sz w:val="20"/>
                <w:szCs w:val="20"/>
              </w:rPr>
              <w:t>las actividades regulatorias en</w:t>
            </w:r>
            <w:r>
              <w:rPr>
                <w:rFonts w:ascii="ITC Avant Garde" w:hAnsi="ITC Avant Garde"/>
                <w:color w:val="000000"/>
                <w:sz w:val="20"/>
                <w:szCs w:val="20"/>
              </w:rPr>
              <w:t xml:space="preserve"> </w:t>
            </w:r>
            <w:r w:rsidRPr="00786D1E">
              <w:rPr>
                <w:rFonts w:ascii="ITC Avant Garde" w:hAnsi="ITC Avant Garde"/>
                <w:color w:val="000000"/>
                <w:sz w:val="20"/>
                <w:szCs w:val="20"/>
              </w:rPr>
              <w:t>materia de espectro radioeléctrico.</w:t>
            </w:r>
          </w:p>
          <w:p w14:paraId="39AB76A0" w14:textId="1A180648" w:rsidR="008E6427" w:rsidRPr="008E6427" w:rsidRDefault="008E6427" w:rsidP="00431471">
            <w:pPr>
              <w:jc w:val="both"/>
              <w:rPr>
                <w:rFonts w:ascii="ITC Avant Garde" w:hAnsi="ITC Avant Garde"/>
                <w:color w:val="000000"/>
                <w:sz w:val="20"/>
                <w:szCs w:val="20"/>
              </w:rPr>
            </w:pPr>
          </w:p>
        </w:tc>
        <w:tc>
          <w:tcPr>
            <w:tcW w:w="7" w:type="pct"/>
            <w:vAlign w:val="center"/>
            <w:hideMark/>
          </w:tcPr>
          <w:p w14:paraId="01F2B39E" w14:textId="77777777" w:rsidR="008E6427" w:rsidRPr="008E6427" w:rsidRDefault="008E6427">
            <w:pPr>
              <w:rPr>
                <w:rFonts w:ascii="ITC Avant Garde" w:hAnsi="ITC Avant Garde"/>
                <w:sz w:val="20"/>
                <w:szCs w:val="20"/>
              </w:rPr>
            </w:pPr>
          </w:p>
        </w:tc>
      </w:tr>
      <w:tr w:rsidR="004B295E" w:rsidRPr="008E6427" w14:paraId="5EBECB03" w14:textId="77777777" w:rsidTr="00786D1E">
        <w:trPr>
          <w:trHeight w:val="760"/>
        </w:trPr>
        <w:tc>
          <w:tcPr>
            <w:tcW w:w="909" w:type="pct"/>
            <w:vMerge/>
            <w:tcBorders>
              <w:top w:val="single" w:sz="8" w:space="0" w:color="auto"/>
              <w:left w:val="single" w:sz="8" w:space="0" w:color="auto"/>
              <w:bottom w:val="single" w:sz="8" w:space="0" w:color="000000"/>
              <w:right w:val="single" w:sz="8" w:space="0" w:color="000000"/>
            </w:tcBorders>
            <w:vAlign w:val="center"/>
            <w:hideMark/>
          </w:tcPr>
          <w:p w14:paraId="1F1BBC68"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single" w:sz="4" w:space="0" w:color="auto"/>
              <w:right w:val="single" w:sz="8" w:space="0" w:color="000000"/>
            </w:tcBorders>
            <w:shd w:val="clear" w:color="auto" w:fill="auto"/>
            <w:vAlign w:val="center"/>
            <w:hideMark/>
          </w:tcPr>
          <w:p w14:paraId="0617A8E4" w14:textId="77777777" w:rsidR="008E6427" w:rsidRPr="008E6427" w:rsidRDefault="008E6427" w:rsidP="00FC3B7F">
            <w:pPr>
              <w:jc w:val="both"/>
              <w:rPr>
                <w:rFonts w:ascii="ITC Avant Garde" w:hAnsi="ITC Avant Garde"/>
                <w:color w:val="000000"/>
                <w:sz w:val="20"/>
                <w:szCs w:val="20"/>
              </w:rPr>
            </w:pPr>
            <w:r w:rsidRPr="008E6427">
              <w:rPr>
                <w:rFonts w:ascii="ITC Avant Garde" w:hAnsi="ITC Avant Garde"/>
                <w:color w:val="000000"/>
                <w:sz w:val="20"/>
                <w:szCs w:val="20"/>
              </w:rPr>
              <w:t>MCM Telecom agradece al IFT la oportunidad que brinda para aportar comentarios, recomendaciones y puntos de vista relacionados con la Consulta Pública sobre el Esquema de mayor granularidad de Áreas Geográficas.</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54B6F4C4" w14:textId="77777777" w:rsidR="008E6427" w:rsidRPr="008E6427" w:rsidRDefault="008E6427">
            <w:pPr>
              <w:rPr>
                <w:rFonts w:ascii="ITC Avant Garde" w:hAnsi="ITC Avant Garde"/>
                <w:color w:val="000000"/>
                <w:sz w:val="20"/>
                <w:szCs w:val="20"/>
              </w:rPr>
            </w:pPr>
          </w:p>
        </w:tc>
        <w:tc>
          <w:tcPr>
            <w:tcW w:w="7" w:type="pct"/>
            <w:vAlign w:val="center"/>
            <w:hideMark/>
          </w:tcPr>
          <w:p w14:paraId="09D8D70D" w14:textId="77777777" w:rsidR="008E6427" w:rsidRPr="008E6427" w:rsidRDefault="008E6427">
            <w:pPr>
              <w:rPr>
                <w:rFonts w:ascii="ITC Avant Garde" w:hAnsi="ITC Avant Garde"/>
                <w:sz w:val="20"/>
                <w:szCs w:val="20"/>
              </w:rPr>
            </w:pPr>
          </w:p>
        </w:tc>
      </w:tr>
      <w:tr w:rsidR="004B295E" w:rsidRPr="008E6427" w14:paraId="79D481F6" w14:textId="77777777" w:rsidTr="00786D1E">
        <w:trPr>
          <w:trHeight w:val="828"/>
        </w:trPr>
        <w:tc>
          <w:tcPr>
            <w:tcW w:w="909" w:type="pct"/>
            <w:vMerge/>
            <w:tcBorders>
              <w:top w:val="single" w:sz="8" w:space="0" w:color="auto"/>
              <w:left w:val="single" w:sz="8" w:space="0" w:color="auto"/>
              <w:bottom w:val="single" w:sz="8" w:space="0" w:color="000000"/>
              <w:right w:val="single" w:sz="8" w:space="0" w:color="000000"/>
            </w:tcBorders>
            <w:vAlign w:val="center"/>
            <w:hideMark/>
          </w:tcPr>
          <w:p w14:paraId="587F2242" w14:textId="77777777" w:rsidR="008E6427" w:rsidRPr="008E6427" w:rsidRDefault="008E6427">
            <w:pPr>
              <w:rPr>
                <w:rFonts w:ascii="ITC Avant Garde" w:hAnsi="ITC Avant Garde"/>
                <w:b/>
                <w:bCs/>
                <w:color w:val="000000"/>
                <w:sz w:val="20"/>
                <w:szCs w:val="20"/>
              </w:rPr>
            </w:pPr>
          </w:p>
        </w:tc>
        <w:tc>
          <w:tcPr>
            <w:tcW w:w="2078" w:type="pct"/>
            <w:tcBorders>
              <w:top w:val="single" w:sz="4" w:space="0" w:color="auto"/>
              <w:left w:val="nil"/>
              <w:right w:val="single" w:sz="8" w:space="0" w:color="000000"/>
            </w:tcBorders>
            <w:shd w:val="clear" w:color="auto" w:fill="auto"/>
            <w:vAlign w:val="center"/>
            <w:hideMark/>
          </w:tcPr>
          <w:p w14:paraId="20521499" w14:textId="77777777" w:rsidR="008E6427" w:rsidRPr="008E6427" w:rsidRDefault="008E6427">
            <w:pPr>
              <w:rPr>
                <w:rFonts w:ascii="ITC Avant Garde" w:hAnsi="ITC Avant Garde"/>
                <w:b/>
                <w:bCs/>
                <w:color w:val="000000"/>
                <w:sz w:val="20"/>
                <w:szCs w:val="20"/>
              </w:rPr>
            </w:pPr>
            <w:r w:rsidRPr="008E6427">
              <w:rPr>
                <w:rFonts w:ascii="ITC Avant Garde" w:hAnsi="ITC Avant Garde"/>
                <w:b/>
                <w:bCs/>
                <w:color w:val="000000"/>
                <w:sz w:val="20"/>
                <w:szCs w:val="20"/>
              </w:rPr>
              <w:t>AT&amp;T Comunicaciones Digitales, S. de R.L. de C.V., Grupo AT&amp;T Celular, S. de R.L. de C.V. y AT&amp;T Comercialización Móvil, S. de R.L. de C.V.</w:t>
            </w:r>
            <w:r w:rsidRPr="008E6427">
              <w:rPr>
                <w:rFonts w:ascii="ITC Avant Garde" w:hAnsi="ITC Avant Garde"/>
                <w:color w:val="000000"/>
                <w:sz w:val="20"/>
                <w:szCs w:val="20"/>
              </w:rPr>
              <w:t xml:space="preserve">                            </w:t>
            </w:r>
          </w:p>
        </w:tc>
        <w:tc>
          <w:tcPr>
            <w:tcW w:w="2006" w:type="pct"/>
            <w:vMerge/>
            <w:tcBorders>
              <w:top w:val="single" w:sz="8" w:space="0" w:color="auto"/>
              <w:left w:val="single" w:sz="8" w:space="0" w:color="auto"/>
              <w:bottom w:val="single" w:sz="8" w:space="0" w:color="000000"/>
              <w:right w:val="single" w:sz="8" w:space="0" w:color="000000"/>
            </w:tcBorders>
            <w:vAlign w:val="center"/>
            <w:hideMark/>
          </w:tcPr>
          <w:p w14:paraId="07ECE42A" w14:textId="77777777" w:rsidR="008E6427" w:rsidRPr="008E6427" w:rsidRDefault="008E6427">
            <w:pPr>
              <w:rPr>
                <w:rFonts w:ascii="ITC Avant Garde" w:hAnsi="ITC Avant Garde"/>
                <w:color w:val="000000"/>
                <w:sz w:val="20"/>
                <w:szCs w:val="20"/>
              </w:rPr>
            </w:pPr>
          </w:p>
        </w:tc>
        <w:tc>
          <w:tcPr>
            <w:tcW w:w="7" w:type="pct"/>
            <w:vAlign w:val="center"/>
            <w:hideMark/>
          </w:tcPr>
          <w:p w14:paraId="25F9C3AD" w14:textId="77777777" w:rsidR="008E6427" w:rsidRPr="008E6427" w:rsidRDefault="008E6427">
            <w:pPr>
              <w:rPr>
                <w:rFonts w:ascii="ITC Avant Garde" w:hAnsi="ITC Avant Garde"/>
                <w:sz w:val="20"/>
                <w:szCs w:val="20"/>
              </w:rPr>
            </w:pPr>
          </w:p>
        </w:tc>
      </w:tr>
      <w:tr w:rsidR="004B295E" w:rsidRPr="008E6427" w14:paraId="04D27D90" w14:textId="77777777" w:rsidTr="00786D1E">
        <w:trPr>
          <w:trHeight w:val="367"/>
        </w:trPr>
        <w:tc>
          <w:tcPr>
            <w:tcW w:w="909" w:type="pct"/>
            <w:vMerge/>
            <w:tcBorders>
              <w:top w:val="single" w:sz="8" w:space="0" w:color="auto"/>
              <w:left w:val="single" w:sz="8" w:space="0" w:color="auto"/>
              <w:bottom w:val="single" w:sz="8" w:space="0" w:color="auto"/>
              <w:right w:val="single" w:sz="8" w:space="0" w:color="000000"/>
            </w:tcBorders>
            <w:vAlign w:val="center"/>
            <w:hideMark/>
          </w:tcPr>
          <w:p w14:paraId="688AAA75" w14:textId="77777777" w:rsidR="008E6427" w:rsidRPr="008E6427" w:rsidRDefault="008E6427">
            <w:pPr>
              <w:rPr>
                <w:rFonts w:ascii="ITC Avant Garde" w:hAnsi="ITC Avant Garde"/>
                <w:b/>
                <w:bCs/>
                <w:color w:val="000000"/>
                <w:sz w:val="20"/>
                <w:szCs w:val="20"/>
              </w:rPr>
            </w:pPr>
          </w:p>
        </w:tc>
        <w:tc>
          <w:tcPr>
            <w:tcW w:w="2078" w:type="pct"/>
            <w:tcBorders>
              <w:top w:val="nil"/>
              <w:left w:val="nil"/>
              <w:bottom w:val="single" w:sz="4" w:space="0" w:color="auto"/>
              <w:right w:val="single" w:sz="8" w:space="0" w:color="000000"/>
            </w:tcBorders>
            <w:shd w:val="clear" w:color="auto" w:fill="auto"/>
            <w:vAlign w:val="center"/>
            <w:hideMark/>
          </w:tcPr>
          <w:p w14:paraId="2ABA4085" w14:textId="77777777" w:rsidR="008E6427" w:rsidRPr="008E6427" w:rsidRDefault="008E6427" w:rsidP="00FC3B7F">
            <w:pPr>
              <w:jc w:val="both"/>
              <w:rPr>
                <w:rFonts w:ascii="ITC Avant Garde" w:hAnsi="ITC Avant Garde"/>
                <w:color w:val="000000"/>
                <w:sz w:val="20"/>
                <w:szCs w:val="20"/>
              </w:rPr>
            </w:pPr>
            <w:r w:rsidRPr="008E6427">
              <w:rPr>
                <w:rFonts w:ascii="ITC Avant Garde" w:hAnsi="ITC Avant Garde"/>
                <w:color w:val="000000"/>
                <w:sz w:val="20"/>
                <w:szCs w:val="20"/>
              </w:rPr>
              <w:t>AT&amp;T agradece y valora la mecánica de consultas públicas que está utilizando el IFT para enriquecer y mejorar sus resoluciones.</w:t>
            </w:r>
          </w:p>
        </w:tc>
        <w:tc>
          <w:tcPr>
            <w:tcW w:w="2006" w:type="pct"/>
            <w:vMerge/>
            <w:tcBorders>
              <w:top w:val="single" w:sz="8" w:space="0" w:color="auto"/>
              <w:left w:val="single" w:sz="8" w:space="0" w:color="auto"/>
              <w:bottom w:val="single" w:sz="8" w:space="0" w:color="auto"/>
              <w:right w:val="single" w:sz="8" w:space="0" w:color="000000"/>
            </w:tcBorders>
            <w:vAlign w:val="center"/>
            <w:hideMark/>
          </w:tcPr>
          <w:p w14:paraId="4649E504" w14:textId="77777777" w:rsidR="008E6427" w:rsidRPr="008E6427" w:rsidRDefault="008E6427">
            <w:pPr>
              <w:rPr>
                <w:rFonts w:ascii="ITC Avant Garde" w:hAnsi="ITC Avant Garde"/>
                <w:color w:val="000000"/>
                <w:sz w:val="20"/>
                <w:szCs w:val="20"/>
              </w:rPr>
            </w:pPr>
          </w:p>
        </w:tc>
        <w:tc>
          <w:tcPr>
            <w:tcW w:w="7" w:type="pct"/>
            <w:vAlign w:val="center"/>
            <w:hideMark/>
          </w:tcPr>
          <w:p w14:paraId="1BE394DC" w14:textId="77777777" w:rsidR="008E6427" w:rsidRPr="008E6427" w:rsidRDefault="008E6427">
            <w:pPr>
              <w:rPr>
                <w:rFonts w:ascii="ITC Avant Garde" w:hAnsi="ITC Avant Garde"/>
                <w:sz w:val="20"/>
                <w:szCs w:val="20"/>
              </w:rPr>
            </w:pPr>
          </w:p>
        </w:tc>
      </w:tr>
    </w:tbl>
    <w:p w14:paraId="5C967C5B" w14:textId="07F566BE" w:rsidR="0022412D" w:rsidRDefault="0022412D" w:rsidP="00A05B17">
      <w:pPr>
        <w:tabs>
          <w:tab w:val="left" w:pos="3360"/>
        </w:tabs>
        <w:rPr>
          <w:rFonts w:ascii="ITC Avant Garde" w:hAnsi="ITC Avant Garde"/>
          <w:color w:val="000000" w:themeColor="text1"/>
          <w:sz w:val="20"/>
          <w:szCs w:val="20"/>
        </w:rPr>
      </w:pPr>
      <w:bookmarkStart w:id="0" w:name="_GoBack"/>
      <w:bookmarkEnd w:id="0"/>
    </w:p>
    <w:sectPr w:rsidR="0022412D" w:rsidSect="00A05B17">
      <w:pgSz w:w="16838" w:h="11906"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F5FB2" w14:textId="77777777" w:rsidR="00364ED1" w:rsidRDefault="00364ED1" w:rsidP="00044C6B">
      <w:pPr>
        <w:spacing w:after="0" w:line="240" w:lineRule="auto"/>
      </w:pPr>
      <w:r>
        <w:separator/>
      </w:r>
    </w:p>
  </w:endnote>
  <w:endnote w:type="continuationSeparator" w:id="0">
    <w:p w14:paraId="09901061" w14:textId="77777777" w:rsidR="00364ED1" w:rsidRDefault="00364ED1" w:rsidP="00044C6B">
      <w:pPr>
        <w:spacing w:after="0" w:line="240" w:lineRule="auto"/>
      </w:pPr>
      <w:r>
        <w:continuationSeparator/>
      </w:r>
    </w:p>
  </w:endnote>
  <w:endnote w:type="continuationNotice" w:id="1">
    <w:p w14:paraId="4F59FDB3" w14:textId="77777777" w:rsidR="00364ED1" w:rsidRDefault="00364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512841"/>
      <w:docPartObj>
        <w:docPartGallery w:val="Page Numbers (Bottom of Page)"/>
        <w:docPartUnique/>
      </w:docPartObj>
    </w:sdtPr>
    <w:sdtEndPr>
      <w:rPr>
        <w:rFonts w:ascii="ITC Avant Garde" w:hAnsi="ITC Avant Garde"/>
        <w:sz w:val="14"/>
        <w:szCs w:val="14"/>
      </w:rPr>
    </w:sdtEndPr>
    <w:sdtContent>
      <w:p w14:paraId="3A5B9640" w14:textId="2136B06F" w:rsidR="005256E1" w:rsidRPr="004D68BC" w:rsidRDefault="005256E1">
        <w:pPr>
          <w:pStyle w:val="Piedepgina"/>
          <w:jc w:val="right"/>
          <w:rPr>
            <w:rFonts w:ascii="ITC Avant Garde" w:hAnsi="ITC Avant Garde"/>
          </w:rPr>
        </w:pPr>
        <w:r w:rsidRPr="004D68BC">
          <w:rPr>
            <w:rFonts w:ascii="ITC Avant Garde" w:hAnsi="ITC Avant Garde"/>
            <w:sz w:val="18"/>
          </w:rPr>
          <w:fldChar w:fldCharType="begin"/>
        </w:r>
        <w:r w:rsidRPr="004D68BC">
          <w:rPr>
            <w:rFonts w:ascii="ITC Avant Garde" w:hAnsi="ITC Avant Garde"/>
            <w:sz w:val="18"/>
          </w:rPr>
          <w:instrText>PAGE   \* MERGEFORMAT</w:instrText>
        </w:r>
        <w:r w:rsidRPr="004D68BC">
          <w:rPr>
            <w:rFonts w:ascii="ITC Avant Garde" w:hAnsi="ITC Avant Garde"/>
            <w:sz w:val="18"/>
          </w:rPr>
          <w:fldChar w:fldCharType="separate"/>
        </w:r>
        <w:r w:rsidRPr="004D68BC">
          <w:rPr>
            <w:rFonts w:ascii="ITC Avant Garde" w:hAnsi="ITC Avant Garde"/>
            <w:sz w:val="18"/>
            <w:lang w:val="es-ES"/>
          </w:rPr>
          <w:t>2</w:t>
        </w:r>
        <w:r w:rsidRPr="004D68BC">
          <w:rPr>
            <w:rFonts w:ascii="ITC Avant Garde" w:hAnsi="ITC Avant Garde"/>
            <w:sz w:val="18"/>
          </w:rPr>
          <w:fldChar w:fldCharType="end"/>
        </w:r>
      </w:p>
    </w:sdtContent>
  </w:sdt>
  <w:p w14:paraId="2E601677" w14:textId="77777777" w:rsidR="005256E1" w:rsidRDefault="00525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312AE" w14:textId="77777777" w:rsidR="00364ED1" w:rsidRDefault="00364ED1" w:rsidP="00044C6B">
      <w:pPr>
        <w:spacing w:after="0" w:line="240" w:lineRule="auto"/>
      </w:pPr>
      <w:r>
        <w:separator/>
      </w:r>
    </w:p>
  </w:footnote>
  <w:footnote w:type="continuationSeparator" w:id="0">
    <w:p w14:paraId="1AB0717D" w14:textId="77777777" w:rsidR="00364ED1" w:rsidRDefault="00364ED1" w:rsidP="00044C6B">
      <w:pPr>
        <w:spacing w:after="0" w:line="240" w:lineRule="auto"/>
      </w:pPr>
      <w:r>
        <w:continuationSeparator/>
      </w:r>
    </w:p>
  </w:footnote>
  <w:footnote w:type="continuationNotice" w:id="1">
    <w:p w14:paraId="260BEED7" w14:textId="77777777" w:rsidR="00364ED1" w:rsidRDefault="00364E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09C0"/>
    <w:multiLevelType w:val="hybridMultilevel"/>
    <w:tmpl w:val="F99C6154"/>
    <w:lvl w:ilvl="0" w:tplc="443AF4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6B"/>
    <w:rsid w:val="00001242"/>
    <w:rsid w:val="00001601"/>
    <w:rsid w:val="0000233C"/>
    <w:rsid w:val="00014C28"/>
    <w:rsid w:val="00032C9A"/>
    <w:rsid w:val="00044BEC"/>
    <w:rsid w:val="00044C6B"/>
    <w:rsid w:val="0006754C"/>
    <w:rsid w:val="000A2B77"/>
    <w:rsid w:val="000A42D3"/>
    <w:rsid w:val="000A4DA3"/>
    <w:rsid w:val="000B0ED2"/>
    <w:rsid w:val="000B3718"/>
    <w:rsid w:val="000C0A2A"/>
    <w:rsid w:val="000C44BE"/>
    <w:rsid w:val="000E7080"/>
    <w:rsid w:val="00100BC0"/>
    <w:rsid w:val="00110862"/>
    <w:rsid w:val="0011182A"/>
    <w:rsid w:val="001122AE"/>
    <w:rsid w:val="00116958"/>
    <w:rsid w:val="001556FE"/>
    <w:rsid w:val="00164610"/>
    <w:rsid w:val="00164E7B"/>
    <w:rsid w:val="00166B26"/>
    <w:rsid w:val="001778BB"/>
    <w:rsid w:val="00181351"/>
    <w:rsid w:val="0018589A"/>
    <w:rsid w:val="00197A66"/>
    <w:rsid w:val="001A7099"/>
    <w:rsid w:val="001A7139"/>
    <w:rsid w:val="001B32F0"/>
    <w:rsid w:val="001C038F"/>
    <w:rsid w:val="001D1471"/>
    <w:rsid w:val="001F2075"/>
    <w:rsid w:val="001F546B"/>
    <w:rsid w:val="00213AAD"/>
    <w:rsid w:val="00214858"/>
    <w:rsid w:val="002223CA"/>
    <w:rsid w:val="00222659"/>
    <w:rsid w:val="0022412D"/>
    <w:rsid w:val="002274A6"/>
    <w:rsid w:val="00237699"/>
    <w:rsid w:val="00247010"/>
    <w:rsid w:val="00263EC0"/>
    <w:rsid w:val="00270C9C"/>
    <w:rsid w:val="002776D9"/>
    <w:rsid w:val="0028214F"/>
    <w:rsid w:val="002A129B"/>
    <w:rsid w:val="002C1144"/>
    <w:rsid w:val="002C2E7B"/>
    <w:rsid w:val="002E6B8A"/>
    <w:rsid w:val="00304EBB"/>
    <w:rsid w:val="00305CD6"/>
    <w:rsid w:val="003105DD"/>
    <w:rsid w:val="003119DF"/>
    <w:rsid w:val="00314245"/>
    <w:rsid w:val="00333F43"/>
    <w:rsid w:val="0033405E"/>
    <w:rsid w:val="00335097"/>
    <w:rsid w:val="0036062C"/>
    <w:rsid w:val="00364ED1"/>
    <w:rsid w:val="003717EF"/>
    <w:rsid w:val="003860F9"/>
    <w:rsid w:val="003946BA"/>
    <w:rsid w:val="00395E9D"/>
    <w:rsid w:val="003C2BBA"/>
    <w:rsid w:val="003D5DD8"/>
    <w:rsid w:val="003F43F8"/>
    <w:rsid w:val="003F6A5F"/>
    <w:rsid w:val="003F797D"/>
    <w:rsid w:val="003F7CAF"/>
    <w:rsid w:val="003F7FF0"/>
    <w:rsid w:val="00403575"/>
    <w:rsid w:val="00421EE8"/>
    <w:rsid w:val="00431471"/>
    <w:rsid w:val="004372A1"/>
    <w:rsid w:val="0044526F"/>
    <w:rsid w:val="00446E33"/>
    <w:rsid w:val="004654CE"/>
    <w:rsid w:val="00465D30"/>
    <w:rsid w:val="00475AFD"/>
    <w:rsid w:val="00481C63"/>
    <w:rsid w:val="0049425D"/>
    <w:rsid w:val="00494CB0"/>
    <w:rsid w:val="00495D19"/>
    <w:rsid w:val="004A12A2"/>
    <w:rsid w:val="004A3B9A"/>
    <w:rsid w:val="004A75E5"/>
    <w:rsid w:val="004B295E"/>
    <w:rsid w:val="004D68BC"/>
    <w:rsid w:val="004D77EA"/>
    <w:rsid w:val="004D7B15"/>
    <w:rsid w:val="004F77EE"/>
    <w:rsid w:val="00505BD3"/>
    <w:rsid w:val="00515BF7"/>
    <w:rsid w:val="005160D8"/>
    <w:rsid w:val="00520A4F"/>
    <w:rsid w:val="0052277F"/>
    <w:rsid w:val="005238A8"/>
    <w:rsid w:val="00524E50"/>
    <w:rsid w:val="005256E1"/>
    <w:rsid w:val="0052742F"/>
    <w:rsid w:val="005276B5"/>
    <w:rsid w:val="0053222A"/>
    <w:rsid w:val="00542584"/>
    <w:rsid w:val="00546A7F"/>
    <w:rsid w:val="005471D5"/>
    <w:rsid w:val="00553364"/>
    <w:rsid w:val="005740DC"/>
    <w:rsid w:val="005A3AA9"/>
    <w:rsid w:val="005B29BF"/>
    <w:rsid w:val="005D3455"/>
    <w:rsid w:val="005D7973"/>
    <w:rsid w:val="005E6D20"/>
    <w:rsid w:val="00624106"/>
    <w:rsid w:val="006379FF"/>
    <w:rsid w:val="0065676C"/>
    <w:rsid w:val="006649FE"/>
    <w:rsid w:val="00664C43"/>
    <w:rsid w:val="00666037"/>
    <w:rsid w:val="00667CE2"/>
    <w:rsid w:val="00673C35"/>
    <w:rsid w:val="00682207"/>
    <w:rsid w:val="006867B2"/>
    <w:rsid w:val="006930FA"/>
    <w:rsid w:val="006C455D"/>
    <w:rsid w:val="006E6500"/>
    <w:rsid w:val="006F22D6"/>
    <w:rsid w:val="00723872"/>
    <w:rsid w:val="00745203"/>
    <w:rsid w:val="00764033"/>
    <w:rsid w:val="00764370"/>
    <w:rsid w:val="00775F7D"/>
    <w:rsid w:val="00786D1E"/>
    <w:rsid w:val="00790E34"/>
    <w:rsid w:val="007913E4"/>
    <w:rsid w:val="00793AB7"/>
    <w:rsid w:val="007A551F"/>
    <w:rsid w:val="007B1C92"/>
    <w:rsid w:val="007B4FF4"/>
    <w:rsid w:val="007C77FF"/>
    <w:rsid w:val="007C7EFF"/>
    <w:rsid w:val="007D1C0E"/>
    <w:rsid w:val="007D2238"/>
    <w:rsid w:val="007F2BB4"/>
    <w:rsid w:val="007F6458"/>
    <w:rsid w:val="0082211A"/>
    <w:rsid w:val="00835AE1"/>
    <w:rsid w:val="00853C5A"/>
    <w:rsid w:val="00867DCD"/>
    <w:rsid w:val="00882E98"/>
    <w:rsid w:val="00886971"/>
    <w:rsid w:val="00896808"/>
    <w:rsid w:val="008A5C58"/>
    <w:rsid w:val="008B79BB"/>
    <w:rsid w:val="008C376A"/>
    <w:rsid w:val="008D3705"/>
    <w:rsid w:val="008E1E0B"/>
    <w:rsid w:val="008E6427"/>
    <w:rsid w:val="008F0228"/>
    <w:rsid w:val="00903DBC"/>
    <w:rsid w:val="00905E9D"/>
    <w:rsid w:val="00913D11"/>
    <w:rsid w:val="00915EDB"/>
    <w:rsid w:val="00930E87"/>
    <w:rsid w:val="00935242"/>
    <w:rsid w:val="009643B2"/>
    <w:rsid w:val="009843EA"/>
    <w:rsid w:val="0099191B"/>
    <w:rsid w:val="00995B1E"/>
    <w:rsid w:val="009A787E"/>
    <w:rsid w:val="009B2363"/>
    <w:rsid w:val="009B3ED4"/>
    <w:rsid w:val="009C5E51"/>
    <w:rsid w:val="009C7FF3"/>
    <w:rsid w:val="009E5707"/>
    <w:rsid w:val="009F1890"/>
    <w:rsid w:val="009F58EA"/>
    <w:rsid w:val="009F7896"/>
    <w:rsid w:val="00A05B17"/>
    <w:rsid w:val="00A06067"/>
    <w:rsid w:val="00A06D2C"/>
    <w:rsid w:val="00A11D25"/>
    <w:rsid w:val="00A22FB9"/>
    <w:rsid w:val="00A27219"/>
    <w:rsid w:val="00A338C4"/>
    <w:rsid w:val="00A33A2B"/>
    <w:rsid w:val="00A34012"/>
    <w:rsid w:val="00A45C0F"/>
    <w:rsid w:val="00A61411"/>
    <w:rsid w:val="00A7637F"/>
    <w:rsid w:val="00A80AFF"/>
    <w:rsid w:val="00A83A8B"/>
    <w:rsid w:val="00A90785"/>
    <w:rsid w:val="00A90C73"/>
    <w:rsid w:val="00A92191"/>
    <w:rsid w:val="00A94511"/>
    <w:rsid w:val="00A96E34"/>
    <w:rsid w:val="00AA0D73"/>
    <w:rsid w:val="00AA34A5"/>
    <w:rsid w:val="00AB582F"/>
    <w:rsid w:val="00AC0A32"/>
    <w:rsid w:val="00AC6B78"/>
    <w:rsid w:val="00AC6EF7"/>
    <w:rsid w:val="00AD6013"/>
    <w:rsid w:val="00AD76D7"/>
    <w:rsid w:val="00AE20FB"/>
    <w:rsid w:val="00AE25AF"/>
    <w:rsid w:val="00B1258A"/>
    <w:rsid w:val="00B1508F"/>
    <w:rsid w:val="00B6212C"/>
    <w:rsid w:val="00B6369E"/>
    <w:rsid w:val="00B64555"/>
    <w:rsid w:val="00B73D2F"/>
    <w:rsid w:val="00B83021"/>
    <w:rsid w:val="00B85460"/>
    <w:rsid w:val="00B90C02"/>
    <w:rsid w:val="00BA1EE0"/>
    <w:rsid w:val="00BB63E9"/>
    <w:rsid w:val="00BB6565"/>
    <w:rsid w:val="00BC6E18"/>
    <w:rsid w:val="00BD0E72"/>
    <w:rsid w:val="00BE03C1"/>
    <w:rsid w:val="00BF063E"/>
    <w:rsid w:val="00C14A5C"/>
    <w:rsid w:val="00C33C7A"/>
    <w:rsid w:val="00C4510B"/>
    <w:rsid w:val="00C63586"/>
    <w:rsid w:val="00C640D9"/>
    <w:rsid w:val="00C75542"/>
    <w:rsid w:val="00C824CB"/>
    <w:rsid w:val="00C96D95"/>
    <w:rsid w:val="00CA5E11"/>
    <w:rsid w:val="00CA69F5"/>
    <w:rsid w:val="00CA6FED"/>
    <w:rsid w:val="00CB4DD5"/>
    <w:rsid w:val="00CB7C2C"/>
    <w:rsid w:val="00CD71F9"/>
    <w:rsid w:val="00CE4E93"/>
    <w:rsid w:val="00D06BD9"/>
    <w:rsid w:val="00D14F7D"/>
    <w:rsid w:val="00D16D09"/>
    <w:rsid w:val="00D22E9B"/>
    <w:rsid w:val="00D27BED"/>
    <w:rsid w:val="00D45C53"/>
    <w:rsid w:val="00D45FA5"/>
    <w:rsid w:val="00D47800"/>
    <w:rsid w:val="00D530A6"/>
    <w:rsid w:val="00D574E5"/>
    <w:rsid w:val="00D66D90"/>
    <w:rsid w:val="00D71CE0"/>
    <w:rsid w:val="00D835D5"/>
    <w:rsid w:val="00DA6890"/>
    <w:rsid w:val="00DB3C23"/>
    <w:rsid w:val="00DB610E"/>
    <w:rsid w:val="00DB6F24"/>
    <w:rsid w:val="00DC2499"/>
    <w:rsid w:val="00DE2FB0"/>
    <w:rsid w:val="00DF368B"/>
    <w:rsid w:val="00DF6957"/>
    <w:rsid w:val="00E032C0"/>
    <w:rsid w:val="00E05D02"/>
    <w:rsid w:val="00E3242C"/>
    <w:rsid w:val="00E338CA"/>
    <w:rsid w:val="00E43070"/>
    <w:rsid w:val="00E779EA"/>
    <w:rsid w:val="00E8524E"/>
    <w:rsid w:val="00E86113"/>
    <w:rsid w:val="00E93170"/>
    <w:rsid w:val="00EA1E6A"/>
    <w:rsid w:val="00EA292D"/>
    <w:rsid w:val="00EA37DE"/>
    <w:rsid w:val="00EB1B24"/>
    <w:rsid w:val="00EB2119"/>
    <w:rsid w:val="00EB2B12"/>
    <w:rsid w:val="00EB4AAC"/>
    <w:rsid w:val="00EC5E3D"/>
    <w:rsid w:val="00ED5145"/>
    <w:rsid w:val="00ED76BB"/>
    <w:rsid w:val="00EE2391"/>
    <w:rsid w:val="00EE3637"/>
    <w:rsid w:val="00EE3C23"/>
    <w:rsid w:val="00EE6305"/>
    <w:rsid w:val="00EE6BB7"/>
    <w:rsid w:val="00EF451C"/>
    <w:rsid w:val="00EF514C"/>
    <w:rsid w:val="00F15140"/>
    <w:rsid w:val="00F159F0"/>
    <w:rsid w:val="00F272AD"/>
    <w:rsid w:val="00F30B70"/>
    <w:rsid w:val="00F424E4"/>
    <w:rsid w:val="00F47503"/>
    <w:rsid w:val="00F55B00"/>
    <w:rsid w:val="00F61093"/>
    <w:rsid w:val="00F623F0"/>
    <w:rsid w:val="00F679F6"/>
    <w:rsid w:val="00F940B4"/>
    <w:rsid w:val="00F95EE1"/>
    <w:rsid w:val="00FA73DA"/>
    <w:rsid w:val="00FB2376"/>
    <w:rsid w:val="00FC3B7F"/>
    <w:rsid w:val="00FC4369"/>
    <w:rsid w:val="00FC4645"/>
    <w:rsid w:val="00FC741A"/>
    <w:rsid w:val="00FD6364"/>
    <w:rsid w:val="00FE0A32"/>
    <w:rsid w:val="00FE4B70"/>
    <w:rsid w:val="00FF4CC5"/>
    <w:rsid w:val="01CF4C8C"/>
    <w:rsid w:val="0268CB2E"/>
    <w:rsid w:val="02D477E2"/>
    <w:rsid w:val="02D91589"/>
    <w:rsid w:val="039954FE"/>
    <w:rsid w:val="055E18F5"/>
    <w:rsid w:val="05ED84E8"/>
    <w:rsid w:val="077F41BC"/>
    <w:rsid w:val="08C0BA4F"/>
    <w:rsid w:val="09EF9DAC"/>
    <w:rsid w:val="0AF7385A"/>
    <w:rsid w:val="0AFDD32C"/>
    <w:rsid w:val="0C90B070"/>
    <w:rsid w:val="0D429C84"/>
    <w:rsid w:val="0D45248D"/>
    <w:rsid w:val="0D549E18"/>
    <w:rsid w:val="0DD164D2"/>
    <w:rsid w:val="0F8E2369"/>
    <w:rsid w:val="0F99E555"/>
    <w:rsid w:val="104AFB13"/>
    <w:rsid w:val="112B5871"/>
    <w:rsid w:val="1498E9C1"/>
    <w:rsid w:val="158BA63C"/>
    <w:rsid w:val="159E554F"/>
    <w:rsid w:val="1674263F"/>
    <w:rsid w:val="16DCDD56"/>
    <w:rsid w:val="181DCD01"/>
    <w:rsid w:val="1AFB6017"/>
    <w:rsid w:val="1BD76A62"/>
    <w:rsid w:val="1CF6AC3A"/>
    <w:rsid w:val="1F772F32"/>
    <w:rsid w:val="1FDE3871"/>
    <w:rsid w:val="21A1AC7F"/>
    <w:rsid w:val="21B0EBC7"/>
    <w:rsid w:val="22F3238F"/>
    <w:rsid w:val="23975D3C"/>
    <w:rsid w:val="240A8C62"/>
    <w:rsid w:val="24A59EF3"/>
    <w:rsid w:val="25D65689"/>
    <w:rsid w:val="2934CB24"/>
    <w:rsid w:val="297A1B41"/>
    <w:rsid w:val="2D11B487"/>
    <w:rsid w:val="31240BF7"/>
    <w:rsid w:val="319C0393"/>
    <w:rsid w:val="32724993"/>
    <w:rsid w:val="34E4722E"/>
    <w:rsid w:val="3590A264"/>
    <w:rsid w:val="35AFED1E"/>
    <w:rsid w:val="35FC9875"/>
    <w:rsid w:val="363CB2BA"/>
    <w:rsid w:val="36667BE6"/>
    <w:rsid w:val="36AD690E"/>
    <w:rsid w:val="36E5A599"/>
    <w:rsid w:val="3719B984"/>
    <w:rsid w:val="38178F88"/>
    <w:rsid w:val="3821DAE5"/>
    <w:rsid w:val="3895ACC3"/>
    <w:rsid w:val="38D4EE8C"/>
    <w:rsid w:val="3B3DD251"/>
    <w:rsid w:val="3B663358"/>
    <w:rsid w:val="3C133F3D"/>
    <w:rsid w:val="3C2096B7"/>
    <w:rsid w:val="3DDBF294"/>
    <w:rsid w:val="3F536963"/>
    <w:rsid w:val="400C8170"/>
    <w:rsid w:val="406E1156"/>
    <w:rsid w:val="40E1C7E1"/>
    <w:rsid w:val="43B7538E"/>
    <w:rsid w:val="440C8566"/>
    <w:rsid w:val="443CE0F8"/>
    <w:rsid w:val="468B4BAF"/>
    <w:rsid w:val="47F61402"/>
    <w:rsid w:val="491CAEF2"/>
    <w:rsid w:val="4A608B61"/>
    <w:rsid w:val="4BFEFC97"/>
    <w:rsid w:val="4D7342CA"/>
    <w:rsid w:val="4F0AAC3C"/>
    <w:rsid w:val="501BBF54"/>
    <w:rsid w:val="53715F17"/>
    <w:rsid w:val="53DE0E0D"/>
    <w:rsid w:val="5529D8FD"/>
    <w:rsid w:val="5555751F"/>
    <w:rsid w:val="557743C0"/>
    <w:rsid w:val="5779A638"/>
    <w:rsid w:val="580BB3DF"/>
    <w:rsid w:val="593FBCF9"/>
    <w:rsid w:val="5950EE8E"/>
    <w:rsid w:val="5BC12575"/>
    <w:rsid w:val="5C42557C"/>
    <w:rsid w:val="5CCC4FB9"/>
    <w:rsid w:val="5E979C82"/>
    <w:rsid w:val="5F579E07"/>
    <w:rsid w:val="5FC07813"/>
    <w:rsid w:val="601C7614"/>
    <w:rsid w:val="6109C129"/>
    <w:rsid w:val="61ED5564"/>
    <w:rsid w:val="64BFC754"/>
    <w:rsid w:val="65D24A6A"/>
    <w:rsid w:val="6668435D"/>
    <w:rsid w:val="66E6743B"/>
    <w:rsid w:val="681C684F"/>
    <w:rsid w:val="681F4B61"/>
    <w:rsid w:val="68AAB70F"/>
    <w:rsid w:val="6AE32429"/>
    <w:rsid w:val="6B5108B9"/>
    <w:rsid w:val="6C92FA4C"/>
    <w:rsid w:val="6CB588DB"/>
    <w:rsid w:val="6E4F199C"/>
    <w:rsid w:val="70AB5F4C"/>
    <w:rsid w:val="71BF072F"/>
    <w:rsid w:val="73E67697"/>
    <w:rsid w:val="76E667ED"/>
    <w:rsid w:val="77A201D9"/>
    <w:rsid w:val="782DFABF"/>
    <w:rsid w:val="7A321DF4"/>
    <w:rsid w:val="7A5AD73A"/>
    <w:rsid w:val="7BA14280"/>
    <w:rsid w:val="7E22E9C8"/>
    <w:rsid w:val="7EE640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EB16"/>
  <w15:chartTrackingRefBased/>
  <w15:docId w15:val="{948EAF7C-CFE8-4616-AEF0-41D78F19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C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044C6B"/>
    <w:pPr>
      <w:ind w:left="720"/>
      <w:contextualSpacing/>
    </w:pPr>
  </w:style>
  <w:style w:type="character" w:styleId="Hipervnculo">
    <w:name w:val="Hyperlink"/>
    <w:basedOn w:val="Fuentedeprrafopredeter"/>
    <w:uiPriority w:val="99"/>
    <w:unhideWhenUsed/>
    <w:rsid w:val="00044C6B"/>
    <w:rPr>
      <w:color w:val="0563C1" w:themeColor="hyperlink"/>
      <w:u w:val="single"/>
    </w:rPr>
  </w:style>
  <w:style w:type="paragraph" w:styleId="Textonotapie">
    <w:name w:val="footnote text"/>
    <w:aliases w:val="ft,Geneva 9,Font: Geneva 9,Boston 10,f,Fußnotentextr,Texto nota pie Car Car,single space,footnote text,Footnote Text Char Char Char12,Footnote Text Char1 Char Char Char Char12,Footnote Text Char1 Char Char Char12,fn,Fußn,F,Char,Char Char"/>
    <w:basedOn w:val="Normal"/>
    <w:link w:val="TextonotapieCar"/>
    <w:uiPriority w:val="99"/>
    <w:unhideWhenUsed/>
    <w:qFormat/>
    <w:rsid w:val="00044C6B"/>
    <w:pPr>
      <w:spacing w:after="0" w:line="240" w:lineRule="auto"/>
    </w:pPr>
    <w:rPr>
      <w:sz w:val="20"/>
      <w:szCs w:val="20"/>
    </w:rPr>
  </w:style>
  <w:style w:type="character" w:customStyle="1" w:styleId="TextonotapieCar">
    <w:name w:val="Texto nota pie Car"/>
    <w:aliases w:val="ft Car,Geneva 9 Car,Font: Geneva 9 Car,Boston 10 Car,f Car,Fußnotentextr Car,Texto nota pie Car Car Car,single space Car,footnote text Car,Footnote Text Char Char Char12 Car,Footnote Text Char1 Char Char Char Char12 Car,fn Car,F Car"/>
    <w:basedOn w:val="Fuentedeprrafopredeter"/>
    <w:link w:val="Textonotapie"/>
    <w:uiPriority w:val="99"/>
    <w:qFormat/>
    <w:rsid w:val="00044C6B"/>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044C6B"/>
    <w:rPr>
      <w:vertAlign w:val="superscript"/>
    </w:rPr>
  </w:style>
  <w:style w:type="table" w:styleId="Tabladelista4-nfasis6">
    <w:name w:val="List Table 4 Accent 6"/>
    <w:basedOn w:val="Tablanormal"/>
    <w:uiPriority w:val="49"/>
    <w:rsid w:val="00044C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044C6B"/>
  </w:style>
  <w:style w:type="character" w:styleId="Mencinsinresolver">
    <w:name w:val="Unresolved Mention"/>
    <w:basedOn w:val="Fuentedeprrafopredeter"/>
    <w:uiPriority w:val="99"/>
    <w:semiHidden/>
    <w:unhideWhenUsed/>
    <w:rsid w:val="00DB6F24"/>
    <w:rPr>
      <w:color w:val="605E5C"/>
      <w:shd w:val="clear" w:color="auto" w:fill="E1DFDD"/>
    </w:rPr>
  </w:style>
  <w:style w:type="character" w:styleId="Refdecomentario">
    <w:name w:val="annotation reference"/>
    <w:basedOn w:val="Fuentedeprrafopredeter"/>
    <w:uiPriority w:val="99"/>
    <w:semiHidden/>
    <w:unhideWhenUsed/>
    <w:rsid w:val="00044BEC"/>
    <w:rPr>
      <w:sz w:val="16"/>
      <w:szCs w:val="16"/>
    </w:rPr>
  </w:style>
  <w:style w:type="paragraph" w:styleId="Textocomentario">
    <w:name w:val="annotation text"/>
    <w:basedOn w:val="Normal"/>
    <w:link w:val="TextocomentarioCar"/>
    <w:uiPriority w:val="99"/>
    <w:semiHidden/>
    <w:unhideWhenUsed/>
    <w:rsid w:val="00044B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4BEC"/>
    <w:rPr>
      <w:sz w:val="20"/>
      <w:szCs w:val="20"/>
    </w:rPr>
  </w:style>
  <w:style w:type="paragraph" w:styleId="Asuntodelcomentario">
    <w:name w:val="annotation subject"/>
    <w:basedOn w:val="Textocomentario"/>
    <w:next w:val="Textocomentario"/>
    <w:link w:val="AsuntodelcomentarioCar"/>
    <w:uiPriority w:val="99"/>
    <w:semiHidden/>
    <w:unhideWhenUsed/>
    <w:rsid w:val="00044BEC"/>
    <w:rPr>
      <w:b/>
      <w:bCs/>
    </w:rPr>
  </w:style>
  <w:style w:type="character" w:customStyle="1" w:styleId="AsuntodelcomentarioCar">
    <w:name w:val="Asunto del comentario Car"/>
    <w:basedOn w:val="TextocomentarioCar"/>
    <w:link w:val="Asuntodelcomentario"/>
    <w:uiPriority w:val="99"/>
    <w:semiHidden/>
    <w:rsid w:val="00044BEC"/>
    <w:rPr>
      <w:b/>
      <w:bCs/>
      <w:sz w:val="20"/>
      <w:szCs w:val="20"/>
    </w:rPr>
  </w:style>
  <w:style w:type="paragraph" w:styleId="Textodeglobo">
    <w:name w:val="Balloon Text"/>
    <w:basedOn w:val="Normal"/>
    <w:link w:val="TextodegloboCar"/>
    <w:uiPriority w:val="99"/>
    <w:semiHidden/>
    <w:unhideWhenUsed/>
    <w:rsid w:val="00044B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4BEC"/>
    <w:rPr>
      <w:rFonts w:ascii="Segoe UI" w:hAnsi="Segoe UI" w:cs="Segoe UI"/>
      <w:sz w:val="18"/>
      <w:szCs w:val="18"/>
    </w:rPr>
  </w:style>
  <w:style w:type="character" w:customStyle="1" w:styleId="TextoCar">
    <w:name w:val="Texto Car"/>
    <w:link w:val="Texto"/>
    <w:locked/>
    <w:rsid w:val="00481C63"/>
    <w:rPr>
      <w:rFonts w:ascii="Arial" w:eastAsia="Times New Roman" w:hAnsi="Arial" w:cs="Arial"/>
      <w:sz w:val="18"/>
      <w:szCs w:val="20"/>
      <w:lang w:val="es-ES" w:eastAsia="es-ES"/>
    </w:rPr>
  </w:style>
  <w:style w:type="paragraph" w:customStyle="1" w:styleId="Texto">
    <w:name w:val="Texto"/>
    <w:basedOn w:val="Normal"/>
    <w:link w:val="TextoCar"/>
    <w:rsid w:val="00481C63"/>
    <w:pPr>
      <w:spacing w:after="101" w:line="216" w:lineRule="exact"/>
      <w:ind w:firstLine="288"/>
      <w:jc w:val="both"/>
    </w:pPr>
    <w:rPr>
      <w:rFonts w:ascii="Arial" w:eastAsia="Times New Roman" w:hAnsi="Arial" w:cs="Arial"/>
      <w:sz w:val="18"/>
      <w:szCs w:val="20"/>
      <w:lang w:val="es-ES" w:eastAsia="es-ES"/>
    </w:rPr>
  </w:style>
  <w:style w:type="paragraph" w:styleId="Revisin">
    <w:name w:val="Revision"/>
    <w:hidden/>
    <w:uiPriority w:val="99"/>
    <w:semiHidden/>
    <w:rsid w:val="00D47800"/>
    <w:pPr>
      <w:spacing w:after="0" w:line="240" w:lineRule="auto"/>
    </w:pPr>
  </w:style>
  <w:style w:type="character" w:styleId="Hipervnculovisitado">
    <w:name w:val="FollowedHyperlink"/>
    <w:basedOn w:val="Fuentedeprrafopredeter"/>
    <w:uiPriority w:val="99"/>
    <w:semiHidden/>
    <w:unhideWhenUsed/>
    <w:rsid w:val="00B6369E"/>
    <w:rPr>
      <w:color w:val="954F72" w:themeColor="followedHyperlink"/>
      <w:u w:val="single"/>
    </w:rPr>
  </w:style>
  <w:style w:type="paragraph" w:styleId="Encabezado">
    <w:name w:val="header"/>
    <w:basedOn w:val="Normal"/>
    <w:link w:val="EncabezadoCar"/>
    <w:uiPriority w:val="99"/>
    <w:unhideWhenUsed/>
    <w:rsid w:val="005256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56E1"/>
  </w:style>
  <w:style w:type="paragraph" w:styleId="Piedepgina">
    <w:name w:val="footer"/>
    <w:basedOn w:val="Normal"/>
    <w:link w:val="PiedepginaCar"/>
    <w:uiPriority w:val="99"/>
    <w:unhideWhenUsed/>
    <w:rsid w:val="005256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56E1"/>
  </w:style>
  <w:style w:type="table" w:styleId="Tablaconcuadrcula">
    <w:name w:val="Table Grid"/>
    <w:basedOn w:val="Tablanormal"/>
    <w:uiPriority w:val="59"/>
    <w:rsid w:val="004F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6283">
      <w:bodyDiv w:val="1"/>
      <w:marLeft w:val="0"/>
      <w:marRight w:val="0"/>
      <w:marTop w:val="0"/>
      <w:marBottom w:val="0"/>
      <w:divBdr>
        <w:top w:val="none" w:sz="0" w:space="0" w:color="auto"/>
        <w:left w:val="none" w:sz="0" w:space="0" w:color="auto"/>
        <w:bottom w:val="none" w:sz="0" w:space="0" w:color="auto"/>
        <w:right w:val="none" w:sz="0" w:space="0" w:color="auto"/>
      </w:divBdr>
    </w:div>
    <w:div w:id="201751117">
      <w:bodyDiv w:val="1"/>
      <w:marLeft w:val="0"/>
      <w:marRight w:val="0"/>
      <w:marTop w:val="0"/>
      <w:marBottom w:val="0"/>
      <w:divBdr>
        <w:top w:val="none" w:sz="0" w:space="0" w:color="auto"/>
        <w:left w:val="none" w:sz="0" w:space="0" w:color="auto"/>
        <w:bottom w:val="none" w:sz="0" w:space="0" w:color="auto"/>
        <w:right w:val="none" w:sz="0" w:space="0" w:color="auto"/>
      </w:divBdr>
    </w:div>
    <w:div w:id="201981972">
      <w:bodyDiv w:val="1"/>
      <w:marLeft w:val="0"/>
      <w:marRight w:val="0"/>
      <w:marTop w:val="0"/>
      <w:marBottom w:val="0"/>
      <w:divBdr>
        <w:top w:val="none" w:sz="0" w:space="0" w:color="auto"/>
        <w:left w:val="none" w:sz="0" w:space="0" w:color="auto"/>
        <w:bottom w:val="none" w:sz="0" w:space="0" w:color="auto"/>
        <w:right w:val="none" w:sz="0" w:space="0" w:color="auto"/>
      </w:divBdr>
    </w:div>
    <w:div w:id="344940525">
      <w:bodyDiv w:val="1"/>
      <w:marLeft w:val="0"/>
      <w:marRight w:val="0"/>
      <w:marTop w:val="0"/>
      <w:marBottom w:val="0"/>
      <w:divBdr>
        <w:top w:val="none" w:sz="0" w:space="0" w:color="auto"/>
        <w:left w:val="none" w:sz="0" w:space="0" w:color="auto"/>
        <w:bottom w:val="none" w:sz="0" w:space="0" w:color="auto"/>
        <w:right w:val="none" w:sz="0" w:space="0" w:color="auto"/>
      </w:divBdr>
    </w:div>
    <w:div w:id="603267735">
      <w:bodyDiv w:val="1"/>
      <w:marLeft w:val="0"/>
      <w:marRight w:val="0"/>
      <w:marTop w:val="0"/>
      <w:marBottom w:val="0"/>
      <w:divBdr>
        <w:top w:val="none" w:sz="0" w:space="0" w:color="auto"/>
        <w:left w:val="none" w:sz="0" w:space="0" w:color="auto"/>
        <w:bottom w:val="none" w:sz="0" w:space="0" w:color="auto"/>
        <w:right w:val="none" w:sz="0" w:space="0" w:color="auto"/>
      </w:divBdr>
    </w:div>
    <w:div w:id="692270496">
      <w:bodyDiv w:val="1"/>
      <w:marLeft w:val="0"/>
      <w:marRight w:val="0"/>
      <w:marTop w:val="0"/>
      <w:marBottom w:val="0"/>
      <w:divBdr>
        <w:top w:val="none" w:sz="0" w:space="0" w:color="auto"/>
        <w:left w:val="none" w:sz="0" w:space="0" w:color="auto"/>
        <w:bottom w:val="none" w:sz="0" w:space="0" w:color="auto"/>
        <w:right w:val="none" w:sz="0" w:space="0" w:color="auto"/>
      </w:divBdr>
    </w:div>
    <w:div w:id="693843757">
      <w:bodyDiv w:val="1"/>
      <w:marLeft w:val="0"/>
      <w:marRight w:val="0"/>
      <w:marTop w:val="0"/>
      <w:marBottom w:val="0"/>
      <w:divBdr>
        <w:top w:val="none" w:sz="0" w:space="0" w:color="auto"/>
        <w:left w:val="none" w:sz="0" w:space="0" w:color="auto"/>
        <w:bottom w:val="none" w:sz="0" w:space="0" w:color="auto"/>
        <w:right w:val="none" w:sz="0" w:space="0" w:color="auto"/>
      </w:divBdr>
    </w:div>
    <w:div w:id="765350594">
      <w:bodyDiv w:val="1"/>
      <w:marLeft w:val="0"/>
      <w:marRight w:val="0"/>
      <w:marTop w:val="0"/>
      <w:marBottom w:val="0"/>
      <w:divBdr>
        <w:top w:val="none" w:sz="0" w:space="0" w:color="auto"/>
        <w:left w:val="none" w:sz="0" w:space="0" w:color="auto"/>
        <w:bottom w:val="none" w:sz="0" w:space="0" w:color="auto"/>
        <w:right w:val="none" w:sz="0" w:space="0" w:color="auto"/>
      </w:divBdr>
    </w:div>
    <w:div w:id="860977847">
      <w:bodyDiv w:val="1"/>
      <w:marLeft w:val="0"/>
      <w:marRight w:val="0"/>
      <w:marTop w:val="0"/>
      <w:marBottom w:val="0"/>
      <w:divBdr>
        <w:top w:val="none" w:sz="0" w:space="0" w:color="auto"/>
        <w:left w:val="none" w:sz="0" w:space="0" w:color="auto"/>
        <w:bottom w:val="none" w:sz="0" w:space="0" w:color="auto"/>
        <w:right w:val="none" w:sz="0" w:space="0" w:color="auto"/>
      </w:divBdr>
    </w:div>
    <w:div w:id="873006700">
      <w:bodyDiv w:val="1"/>
      <w:marLeft w:val="0"/>
      <w:marRight w:val="0"/>
      <w:marTop w:val="0"/>
      <w:marBottom w:val="0"/>
      <w:divBdr>
        <w:top w:val="none" w:sz="0" w:space="0" w:color="auto"/>
        <w:left w:val="none" w:sz="0" w:space="0" w:color="auto"/>
        <w:bottom w:val="none" w:sz="0" w:space="0" w:color="auto"/>
        <w:right w:val="none" w:sz="0" w:space="0" w:color="auto"/>
      </w:divBdr>
    </w:div>
    <w:div w:id="887449258">
      <w:bodyDiv w:val="1"/>
      <w:marLeft w:val="0"/>
      <w:marRight w:val="0"/>
      <w:marTop w:val="0"/>
      <w:marBottom w:val="0"/>
      <w:divBdr>
        <w:top w:val="none" w:sz="0" w:space="0" w:color="auto"/>
        <w:left w:val="none" w:sz="0" w:space="0" w:color="auto"/>
        <w:bottom w:val="none" w:sz="0" w:space="0" w:color="auto"/>
        <w:right w:val="none" w:sz="0" w:space="0" w:color="auto"/>
      </w:divBdr>
    </w:div>
    <w:div w:id="1100297994">
      <w:bodyDiv w:val="1"/>
      <w:marLeft w:val="0"/>
      <w:marRight w:val="0"/>
      <w:marTop w:val="0"/>
      <w:marBottom w:val="0"/>
      <w:divBdr>
        <w:top w:val="none" w:sz="0" w:space="0" w:color="auto"/>
        <w:left w:val="none" w:sz="0" w:space="0" w:color="auto"/>
        <w:bottom w:val="none" w:sz="0" w:space="0" w:color="auto"/>
        <w:right w:val="none" w:sz="0" w:space="0" w:color="auto"/>
      </w:divBdr>
    </w:div>
    <w:div w:id="1104032261">
      <w:bodyDiv w:val="1"/>
      <w:marLeft w:val="0"/>
      <w:marRight w:val="0"/>
      <w:marTop w:val="0"/>
      <w:marBottom w:val="0"/>
      <w:divBdr>
        <w:top w:val="none" w:sz="0" w:space="0" w:color="auto"/>
        <w:left w:val="none" w:sz="0" w:space="0" w:color="auto"/>
        <w:bottom w:val="none" w:sz="0" w:space="0" w:color="auto"/>
        <w:right w:val="none" w:sz="0" w:space="0" w:color="auto"/>
      </w:divBdr>
    </w:div>
    <w:div w:id="1151285632">
      <w:bodyDiv w:val="1"/>
      <w:marLeft w:val="0"/>
      <w:marRight w:val="0"/>
      <w:marTop w:val="0"/>
      <w:marBottom w:val="0"/>
      <w:divBdr>
        <w:top w:val="none" w:sz="0" w:space="0" w:color="auto"/>
        <w:left w:val="none" w:sz="0" w:space="0" w:color="auto"/>
        <w:bottom w:val="none" w:sz="0" w:space="0" w:color="auto"/>
        <w:right w:val="none" w:sz="0" w:space="0" w:color="auto"/>
      </w:divBdr>
    </w:div>
    <w:div w:id="1392264846">
      <w:bodyDiv w:val="1"/>
      <w:marLeft w:val="0"/>
      <w:marRight w:val="0"/>
      <w:marTop w:val="0"/>
      <w:marBottom w:val="0"/>
      <w:divBdr>
        <w:top w:val="none" w:sz="0" w:space="0" w:color="auto"/>
        <w:left w:val="none" w:sz="0" w:space="0" w:color="auto"/>
        <w:bottom w:val="none" w:sz="0" w:space="0" w:color="auto"/>
        <w:right w:val="none" w:sz="0" w:space="0" w:color="auto"/>
      </w:divBdr>
    </w:div>
    <w:div w:id="1595554398">
      <w:bodyDiv w:val="1"/>
      <w:marLeft w:val="0"/>
      <w:marRight w:val="0"/>
      <w:marTop w:val="0"/>
      <w:marBottom w:val="0"/>
      <w:divBdr>
        <w:top w:val="none" w:sz="0" w:space="0" w:color="auto"/>
        <w:left w:val="none" w:sz="0" w:space="0" w:color="auto"/>
        <w:bottom w:val="none" w:sz="0" w:space="0" w:color="auto"/>
        <w:right w:val="none" w:sz="0" w:space="0" w:color="auto"/>
      </w:divBdr>
    </w:div>
    <w:div w:id="1871063673">
      <w:bodyDiv w:val="1"/>
      <w:marLeft w:val="0"/>
      <w:marRight w:val="0"/>
      <w:marTop w:val="0"/>
      <w:marBottom w:val="0"/>
      <w:divBdr>
        <w:top w:val="none" w:sz="0" w:space="0" w:color="auto"/>
        <w:left w:val="none" w:sz="0" w:space="0" w:color="auto"/>
        <w:bottom w:val="none" w:sz="0" w:space="0" w:color="auto"/>
        <w:right w:val="none" w:sz="0" w:space="0" w:color="auto"/>
      </w:divBdr>
    </w:div>
    <w:div w:id="1945644825">
      <w:bodyDiv w:val="1"/>
      <w:marLeft w:val="0"/>
      <w:marRight w:val="0"/>
      <w:marTop w:val="0"/>
      <w:marBottom w:val="0"/>
      <w:divBdr>
        <w:top w:val="none" w:sz="0" w:space="0" w:color="auto"/>
        <w:left w:val="none" w:sz="0" w:space="0" w:color="auto"/>
        <w:bottom w:val="none" w:sz="0" w:space="0" w:color="auto"/>
        <w:right w:val="none" w:sz="0" w:space="0" w:color="auto"/>
      </w:divBdr>
    </w:div>
    <w:div w:id="1979531745">
      <w:bodyDiv w:val="1"/>
      <w:marLeft w:val="0"/>
      <w:marRight w:val="0"/>
      <w:marTop w:val="0"/>
      <w:marBottom w:val="0"/>
      <w:divBdr>
        <w:top w:val="none" w:sz="0" w:space="0" w:color="auto"/>
        <w:left w:val="none" w:sz="0" w:space="0" w:color="auto"/>
        <w:bottom w:val="none" w:sz="0" w:space="0" w:color="auto"/>
        <w:right w:val="none" w:sz="0" w:space="0" w:color="auto"/>
      </w:divBdr>
    </w:div>
    <w:div w:id="2067952767">
      <w:bodyDiv w:val="1"/>
      <w:marLeft w:val="0"/>
      <w:marRight w:val="0"/>
      <w:marTop w:val="0"/>
      <w:marBottom w:val="0"/>
      <w:divBdr>
        <w:top w:val="none" w:sz="0" w:space="0" w:color="auto"/>
        <w:left w:val="none" w:sz="0" w:space="0" w:color="auto"/>
        <w:bottom w:val="none" w:sz="0" w:space="0" w:color="auto"/>
        <w:right w:val="none" w:sz="0" w:space="0" w:color="auto"/>
      </w:divBdr>
    </w:div>
    <w:div w:id="2078357826">
      <w:bodyDiv w:val="1"/>
      <w:marLeft w:val="0"/>
      <w:marRight w:val="0"/>
      <w:marTop w:val="0"/>
      <w:marBottom w:val="0"/>
      <w:divBdr>
        <w:top w:val="none" w:sz="0" w:space="0" w:color="auto"/>
        <w:left w:val="none" w:sz="0" w:space="0" w:color="auto"/>
        <w:bottom w:val="none" w:sz="0" w:space="0" w:color="auto"/>
        <w:right w:val="none" w:sz="0" w:space="0" w:color="auto"/>
      </w:divBdr>
    </w:div>
    <w:div w:id="2093313214">
      <w:bodyDiv w:val="1"/>
      <w:marLeft w:val="0"/>
      <w:marRight w:val="0"/>
      <w:marTop w:val="0"/>
      <w:marBottom w:val="0"/>
      <w:divBdr>
        <w:top w:val="none" w:sz="0" w:space="0" w:color="auto"/>
        <w:left w:val="none" w:sz="0" w:space="0" w:color="auto"/>
        <w:bottom w:val="none" w:sz="0" w:space="0" w:color="auto"/>
        <w:right w:val="none" w:sz="0" w:space="0" w:color="auto"/>
      </w:divBdr>
    </w:div>
    <w:div w:id="214357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t.org.mx/industria/consultas-publicas/consulta-publica-de-integracion-sobre-el-esquema-de-mayor-granularidad-de-areas-geograficas-par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eacion.espectro@ift.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1c989bfd36a5871501715a02d92e4436">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61788-0F1D-42E3-9649-C31D8D71C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9B84E8-4E60-42B9-8D11-D8A8F77BBC7B}">
  <ds:schemaRefs>
    <ds:schemaRef ds:uri="http://schemas.microsoft.com/sharepoint/v3/contenttype/forms"/>
  </ds:schemaRefs>
</ds:datastoreItem>
</file>

<file path=customXml/itemProps3.xml><?xml version="1.0" encoding="utf-8"?>
<ds:datastoreItem xmlns:ds="http://schemas.openxmlformats.org/officeDocument/2006/customXml" ds:itemID="{291C8475-00C0-461A-AD3D-0BD87D9977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5730B4-BA79-4393-947A-29EB6C23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3121</Words>
  <Characters>17166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20247</CharactersWithSpaces>
  <SharedDoc>false</SharedDoc>
  <HLinks>
    <vt:vector size="18" baseType="variant">
      <vt:variant>
        <vt:i4>393216</vt:i4>
      </vt:variant>
      <vt:variant>
        <vt:i4>6</vt:i4>
      </vt:variant>
      <vt:variant>
        <vt:i4>0</vt:i4>
      </vt:variant>
      <vt:variant>
        <vt:i4>5</vt:i4>
      </vt:variant>
      <vt:variant>
        <vt:lpwstr>https://www.gsma.com/spectrum/wp-content/uploads/2023/06/Impact-of-Spectrum-Set-Asides-on-5G.pdf</vt:lpwstr>
      </vt:variant>
      <vt:variant>
        <vt:lpwstr/>
      </vt:variant>
      <vt:variant>
        <vt:i4>786518</vt:i4>
      </vt:variant>
      <vt:variant>
        <vt:i4>3</vt:i4>
      </vt:variant>
      <vt:variant>
        <vt:i4>0</vt:i4>
      </vt:variant>
      <vt:variant>
        <vt:i4>5</vt:i4>
      </vt:variant>
      <vt:variant>
        <vt:lpwstr>https://www.ift.org.mx/industria/consultas-publicas/consulta-publica-de-integracion-sobre-el-esquema-de-mayor-granularidad-de-areas-geograficas-para</vt:lpwstr>
      </vt:variant>
      <vt:variant>
        <vt:lpwstr/>
      </vt:variant>
      <vt:variant>
        <vt:i4>4259966</vt:i4>
      </vt:variant>
      <vt:variant>
        <vt:i4>0</vt:i4>
      </vt:variant>
      <vt:variant>
        <vt:i4>0</vt:i4>
      </vt:variant>
      <vt:variant>
        <vt:i4>5</vt:i4>
      </vt:variant>
      <vt:variant>
        <vt:lpwstr>mailto:planeacion.espectro@ift.org.mx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Victoria Corona</dc:creator>
  <cp:keywords/>
  <dc:description/>
  <cp:lastModifiedBy>CGMR</cp:lastModifiedBy>
  <cp:revision>3</cp:revision>
  <dcterms:created xsi:type="dcterms:W3CDTF">2024-06-20T23:47:00Z</dcterms:created>
  <dcterms:modified xsi:type="dcterms:W3CDTF">2024-06-20T23:49:00Z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ies>
</file>