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550DF" w14:textId="35262969" w:rsidR="00E11FC5" w:rsidRPr="007A220A" w:rsidRDefault="00E0735D" w:rsidP="00AE30C2">
      <w:pPr>
        <w:keepNext/>
        <w:keepLines/>
        <w:spacing w:after="0"/>
        <w:jc w:val="both"/>
        <w:outlineLvl w:val="0"/>
        <w:rPr>
          <w:rFonts w:ascii="Arial" w:eastAsia="Times New Roman" w:hAnsi="Arial" w:cs="Arial"/>
          <w:b/>
          <w:bCs/>
          <w:color w:val="000000"/>
          <w:sz w:val="18"/>
          <w:szCs w:val="18"/>
          <w:lang w:eastAsia="es-MX"/>
        </w:rPr>
      </w:pPr>
      <w:r w:rsidRPr="3C28E639">
        <w:rPr>
          <w:rFonts w:ascii="Arial" w:eastAsia="Times New Roman" w:hAnsi="Arial" w:cs="Arial"/>
          <w:b/>
          <w:bCs/>
          <w:sz w:val="18"/>
          <w:szCs w:val="18"/>
          <w:lang w:eastAsia="es-MX"/>
        </w:rPr>
        <w:t>Acuerdo mediante el cual el Pleno del Instituto Federal de Telecomunicaciones aprueba y emite los “Lineamientos para integrar el Acervo Estadístico del Instituto Federal de Telecomunicaciones”.</w:t>
      </w:r>
    </w:p>
    <w:p w14:paraId="377C2978" w14:textId="77777777" w:rsidR="00E11FC5" w:rsidRPr="007A220A" w:rsidRDefault="00E11FC5" w:rsidP="00AE30C2">
      <w:pPr>
        <w:spacing w:after="0"/>
        <w:jc w:val="center"/>
        <w:rPr>
          <w:rFonts w:ascii="Arial" w:hAnsi="Arial" w:cs="Arial"/>
          <w:b/>
          <w:bCs/>
          <w:color w:val="000000"/>
          <w:sz w:val="18"/>
          <w:szCs w:val="18"/>
          <w:lang w:eastAsia="es-MX"/>
        </w:rPr>
      </w:pPr>
    </w:p>
    <w:p w14:paraId="587C9F58" w14:textId="77777777" w:rsidR="00E11FC5" w:rsidRPr="007A220A" w:rsidRDefault="00E11FC5" w:rsidP="00AE30C2">
      <w:pPr>
        <w:spacing w:after="0"/>
        <w:jc w:val="center"/>
        <w:rPr>
          <w:rFonts w:ascii="Arial" w:hAnsi="Arial" w:cs="Arial"/>
          <w:b/>
          <w:bCs/>
          <w:color w:val="000000"/>
          <w:sz w:val="18"/>
          <w:szCs w:val="18"/>
          <w:lang w:eastAsia="es-MX"/>
        </w:rPr>
      </w:pPr>
      <w:r w:rsidRPr="007A220A">
        <w:rPr>
          <w:rFonts w:ascii="Arial" w:hAnsi="Arial" w:cs="Arial"/>
          <w:b/>
          <w:bCs/>
          <w:color w:val="000000"/>
          <w:sz w:val="18"/>
          <w:szCs w:val="18"/>
          <w:lang w:eastAsia="es-MX"/>
        </w:rPr>
        <w:t>Antecedentes</w:t>
      </w:r>
    </w:p>
    <w:p w14:paraId="3FF9CE75" w14:textId="77777777" w:rsidR="00E11FC5" w:rsidRPr="007A220A" w:rsidRDefault="00E11FC5" w:rsidP="00AE30C2">
      <w:pPr>
        <w:spacing w:after="0"/>
        <w:jc w:val="center"/>
        <w:rPr>
          <w:rFonts w:ascii="Arial" w:hAnsi="Arial" w:cs="Arial"/>
          <w:b/>
          <w:sz w:val="18"/>
          <w:szCs w:val="18"/>
        </w:rPr>
      </w:pPr>
    </w:p>
    <w:p w14:paraId="50A947FF" w14:textId="744703CC" w:rsidR="00E11FC5" w:rsidRPr="007A220A" w:rsidRDefault="00E11FC5" w:rsidP="00AE30C2">
      <w:pPr>
        <w:spacing w:after="0"/>
        <w:jc w:val="both"/>
        <w:rPr>
          <w:rFonts w:ascii="Arial" w:hAnsi="Arial" w:cs="Arial"/>
          <w:b/>
          <w:sz w:val="18"/>
          <w:szCs w:val="18"/>
        </w:rPr>
      </w:pPr>
      <w:r w:rsidRPr="007A220A">
        <w:rPr>
          <w:rFonts w:ascii="Arial" w:hAnsi="Arial" w:cs="Arial"/>
          <w:b/>
          <w:sz w:val="18"/>
          <w:szCs w:val="18"/>
        </w:rPr>
        <w:t xml:space="preserve">Primero.- </w:t>
      </w:r>
      <w:r w:rsidR="0047518E" w:rsidRPr="0047518E">
        <w:rPr>
          <w:rFonts w:ascii="Arial" w:hAnsi="Arial" w:cs="Arial"/>
          <w:sz w:val="18"/>
          <w:szCs w:val="18"/>
        </w:rPr>
        <w:t>Con fecha 11 de junio de 2013, se publicó en el Diario Oficial de la Federación (en lo sucesivo,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“Instituto”) como un órgano autónomo, con personalidad jurídica y patrimonio propios.</w:t>
      </w:r>
    </w:p>
    <w:p w14:paraId="093BD82F" w14:textId="77777777" w:rsidR="00E11FC5" w:rsidRPr="007A220A" w:rsidRDefault="00E11FC5" w:rsidP="00AE30C2">
      <w:pPr>
        <w:spacing w:after="0"/>
        <w:jc w:val="both"/>
        <w:rPr>
          <w:rFonts w:ascii="Arial" w:eastAsia="Times New Roman" w:hAnsi="Arial" w:cs="Arial"/>
          <w:b/>
          <w:bCs/>
          <w:color w:val="000000"/>
          <w:sz w:val="18"/>
          <w:szCs w:val="18"/>
          <w:lang w:eastAsia="es-MX"/>
        </w:rPr>
      </w:pPr>
    </w:p>
    <w:p w14:paraId="57E12EAE" w14:textId="566BA7F7" w:rsidR="00E11FC5" w:rsidRPr="00E0735D" w:rsidRDefault="00CE6A0F" w:rsidP="00AE30C2">
      <w:pPr>
        <w:spacing w:after="0"/>
        <w:jc w:val="both"/>
        <w:rPr>
          <w:rFonts w:ascii="Arial" w:hAnsi="Arial" w:cs="Arial"/>
          <w:sz w:val="18"/>
          <w:szCs w:val="18"/>
        </w:rPr>
      </w:pPr>
      <w:r w:rsidRPr="007A220A">
        <w:rPr>
          <w:rFonts w:ascii="Arial" w:hAnsi="Arial" w:cs="Arial"/>
          <w:b/>
          <w:sz w:val="18"/>
          <w:szCs w:val="18"/>
        </w:rPr>
        <w:t>Segundo. -</w:t>
      </w:r>
      <w:r w:rsidR="00E11FC5" w:rsidRPr="007A220A">
        <w:rPr>
          <w:rFonts w:ascii="Arial" w:hAnsi="Arial" w:cs="Arial"/>
          <w:b/>
          <w:sz w:val="18"/>
          <w:szCs w:val="18"/>
        </w:rPr>
        <w:t xml:space="preserve"> </w:t>
      </w:r>
      <w:r w:rsidR="0047518E" w:rsidRPr="0047518E">
        <w:rPr>
          <w:rFonts w:ascii="Arial" w:hAnsi="Arial" w:cs="Arial"/>
          <w:sz w:val="18"/>
          <w:szCs w:val="18"/>
        </w:rPr>
        <w:t>Con fecha 14 de julio de 2014, se publicó en el DOF el “Decreto por el que se expiden la Ley Federal de Telecomunicaciones y Radiodifusión (en lo sucesivo, “LFTR”), y la Ley del Sistema Público de Radiodifusión del Estado Mexicano; y se reforman, adicionan y derogan diversas disposiciones en materia de telecomunicaciones y radiodifusión”, el cual, entró en vigor el 13 de agosto de 2014.</w:t>
      </w:r>
    </w:p>
    <w:p w14:paraId="74C8BE79" w14:textId="77777777" w:rsidR="00E11FC5" w:rsidRPr="007A220A" w:rsidRDefault="00E11FC5" w:rsidP="00AE30C2">
      <w:pPr>
        <w:spacing w:after="0"/>
        <w:jc w:val="both"/>
        <w:rPr>
          <w:rFonts w:ascii="Arial" w:hAnsi="Arial" w:cs="Arial"/>
          <w:sz w:val="18"/>
          <w:szCs w:val="18"/>
        </w:rPr>
      </w:pPr>
    </w:p>
    <w:p w14:paraId="54400C0F" w14:textId="363A0141" w:rsidR="00E11FC5" w:rsidRDefault="00CE6A0F" w:rsidP="00AE30C2">
      <w:pPr>
        <w:spacing w:after="0"/>
        <w:jc w:val="both"/>
        <w:rPr>
          <w:rFonts w:ascii="Arial" w:hAnsi="Arial" w:cs="Arial"/>
          <w:b/>
          <w:sz w:val="18"/>
          <w:szCs w:val="18"/>
        </w:rPr>
      </w:pPr>
      <w:r w:rsidRPr="007A220A">
        <w:rPr>
          <w:rFonts w:ascii="Arial" w:hAnsi="Arial" w:cs="Arial"/>
          <w:b/>
          <w:sz w:val="18"/>
          <w:szCs w:val="18"/>
        </w:rPr>
        <w:t>Tercero. -</w:t>
      </w:r>
      <w:r w:rsidR="00E0735D" w:rsidRPr="00E0735D">
        <w:t xml:space="preserve"> </w:t>
      </w:r>
      <w:r w:rsidR="0047518E" w:rsidRPr="0047518E">
        <w:rPr>
          <w:rFonts w:ascii="Arial" w:hAnsi="Arial" w:cs="Arial"/>
          <w:sz w:val="18"/>
          <w:szCs w:val="18"/>
        </w:rPr>
        <w:t>Con fecha 4 de septiembre de 2014, se publicó en el DOF el Estatuto Orgánico del Instituto Federal de Telecomunicaciones, mismo que entró en vigor el 26 de septiembre de 2014.</w:t>
      </w:r>
    </w:p>
    <w:p w14:paraId="7256C7D9" w14:textId="1D1A5756" w:rsidR="00E0735D" w:rsidRDefault="00E0735D" w:rsidP="00AE30C2">
      <w:pPr>
        <w:spacing w:after="0"/>
        <w:jc w:val="both"/>
        <w:rPr>
          <w:rFonts w:ascii="Arial" w:hAnsi="Arial" w:cs="Arial"/>
          <w:b/>
          <w:sz w:val="18"/>
          <w:szCs w:val="18"/>
        </w:rPr>
      </w:pPr>
    </w:p>
    <w:p w14:paraId="16954FFE" w14:textId="54E1CF49" w:rsidR="00E0735D" w:rsidRDefault="00CE6A0F" w:rsidP="00AE30C2">
      <w:pPr>
        <w:spacing w:after="0"/>
        <w:jc w:val="both"/>
        <w:rPr>
          <w:rFonts w:ascii="Arial" w:hAnsi="Arial" w:cs="Arial"/>
          <w:b/>
          <w:sz w:val="18"/>
          <w:szCs w:val="18"/>
        </w:rPr>
      </w:pPr>
      <w:r>
        <w:rPr>
          <w:rFonts w:ascii="Arial" w:hAnsi="Arial" w:cs="Arial"/>
          <w:b/>
          <w:sz w:val="18"/>
          <w:szCs w:val="18"/>
        </w:rPr>
        <w:t>Cuarto. -</w:t>
      </w:r>
      <w:r w:rsidR="00E0735D" w:rsidRPr="00E0735D">
        <w:t xml:space="preserve"> </w:t>
      </w:r>
      <w:r w:rsidR="0047518E" w:rsidRPr="0047518E">
        <w:rPr>
          <w:rFonts w:ascii="Arial" w:hAnsi="Arial" w:cs="Arial"/>
          <w:sz w:val="18"/>
          <w:szCs w:val="18"/>
        </w:rPr>
        <w:t>El 8 de noviembre de 2017, se publicó en el DOF el Acuerdo mediante el cual el Pleno del Instituto Federal de Telecomunicaciones aprueba y emite los Lineamientos de Consulta Pública y Análisis de Impacto Regulatorio del Instituto Federal de Telecomunicaciones (en lo sucesivo, “Lineamientos de Consulta Pública”), el cual, entró en vigor el 1 de enero de 2018.</w:t>
      </w:r>
    </w:p>
    <w:p w14:paraId="4864D3AB" w14:textId="5F19138C" w:rsidR="00E0735D" w:rsidRDefault="00E0735D" w:rsidP="00AE30C2">
      <w:pPr>
        <w:spacing w:after="0"/>
        <w:jc w:val="both"/>
        <w:rPr>
          <w:rFonts w:ascii="Arial" w:hAnsi="Arial" w:cs="Arial"/>
          <w:b/>
          <w:sz w:val="18"/>
          <w:szCs w:val="18"/>
        </w:rPr>
      </w:pPr>
    </w:p>
    <w:p w14:paraId="600FC630" w14:textId="0225140B" w:rsidR="00E0735D" w:rsidRDefault="00414ADB" w:rsidP="00AE30C2">
      <w:pPr>
        <w:spacing w:after="0"/>
        <w:jc w:val="both"/>
        <w:rPr>
          <w:rFonts w:ascii="Arial" w:hAnsi="Arial" w:cs="Arial"/>
          <w:b/>
          <w:sz w:val="18"/>
          <w:szCs w:val="18"/>
        </w:rPr>
      </w:pPr>
      <w:r>
        <w:rPr>
          <w:rFonts w:ascii="Arial" w:hAnsi="Arial" w:cs="Arial"/>
          <w:b/>
          <w:sz w:val="18"/>
          <w:szCs w:val="18"/>
        </w:rPr>
        <w:t>Quinto. -</w:t>
      </w:r>
      <w:r w:rsidR="00E0735D" w:rsidRPr="00E0735D">
        <w:t xml:space="preserve"> </w:t>
      </w:r>
      <w:r w:rsidR="0047518E" w:rsidRPr="0047518E">
        <w:rPr>
          <w:rFonts w:ascii="Arial" w:hAnsi="Arial" w:cs="Arial"/>
          <w:sz w:val="18"/>
          <w:szCs w:val="18"/>
        </w:rPr>
        <w:t>El 18 de mayo de 2018, se publicó en el DOF el "Decreto por el que se expide la “Ley General de Mejora Regulatoria y se derogan diversas disposiciones de la Ley Federal de Procedimiento Administrativo”.</w:t>
      </w:r>
    </w:p>
    <w:p w14:paraId="019AF4BD" w14:textId="30ABB66D" w:rsidR="00E0735D" w:rsidRDefault="00E0735D" w:rsidP="00AE30C2">
      <w:pPr>
        <w:spacing w:after="0"/>
        <w:jc w:val="both"/>
        <w:rPr>
          <w:rFonts w:ascii="Arial" w:hAnsi="Arial" w:cs="Arial"/>
          <w:b/>
          <w:sz w:val="18"/>
          <w:szCs w:val="18"/>
        </w:rPr>
      </w:pPr>
    </w:p>
    <w:p w14:paraId="46823D2E" w14:textId="6476A376" w:rsidR="00E0735D" w:rsidRDefault="00414ADB" w:rsidP="00AE30C2">
      <w:pPr>
        <w:spacing w:after="0"/>
        <w:jc w:val="both"/>
        <w:rPr>
          <w:rFonts w:ascii="Arial" w:hAnsi="Arial" w:cs="Arial"/>
          <w:b/>
          <w:sz w:val="18"/>
          <w:szCs w:val="18"/>
        </w:rPr>
      </w:pPr>
      <w:r>
        <w:rPr>
          <w:rFonts w:ascii="Arial" w:hAnsi="Arial" w:cs="Arial"/>
          <w:b/>
          <w:sz w:val="18"/>
          <w:szCs w:val="18"/>
        </w:rPr>
        <w:t>Sexto. -</w:t>
      </w:r>
      <w:r w:rsidR="00E0735D">
        <w:rPr>
          <w:rFonts w:ascii="Arial" w:hAnsi="Arial" w:cs="Arial"/>
          <w:b/>
          <w:sz w:val="18"/>
          <w:szCs w:val="18"/>
        </w:rPr>
        <w:t xml:space="preserve"> </w:t>
      </w:r>
      <w:r w:rsidR="0047518E" w:rsidRPr="0047518E">
        <w:rPr>
          <w:rFonts w:ascii="Arial" w:hAnsi="Arial" w:cs="Arial"/>
          <w:sz w:val="18"/>
          <w:szCs w:val="18"/>
        </w:rPr>
        <w:t>El 25 de mayo de 2018, este órgano constitucional autónomo inició el Programa de Mejora Administrativa del Instituto Federal de Telecomunicaciones, 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6D73FD17" w14:textId="15C14588" w:rsidR="00E0735D" w:rsidRDefault="00E0735D" w:rsidP="00AE30C2">
      <w:pPr>
        <w:spacing w:after="0"/>
        <w:jc w:val="both"/>
        <w:rPr>
          <w:rFonts w:ascii="Arial" w:hAnsi="Arial" w:cs="Arial"/>
          <w:b/>
          <w:sz w:val="18"/>
          <w:szCs w:val="18"/>
        </w:rPr>
      </w:pPr>
    </w:p>
    <w:p w14:paraId="329534B8" w14:textId="30D3C438" w:rsidR="00E0735D" w:rsidRDefault="00414ADB" w:rsidP="00AE30C2">
      <w:pPr>
        <w:spacing w:after="0"/>
        <w:jc w:val="both"/>
        <w:rPr>
          <w:rFonts w:ascii="Arial" w:hAnsi="Arial" w:cs="Arial"/>
          <w:b/>
          <w:sz w:val="18"/>
          <w:szCs w:val="18"/>
        </w:rPr>
      </w:pPr>
      <w:r>
        <w:rPr>
          <w:rFonts w:ascii="Arial" w:hAnsi="Arial" w:cs="Arial"/>
          <w:b/>
          <w:sz w:val="18"/>
          <w:szCs w:val="18"/>
        </w:rPr>
        <w:t>Séptimo. -</w:t>
      </w:r>
      <w:r w:rsidR="0047518E">
        <w:rPr>
          <w:rFonts w:ascii="Arial" w:hAnsi="Arial" w:cs="Arial"/>
          <w:b/>
          <w:sz w:val="18"/>
          <w:szCs w:val="18"/>
        </w:rPr>
        <w:t xml:space="preserve"> </w:t>
      </w:r>
      <w:r w:rsidR="0047518E" w:rsidRPr="0047518E">
        <w:rPr>
          <w:rFonts w:ascii="Arial" w:hAnsi="Arial" w:cs="Arial"/>
          <w:sz w:val="18"/>
          <w:szCs w:val="18"/>
        </w:rPr>
        <w:t>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cuya última modificación fue publicada en dicho medio oficial el 23 de noviembre de 2023</w:t>
      </w:r>
      <w:r w:rsidR="000234B4">
        <w:rPr>
          <w:rFonts w:ascii="Arial" w:hAnsi="Arial" w:cs="Arial"/>
          <w:sz w:val="18"/>
          <w:szCs w:val="18"/>
        </w:rPr>
        <w:t>.</w:t>
      </w:r>
    </w:p>
    <w:p w14:paraId="4441ADC3" w14:textId="26B3FBB7" w:rsidR="00E0735D" w:rsidRDefault="00E0735D" w:rsidP="00AE30C2">
      <w:pPr>
        <w:spacing w:after="0"/>
        <w:jc w:val="both"/>
        <w:rPr>
          <w:rFonts w:ascii="Arial" w:hAnsi="Arial" w:cs="Arial"/>
          <w:b/>
          <w:sz w:val="18"/>
          <w:szCs w:val="18"/>
        </w:rPr>
      </w:pPr>
    </w:p>
    <w:p w14:paraId="61CC6835" w14:textId="41C92BFC" w:rsidR="00E0735D" w:rsidRDefault="00E0735D" w:rsidP="00AE30C2">
      <w:pPr>
        <w:spacing w:after="0"/>
        <w:jc w:val="both"/>
        <w:rPr>
          <w:rFonts w:ascii="Arial" w:hAnsi="Arial" w:cs="Arial"/>
          <w:b/>
          <w:sz w:val="18"/>
          <w:szCs w:val="18"/>
        </w:rPr>
      </w:pPr>
      <w:r>
        <w:rPr>
          <w:rFonts w:ascii="Arial" w:hAnsi="Arial" w:cs="Arial"/>
          <w:b/>
          <w:sz w:val="18"/>
          <w:szCs w:val="18"/>
        </w:rPr>
        <w:t xml:space="preserve">Octavo.- </w:t>
      </w:r>
      <w:r w:rsidR="0047518E" w:rsidRPr="0047518E">
        <w:rPr>
          <w:rFonts w:ascii="Arial" w:hAnsi="Arial" w:cs="Arial"/>
          <w:sz w:val="18"/>
          <w:szCs w:val="18"/>
        </w:rPr>
        <w:t>Con fecha 24 enero de 2020, se publicó en el DOF el “Acuerdo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y cuya última modificación fue publicada en el referido medio de difusión oficial, el 18 de noviembre de 2020.</w:t>
      </w:r>
    </w:p>
    <w:p w14:paraId="1D91CCBF" w14:textId="7D686F6C" w:rsidR="00E0735D" w:rsidRDefault="00E0735D" w:rsidP="00AE30C2">
      <w:pPr>
        <w:spacing w:after="0"/>
        <w:jc w:val="both"/>
        <w:rPr>
          <w:rFonts w:ascii="Arial" w:hAnsi="Arial" w:cs="Arial"/>
          <w:b/>
          <w:sz w:val="18"/>
          <w:szCs w:val="18"/>
        </w:rPr>
      </w:pPr>
    </w:p>
    <w:p w14:paraId="2A8774FD" w14:textId="5DA93797" w:rsidR="00E0735D" w:rsidRPr="00E0735D" w:rsidRDefault="00E0735D" w:rsidP="00AE30C2">
      <w:pPr>
        <w:spacing w:after="0"/>
        <w:jc w:val="both"/>
        <w:rPr>
          <w:rFonts w:ascii="Arial" w:hAnsi="Arial" w:cs="Arial"/>
          <w:sz w:val="18"/>
          <w:szCs w:val="18"/>
        </w:rPr>
      </w:pPr>
      <w:r>
        <w:rPr>
          <w:rFonts w:ascii="Arial" w:hAnsi="Arial" w:cs="Arial"/>
          <w:b/>
          <w:sz w:val="18"/>
          <w:szCs w:val="18"/>
        </w:rPr>
        <w:t>Noveno.-</w:t>
      </w:r>
      <w:r w:rsidRPr="00E0735D">
        <w:t xml:space="preserve"> </w:t>
      </w:r>
      <w:r w:rsidR="0047518E" w:rsidRPr="0047518E">
        <w:rPr>
          <w:rFonts w:ascii="Arial" w:hAnsi="Arial" w:cs="Arial"/>
          <w:sz w:val="18"/>
          <w:szCs w:val="18"/>
        </w:rPr>
        <w:t>Durante el mes de diciembre de 2020, el Instituto dio a conocer en su portal de Internet la “Estrategia IFT 2021-2025 - Hoja de Ruta” (</w:t>
      </w:r>
      <w:r w:rsidR="00292BB8">
        <w:rPr>
          <w:rFonts w:ascii="Arial" w:hAnsi="Arial" w:cs="Arial"/>
          <w:sz w:val="18"/>
          <w:szCs w:val="18"/>
        </w:rPr>
        <w:t xml:space="preserve">en lo sucesivo, </w:t>
      </w:r>
      <w:r w:rsidR="0047518E" w:rsidRPr="0047518E">
        <w:rPr>
          <w:rFonts w:ascii="Arial" w:hAnsi="Arial" w:cs="Arial"/>
          <w:sz w:val="18"/>
          <w:szCs w:val="18"/>
        </w:rPr>
        <w:t>“Estrategia IFT 2021-2025”), documento en el que se identifican y abordan –de manera estratégica y ordenada– los nuevos retos y oportunidades que enfrentan los sectores de telecomunicaciones y radiodifusión, con un horizonte de planeación de 5 (cinco) años, considerando el contexto internacional y el entorno nacional respecto al ecosistema digital, así como el papel que jugarán las telecomunicaciones y radiodifusión en la innovación y la convergencia tecnológica y de servicios, tanto para el ecosistema digital como para los servicios de conectividad y radiodifusión que requiere México.</w:t>
      </w:r>
    </w:p>
    <w:p w14:paraId="0B1AAC57" w14:textId="1952484B" w:rsidR="00E0735D" w:rsidRDefault="00E0735D" w:rsidP="00AE30C2">
      <w:pPr>
        <w:spacing w:after="0"/>
        <w:jc w:val="both"/>
        <w:rPr>
          <w:rFonts w:ascii="Arial" w:hAnsi="Arial" w:cs="Arial"/>
          <w:b/>
          <w:sz w:val="18"/>
          <w:szCs w:val="18"/>
        </w:rPr>
      </w:pPr>
    </w:p>
    <w:p w14:paraId="5159854E" w14:textId="5DD3A363" w:rsidR="0047518E" w:rsidRPr="0047518E" w:rsidRDefault="00CE6A0F" w:rsidP="0047518E">
      <w:pPr>
        <w:spacing w:after="0"/>
        <w:jc w:val="both"/>
        <w:rPr>
          <w:rFonts w:ascii="Arial" w:hAnsi="Arial" w:cs="Arial"/>
          <w:sz w:val="18"/>
          <w:szCs w:val="18"/>
        </w:rPr>
      </w:pPr>
      <w:r>
        <w:rPr>
          <w:rFonts w:ascii="Arial" w:hAnsi="Arial" w:cs="Arial"/>
          <w:b/>
          <w:sz w:val="18"/>
          <w:szCs w:val="18"/>
        </w:rPr>
        <w:t>Décimo. -</w:t>
      </w:r>
      <w:r w:rsidR="00E0735D">
        <w:rPr>
          <w:rFonts w:ascii="Arial" w:hAnsi="Arial" w:cs="Arial"/>
          <w:b/>
          <w:sz w:val="18"/>
          <w:szCs w:val="18"/>
        </w:rPr>
        <w:t xml:space="preserve"> </w:t>
      </w:r>
      <w:r w:rsidR="0047518E" w:rsidRPr="0047518E">
        <w:rPr>
          <w:rFonts w:ascii="Arial" w:hAnsi="Arial" w:cs="Arial"/>
          <w:sz w:val="18"/>
          <w:szCs w:val="18"/>
        </w:rPr>
        <w:t xml:space="preserve">Mediante Acuerdo P/IFT/131223/724, aprobado en la XXXIII Sesión Ordinaria del Pleno del Instituto Federal de Telecomunicaciones, celebrada el 13 de diciembre de 2023, el Pleno determinó someter a Consulta Pública el </w:t>
      </w:r>
      <w:r w:rsidR="0047518E" w:rsidRPr="0047518E">
        <w:rPr>
          <w:rFonts w:ascii="Arial" w:hAnsi="Arial" w:cs="Arial"/>
          <w:sz w:val="18"/>
          <w:szCs w:val="18"/>
        </w:rPr>
        <w:lastRenderedPageBreak/>
        <w:t>“Anteproyecto de Acuerdo por el que se emiten los Lineamientos para Integrar el Acervo Estadístico del Instituto Federal de Telecomunicaciones”, el cual fue presentado por la Coordinación General de Planeación Estratégica.</w:t>
      </w:r>
    </w:p>
    <w:p w14:paraId="725BF060" w14:textId="77777777"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 xml:space="preserve"> </w:t>
      </w:r>
    </w:p>
    <w:p w14:paraId="4C219A6B" w14:textId="10563485"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 xml:space="preserve">La Consulta Pública se llevó a cabo del </w:t>
      </w:r>
      <w:r w:rsidR="0017341C">
        <w:rPr>
          <w:rFonts w:ascii="Arial" w:hAnsi="Arial" w:cs="Arial"/>
          <w:sz w:val="18"/>
          <w:szCs w:val="18"/>
        </w:rPr>
        <w:t>1</w:t>
      </w:r>
      <w:r w:rsidRPr="0047518E">
        <w:rPr>
          <w:rFonts w:ascii="Arial" w:hAnsi="Arial" w:cs="Arial"/>
          <w:sz w:val="18"/>
          <w:szCs w:val="18"/>
        </w:rPr>
        <w:t>5 de diciembre de 2023 al 3 de abril de 2024 (60 días hábiles), recibiéndose en ese periodo comentarios de 30 participantes. Una vez concluida la Consulta Pública del anteproyecto de regulación en comento y su respectivo Análisis de Nulo Impacto Regulatorio, el Instituto analizó los comentarios, opiniones y propuestas recibidas a propósito de dicho proceso, para determinar, en su caso, los ajustes y adecuaciones que sería recomendable realizarle a dicha propuesta normativa.</w:t>
      </w:r>
    </w:p>
    <w:p w14:paraId="402DEB57" w14:textId="77777777"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 xml:space="preserve"> </w:t>
      </w:r>
    </w:p>
    <w:p w14:paraId="04AC320D" w14:textId="3CAA34BC" w:rsidR="00E0735D" w:rsidRDefault="0047518E" w:rsidP="0047518E">
      <w:pPr>
        <w:spacing w:after="0"/>
        <w:jc w:val="both"/>
        <w:rPr>
          <w:rFonts w:ascii="Arial" w:hAnsi="Arial" w:cs="Arial"/>
          <w:sz w:val="18"/>
          <w:szCs w:val="18"/>
        </w:rPr>
      </w:pPr>
      <w:r w:rsidRPr="0047518E">
        <w:rPr>
          <w:rFonts w:ascii="Arial" w:hAnsi="Arial" w:cs="Arial"/>
          <w:sz w:val="18"/>
          <w:szCs w:val="18"/>
        </w:rPr>
        <w:t>En seguimiento de lo anterior, el Instituto dio a conocer en su portal de Internet en el apartado referido a dicha Consulta Pública, un informe de consideraciones relacionado con las aportaciones recibidas en el proceso en comento.</w:t>
      </w:r>
      <w:r>
        <w:rPr>
          <w:rFonts w:ascii="Arial" w:hAnsi="Arial" w:cs="Arial"/>
          <w:sz w:val="18"/>
          <w:szCs w:val="18"/>
        </w:rPr>
        <w:t xml:space="preserve"> </w:t>
      </w:r>
    </w:p>
    <w:p w14:paraId="603FF962" w14:textId="114F04D0" w:rsidR="00E0735D" w:rsidRDefault="00E0735D" w:rsidP="00AE30C2">
      <w:pPr>
        <w:spacing w:after="0"/>
        <w:jc w:val="both"/>
        <w:rPr>
          <w:rFonts w:ascii="Arial" w:hAnsi="Arial" w:cs="Arial"/>
          <w:sz w:val="18"/>
          <w:szCs w:val="18"/>
        </w:rPr>
      </w:pPr>
    </w:p>
    <w:p w14:paraId="1F785BBB" w14:textId="6D013840" w:rsidR="00E0735D" w:rsidRPr="00E0735D" w:rsidRDefault="00E0735D" w:rsidP="00AE30C2">
      <w:pPr>
        <w:spacing w:after="0"/>
        <w:jc w:val="both"/>
        <w:rPr>
          <w:rFonts w:ascii="Arial" w:hAnsi="Arial" w:cs="Arial"/>
          <w:sz w:val="18"/>
          <w:szCs w:val="18"/>
        </w:rPr>
      </w:pPr>
      <w:r>
        <w:rPr>
          <w:rFonts w:ascii="Arial" w:hAnsi="Arial" w:cs="Arial"/>
          <w:sz w:val="18"/>
          <w:szCs w:val="18"/>
        </w:rPr>
        <w:t>En atención a los antecedentes anteriores y,</w:t>
      </w:r>
    </w:p>
    <w:p w14:paraId="144C3D12" w14:textId="77777777" w:rsidR="00E11FC5" w:rsidRPr="007A220A" w:rsidRDefault="00E11FC5" w:rsidP="00AE30C2">
      <w:pPr>
        <w:spacing w:after="0"/>
        <w:jc w:val="center"/>
        <w:rPr>
          <w:rFonts w:ascii="Arial" w:hAnsi="Arial" w:cs="Arial"/>
          <w:kern w:val="1"/>
          <w:sz w:val="18"/>
          <w:szCs w:val="18"/>
          <w:lang w:eastAsia="ar-SA"/>
        </w:rPr>
      </w:pPr>
    </w:p>
    <w:p w14:paraId="4BCF905D" w14:textId="77777777" w:rsidR="00E11FC5" w:rsidRPr="007A220A" w:rsidRDefault="00E11FC5" w:rsidP="00AE30C2">
      <w:pPr>
        <w:spacing w:after="0"/>
        <w:jc w:val="center"/>
        <w:rPr>
          <w:rFonts w:ascii="Arial" w:eastAsia="Times New Roman" w:hAnsi="Arial" w:cs="Arial"/>
          <w:b/>
          <w:sz w:val="18"/>
          <w:szCs w:val="18"/>
          <w:lang w:eastAsia="es-MX"/>
        </w:rPr>
      </w:pPr>
      <w:r w:rsidRPr="007A220A">
        <w:rPr>
          <w:rFonts w:ascii="Arial" w:eastAsia="Times New Roman" w:hAnsi="Arial" w:cs="Arial"/>
          <w:b/>
          <w:sz w:val="18"/>
          <w:szCs w:val="18"/>
          <w:lang w:eastAsia="es-MX"/>
        </w:rPr>
        <w:t>Considerando</w:t>
      </w:r>
    </w:p>
    <w:p w14:paraId="74E21BCB" w14:textId="77777777" w:rsidR="00E11FC5" w:rsidRPr="007A220A" w:rsidRDefault="00E11FC5" w:rsidP="00AE30C2">
      <w:pPr>
        <w:spacing w:after="0"/>
        <w:jc w:val="center"/>
        <w:rPr>
          <w:rFonts w:ascii="Arial" w:eastAsia="Times New Roman" w:hAnsi="Arial" w:cs="Arial"/>
          <w:sz w:val="18"/>
          <w:szCs w:val="18"/>
          <w:lang w:eastAsia="es-MX"/>
        </w:rPr>
      </w:pPr>
    </w:p>
    <w:p w14:paraId="2D15E33C" w14:textId="43B26D1C" w:rsidR="0047518E" w:rsidRPr="0047518E" w:rsidRDefault="00CE6A0F" w:rsidP="0047518E">
      <w:pPr>
        <w:spacing w:after="0"/>
        <w:jc w:val="both"/>
        <w:rPr>
          <w:rFonts w:ascii="Arial" w:hAnsi="Arial" w:cs="Arial"/>
          <w:sz w:val="18"/>
          <w:szCs w:val="18"/>
        </w:rPr>
      </w:pPr>
      <w:r w:rsidRPr="007A220A">
        <w:rPr>
          <w:rFonts w:ascii="Arial" w:hAnsi="Arial" w:cs="Arial"/>
          <w:b/>
          <w:sz w:val="18"/>
          <w:szCs w:val="18"/>
        </w:rPr>
        <w:t>Primero. -</w:t>
      </w:r>
      <w:r w:rsidR="00E11FC5" w:rsidRPr="007A220A">
        <w:rPr>
          <w:rFonts w:ascii="Arial" w:hAnsi="Arial" w:cs="Arial"/>
          <w:b/>
          <w:sz w:val="18"/>
          <w:szCs w:val="18"/>
        </w:rPr>
        <w:t xml:space="preserve"> </w:t>
      </w:r>
      <w:r w:rsidR="00E0735D" w:rsidRPr="00E0735D">
        <w:rPr>
          <w:rFonts w:ascii="Arial" w:hAnsi="Arial" w:cs="Arial"/>
          <w:b/>
          <w:sz w:val="18"/>
          <w:szCs w:val="18"/>
        </w:rPr>
        <w:t xml:space="preserve">Competencia del Instituto. </w:t>
      </w:r>
      <w:r w:rsidR="0047518E" w:rsidRPr="0047518E">
        <w:rPr>
          <w:rFonts w:ascii="Arial" w:hAnsi="Arial" w:cs="Arial"/>
          <w:sz w:val="18"/>
          <w:szCs w:val="18"/>
        </w:rPr>
        <w:t>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3BBB432C" w14:textId="77777777" w:rsidR="0047518E" w:rsidRPr="0047518E" w:rsidRDefault="0047518E" w:rsidP="0047518E">
      <w:pPr>
        <w:spacing w:after="0"/>
        <w:jc w:val="both"/>
        <w:rPr>
          <w:rFonts w:ascii="Arial" w:hAnsi="Arial" w:cs="Arial"/>
          <w:sz w:val="18"/>
          <w:szCs w:val="18"/>
        </w:rPr>
      </w:pPr>
    </w:p>
    <w:p w14:paraId="1A0CC8AD" w14:textId="77777777"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LFTR, garantizando lo establecido en los artículos 6° y 7° de la Constitución.</w:t>
      </w:r>
    </w:p>
    <w:p w14:paraId="777B5894" w14:textId="77777777" w:rsidR="0047518E" w:rsidRPr="0047518E" w:rsidRDefault="0047518E" w:rsidP="0047518E">
      <w:pPr>
        <w:spacing w:after="0"/>
        <w:jc w:val="both"/>
        <w:rPr>
          <w:rFonts w:ascii="Arial" w:hAnsi="Arial" w:cs="Arial"/>
          <w:sz w:val="18"/>
          <w:szCs w:val="18"/>
        </w:rPr>
      </w:pPr>
    </w:p>
    <w:p w14:paraId="52022DC2" w14:textId="77777777"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Asimismo, el párrafo décimo sexto del artículo 28 de la Constitución establece que el Instituto es también la autoridad en materia de competencia económica de los sectores de radiodifusión y telecomunicaciones, por lo que el artículo 5 de la Ley Federal de Competencia Económica prevé que el Instituto ejercerá, en dichos sectores, de forma exclusiva las facultades que el artículo 28 de la Constitución, y las leyes establecen para la Comisión Federal de Competencia Económica.</w:t>
      </w:r>
    </w:p>
    <w:p w14:paraId="38A25F64" w14:textId="77777777" w:rsidR="0047518E" w:rsidRPr="0047518E" w:rsidRDefault="0047518E" w:rsidP="0047518E">
      <w:pPr>
        <w:spacing w:after="0"/>
        <w:jc w:val="both"/>
        <w:rPr>
          <w:rFonts w:ascii="Arial" w:hAnsi="Arial" w:cs="Arial"/>
          <w:sz w:val="18"/>
          <w:szCs w:val="18"/>
        </w:rPr>
      </w:pPr>
    </w:p>
    <w:p w14:paraId="48325918" w14:textId="77777777"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El párrafo vigésimo,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y LVI de la LFTR, señalan que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 del Instituto.</w:t>
      </w:r>
    </w:p>
    <w:p w14:paraId="4E90B86C" w14:textId="77777777" w:rsidR="0047518E" w:rsidRPr="0047518E" w:rsidRDefault="0047518E" w:rsidP="0047518E">
      <w:pPr>
        <w:spacing w:after="0"/>
        <w:jc w:val="both"/>
        <w:rPr>
          <w:rFonts w:ascii="Arial" w:hAnsi="Arial" w:cs="Arial"/>
          <w:sz w:val="18"/>
          <w:szCs w:val="18"/>
        </w:rPr>
      </w:pPr>
    </w:p>
    <w:p w14:paraId="20FFE4BF" w14:textId="77777777"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Con relación a lo anterior, el artículo 292 de la LFTR prevé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y que los concesionarios que tengan redes públicas de telecomunicaciones, estarán obligados a proporcionar al Instituto toda la información relativa a la topología de sus redes, incluyendo capacidades, características y ubicación de los elementos que las conforman, así como toda aquella que le permita al Instituto conocer la operación y explotación de los servicios de telecomunicaciones y de radiodifusión. Asimismo, se establece que estarán obligados a proporcionar al Instituto cualquier información para integrar el acervo estadístico del sector de acuerdo a la metodología, formato y periodicidad que al efecto se establezca.</w:t>
      </w:r>
    </w:p>
    <w:p w14:paraId="13F7413D" w14:textId="77777777" w:rsidR="0047518E" w:rsidRPr="0047518E" w:rsidRDefault="0047518E" w:rsidP="0047518E">
      <w:pPr>
        <w:spacing w:after="0"/>
        <w:jc w:val="both"/>
        <w:rPr>
          <w:rFonts w:ascii="Arial" w:hAnsi="Arial" w:cs="Arial"/>
          <w:sz w:val="18"/>
          <w:szCs w:val="18"/>
        </w:rPr>
      </w:pPr>
    </w:p>
    <w:p w14:paraId="449FCA67" w14:textId="0F8E9070" w:rsidR="00E11FC5" w:rsidRPr="00E0735D" w:rsidRDefault="0047518E" w:rsidP="0047518E">
      <w:pPr>
        <w:spacing w:after="0"/>
        <w:jc w:val="both"/>
        <w:rPr>
          <w:rFonts w:ascii="Arial" w:hAnsi="Arial" w:cs="Arial"/>
          <w:sz w:val="18"/>
          <w:szCs w:val="18"/>
        </w:rPr>
      </w:pPr>
      <w:r w:rsidRPr="0047518E">
        <w:rPr>
          <w:rFonts w:ascii="Arial" w:hAnsi="Arial" w:cs="Arial"/>
          <w:sz w:val="18"/>
          <w:szCs w:val="18"/>
        </w:rPr>
        <w:lastRenderedPageBreak/>
        <w:t>Aunado a lo anterior, de acuerdo con lo dispuesto por el artículo 15, fracciones XLI y LII, de la LFTR corresponde al Instituto establecer disposiciones para sus procesos de mejora regulatoria y, a su vez, los mecanismos para que los procedimientos de su competencia se puedan sustanciar por medio de las tecnologías de la información y comunicación.</w:t>
      </w:r>
      <w:r>
        <w:rPr>
          <w:rFonts w:ascii="Arial" w:hAnsi="Arial" w:cs="Arial"/>
          <w:sz w:val="18"/>
          <w:szCs w:val="18"/>
        </w:rPr>
        <w:t xml:space="preserve"> </w:t>
      </w:r>
    </w:p>
    <w:p w14:paraId="4124B17A" w14:textId="77777777" w:rsidR="00E11FC5" w:rsidRPr="007A220A" w:rsidRDefault="00E11FC5" w:rsidP="00AE30C2">
      <w:pPr>
        <w:spacing w:after="0"/>
        <w:jc w:val="both"/>
        <w:rPr>
          <w:rFonts w:ascii="Arial" w:eastAsia="Times New Roman" w:hAnsi="Arial" w:cs="Arial"/>
          <w:b/>
          <w:bCs/>
          <w:color w:val="000000"/>
          <w:sz w:val="18"/>
          <w:szCs w:val="18"/>
          <w:lang w:eastAsia="es-MX"/>
        </w:rPr>
      </w:pPr>
    </w:p>
    <w:p w14:paraId="1A12D057" w14:textId="2D9C7AB9" w:rsidR="0047518E" w:rsidRDefault="00CE6A0F" w:rsidP="0047518E">
      <w:pPr>
        <w:spacing w:after="0"/>
        <w:jc w:val="both"/>
        <w:rPr>
          <w:rFonts w:ascii="Arial" w:hAnsi="Arial" w:cs="Arial"/>
          <w:sz w:val="18"/>
          <w:szCs w:val="18"/>
        </w:rPr>
      </w:pPr>
      <w:r w:rsidRPr="007A220A">
        <w:rPr>
          <w:rFonts w:ascii="Arial" w:hAnsi="Arial" w:cs="Arial"/>
          <w:b/>
          <w:sz w:val="18"/>
          <w:szCs w:val="18"/>
        </w:rPr>
        <w:t>Segundo. -</w:t>
      </w:r>
      <w:r w:rsidR="00E0735D">
        <w:rPr>
          <w:rFonts w:ascii="Arial" w:hAnsi="Arial" w:cs="Arial"/>
          <w:b/>
          <w:sz w:val="18"/>
          <w:szCs w:val="18"/>
        </w:rPr>
        <w:t xml:space="preserve"> Contenido y objeto.</w:t>
      </w:r>
      <w:r w:rsidR="00E11FC5" w:rsidRPr="007A220A">
        <w:rPr>
          <w:rFonts w:ascii="Arial" w:hAnsi="Arial" w:cs="Arial"/>
          <w:b/>
          <w:sz w:val="18"/>
          <w:szCs w:val="18"/>
        </w:rPr>
        <w:t xml:space="preserve"> </w:t>
      </w:r>
      <w:r w:rsidR="0047518E" w:rsidRPr="0047518E">
        <w:rPr>
          <w:rFonts w:ascii="Arial" w:hAnsi="Arial" w:cs="Arial"/>
          <w:sz w:val="18"/>
          <w:szCs w:val="18"/>
        </w:rPr>
        <w:t xml:space="preserve">Ante un entorno convergente en servicios y tecnologías es recomendable que la información proporcionada al Instituto por los Operadores sea concebida bajo criterios de eficiencia, estandarización, precisión, sencillez, claridad y transparencia que permitan dar oportuno y adecuado cumplimiento a las obligaciones de entrega de información y, al mismo tiempo, dotar de seguridad y </w:t>
      </w:r>
      <w:r w:rsidR="00166A85">
        <w:rPr>
          <w:rFonts w:ascii="Arial" w:hAnsi="Arial" w:cs="Arial"/>
          <w:sz w:val="18"/>
          <w:szCs w:val="18"/>
        </w:rPr>
        <w:t>certeza</w:t>
      </w:r>
      <w:r w:rsidR="00166A85" w:rsidRPr="0047518E">
        <w:rPr>
          <w:rFonts w:ascii="Arial" w:hAnsi="Arial" w:cs="Arial"/>
          <w:sz w:val="18"/>
          <w:szCs w:val="18"/>
        </w:rPr>
        <w:t xml:space="preserve"> </w:t>
      </w:r>
      <w:r w:rsidR="0047518E" w:rsidRPr="0047518E">
        <w:rPr>
          <w:rFonts w:ascii="Arial" w:hAnsi="Arial" w:cs="Arial"/>
          <w:sz w:val="18"/>
          <w:szCs w:val="18"/>
        </w:rPr>
        <w:t>jurídica.</w:t>
      </w:r>
    </w:p>
    <w:p w14:paraId="51F8DFB3" w14:textId="77777777" w:rsidR="0047518E" w:rsidRPr="0047518E" w:rsidRDefault="0047518E" w:rsidP="0047518E">
      <w:pPr>
        <w:spacing w:after="0"/>
        <w:jc w:val="both"/>
        <w:rPr>
          <w:rFonts w:ascii="Arial" w:hAnsi="Arial" w:cs="Arial"/>
          <w:sz w:val="18"/>
          <w:szCs w:val="18"/>
        </w:rPr>
      </w:pPr>
    </w:p>
    <w:p w14:paraId="5ECF57DF" w14:textId="273FD2C7" w:rsidR="0047518E" w:rsidRDefault="0047518E" w:rsidP="0047518E">
      <w:pPr>
        <w:spacing w:after="0"/>
        <w:jc w:val="both"/>
        <w:rPr>
          <w:rFonts w:ascii="Arial" w:hAnsi="Arial" w:cs="Arial"/>
          <w:sz w:val="18"/>
          <w:szCs w:val="18"/>
        </w:rPr>
      </w:pPr>
      <w:r w:rsidRPr="0047518E">
        <w:rPr>
          <w:rFonts w:ascii="Arial" w:hAnsi="Arial" w:cs="Arial"/>
          <w:sz w:val="18"/>
          <w:szCs w:val="18"/>
        </w:rPr>
        <w:t>De acuerdo con las recomendaciones internacionales se determina la necesidad de los Gobiernos de efectuar revisiones sistemáticas de programas de acervo normativo importante contra objetivos de políticas claramente definidos, incluso considerando los costos y beneficios, para asegurar que las regulaciones se mantengan actualizadas, el costo se justifique, sean rentables y coherentes, y cumplan con los objetivos previstos en materia de política pública</w:t>
      </w:r>
      <w:r>
        <w:rPr>
          <w:rStyle w:val="Refdenotaalpie"/>
          <w:rFonts w:ascii="Arial" w:hAnsi="Arial" w:cs="Arial"/>
          <w:sz w:val="18"/>
          <w:szCs w:val="18"/>
        </w:rPr>
        <w:footnoteReference w:id="2"/>
      </w:r>
      <w:r w:rsidRPr="0047518E">
        <w:rPr>
          <w:rFonts w:ascii="Arial" w:hAnsi="Arial" w:cs="Arial"/>
          <w:sz w:val="18"/>
          <w:szCs w:val="18"/>
        </w:rPr>
        <w:t>.</w:t>
      </w:r>
    </w:p>
    <w:p w14:paraId="57771A51" w14:textId="77777777" w:rsidR="0047518E" w:rsidRPr="0047518E" w:rsidRDefault="0047518E" w:rsidP="0047518E">
      <w:pPr>
        <w:spacing w:after="0"/>
        <w:jc w:val="both"/>
        <w:rPr>
          <w:rFonts w:ascii="Arial" w:hAnsi="Arial" w:cs="Arial"/>
          <w:sz w:val="18"/>
          <w:szCs w:val="18"/>
        </w:rPr>
      </w:pPr>
    </w:p>
    <w:p w14:paraId="536ADDAD" w14:textId="5D089053" w:rsidR="0047518E" w:rsidRDefault="0047518E" w:rsidP="0047518E">
      <w:pPr>
        <w:spacing w:after="0"/>
        <w:jc w:val="both"/>
        <w:rPr>
          <w:rFonts w:ascii="Arial" w:hAnsi="Arial" w:cs="Arial"/>
          <w:sz w:val="18"/>
          <w:szCs w:val="18"/>
        </w:rPr>
      </w:pPr>
      <w:r w:rsidRPr="0047518E">
        <w:rPr>
          <w:rFonts w:ascii="Arial" w:hAnsi="Arial" w:cs="Arial"/>
          <w:sz w:val="18"/>
          <w:szCs w:val="18"/>
        </w:rPr>
        <w:t xml:space="preserve">En este orden de ideas, en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se </w:t>
      </w:r>
      <w:r w:rsidRPr="05210F0C">
        <w:rPr>
          <w:rFonts w:ascii="Arial" w:hAnsi="Arial" w:cs="Arial"/>
          <w:sz w:val="18"/>
          <w:szCs w:val="18"/>
        </w:rPr>
        <w:t>prev</w:t>
      </w:r>
      <w:r w:rsidR="403F32CF" w:rsidRPr="05210F0C">
        <w:rPr>
          <w:rFonts w:ascii="Arial" w:hAnsi="Arial" w:cs="Arial"/>
          <w:sz w:val="18"/>
          <w:szCs w:val="18"/>
        </w:rPr>
        <w:t>ió</w:t>
      </w:r>
      <w:r w:rsidRPr="0047518E">
        <w:rPr>
          <w:rFonts w:ascii="Arial" w:hAnsi="Arial" w:cs="Arial"/>
          <w:sz w:val="18"/>
          <w:szCs w:val="18"/>
        </w:rPr>
        <w:t xml:space="preserve"> la revisión de los mismos, </w:t>
      </w:r>
      <w:r w:rsidR="26A53EE9" w:rsidRPr="4FC7D941">
        <w:rPr>
          <w:rFonts w:ascii="Arial" w:hAnsi="Arial" w:cs="Arial"/>
          <w:sz w:val="18"/>
          <w:szCs w:val="18"/>
        </w:rPr>
        <w:t>para que</w:t>
      </w:r>
      <w:r w:rsidRPr="0047518E">
        <w:rPr>
          <w:rFonts w:ascii="Arial" w:hAnsi="Arial" w:cs="Arial"/>
          <w:sz w:val="18"/>
          <w:szCs w:val="18"/>
        </w:rPr>
        <w:t xml:space="preserve"> en su caso, </w:t>
      </w:r>
      <w:r w:rsidR="575185CA" w:rsidRPr="1071B28E">
        <w:rPr>
          <w:rFonts w:ascii="Arial" w:hAnsi="Arial" w:cs="Arial"/>
          <w:sz w:val="18"/>
          <w:szCs w:val="18"/>
        </w:rPr>
        <w:t xml:space="preserve">se </w:t>
      </w:r>
      <w:r w:rsidR="575185CA" w:rsidRPr="7B129596">
        <w:rPr>
          <w:rFonts w:ascii="Arial" w:hAnsi="Arial" w:cs="Arial"/>
          <w:sz w:val="18"/>
          <w:szCs w:val="18"/>
        </w:rPr>
        <w:t>pudieran</w:t>
      </w:r>
      <w:r w:rsidR="575185CA" w:rsidRPr="1071B28E">
        <w:rPr>
          <w:rFonts w:ascii="Arial" w:hAnsi="Arial" w:cs="Arial"/>
          <w:sz w:val="18"/>
          <w:szCs w:val="18"/>
        </w:rPr>
        <w:t xml:space="preserve"> </w:t>
      </w:r>
      <w:r w:rsidRPr="0047518E">
        <w:rPr>
          <w:rFonts w:ascii="Arial" w:hAnsi="Arial" w:cs="Arial"/>
          <w:sz w:val="18"/>
          <w:szCs w:val="18"/>
        </w:rPr>
        <w:t>llevar a cabo las modificaciones necesarias a fin de asegurar que la regulación se mantenga actualizada y responda a los cambios propios de los sectores que se regulan.</w:t>
      </w:r>
    </w:p>
    <w:p w14:paraId="2C767275" w14:textId="77777777" w:rsidR="0047518E" w:rsidRPr="0047518E" w:rsidRDefault="0047518E" w:rsidP="0047518E">
      <w:pPr>
        <w:spacing w:after="0"/>
        <w:jc w:val="both"/>
        <w:rPr>
          <w:rFonts w:ascii="Arial" w:hAnsi="Arial" w:cs="Arial"/>
          <w:sz w:val="18"/>
          <w:szCs w:val="18"/>
        </w:rPr>
      </w:pPr>
    </w:p>
    <w:p w14:paraId="60C21EAC" w14:textId="2C95B677" w:rsidR="0047518E" w:rsidRDefault="0047518E" w:rsidP="0047518E">
      <w:pPr>
        <w:spacing w:after="0"/>
        <w:jc w:val="both"/>
        <w:rPr>
          <w:rFonts w:ascii="Arial" w:hAnsi="Arial" w:cs="Arial"/>
          <w:sz w:val="18"/>
          <w:szCs w:val="18"/>
        </w:rPr>
      </w:pPr>
      <w:r w:rsidRPr="0047518E">
        <w:rPr>
          <w:rFonts w:ascii="Arial" w:hAnsi="Arial" w:cs="Arial"/>
          <w:sz w:val="18"/>
          <w:szCs w:val="18"/>
        </w:rPr>
        <w:t>Durante el periodo de vigencia de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y derivado del seguimiento e interacción continua con los Operadores, la Coordinación General de Planeación Estratégica (en lo sucesivo, “CGPE”) identificó las necesidades e inquietudes por parte de la industria, así como aquellas actualizaciones necesarias en los Lineamientos vigentes, derivado del propio dinamismo del sector que se regula.</w:t>
      </w:r>
    </w:p>
    <w:p w14:paraId="45C7239E" w14:textId="5711CBBE"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 xml:space="preserve"> </w:t>
      </w:r>
    </w:p>
    <w:p w14:paraId="4BDAEE77" w14:textId="21615D9A" w:rsidR="0047518E" w:rsidRDefault="0047518E" w:rsidP="0047518E">
      <w:pPr>
        <w:spacing w:after="0"/>
        <w:jc w:val="both"/>
        <w:rPr>
          <w:rFonts w:ascii="Arial" w:hAnsi="Arial" w:cs="Arial"/>
          <w:sz w:val="18"/>
          <w:szCs w:val="18"/>
        </w:rPr>
      </w:pPr>
      <w:r w:rsidRPr="0047518E">
        <w:rPr>
          <w:rFonts w:ascii="Arial" w:hAnsi="Arial" w:cs="Arial"/>
          <w:sz w:val="18"/>
          <w:szCs w:val="18"/>
        </w:rPr>
        <w:t>Debido a ello, el presente Acuerdo tiene por objeto aprobar y emitir los Lineamientos para integrar el Acervo Estadístico del Instituto Federal de Telecomunicaciones, lo anterior,</w:t>
      </w:r>
      <w:r>
        <w:rPr>
          <w:rFonts w:ascii="Arial" w:hAnsi="Arial" w:cs="Arial"/>
          <w:sz w:val="18"/>
          <w:szCs w:val="18"/>
        </w:rPr>
        <w:t xml:space="preserve"> </w:t>
      </w:r>
      <w:r w:rsidRPr="0047518E">
        <w:rPr>
          <w:rFonts w:ascii="Arial" w:hAnsi="Arial" w:cs="Arial"/>
          <w:sz w:val="18"/>
          <w:szCs w:val="18"/>
        </w:rPr>
        <w:t>con el objeto de contar con información estadística actualizada, eficiente, estandarizada, precisa, sencilla, clara y transparente acerca del desempeño de</w:t>
      </w:r>
      <w:r w:rsidR="00C20F36">
        <w:rPr>
          <w:rFonts w:ascii="Arial" w:hAnsi="Arial" w:cs="Arial"/>
          <w:sz w:val="18"/>
          <w:szCs w:val="18"/>
        </w:rPr>
        <w:t>l</w:t>
      </w:r>
      <w:r w:rsidRPr="0047518E">
        <w:rPr>
          <w:rFonts w:ascii="Arial" w:hAnsi="Arial" w:cs="Arial"/>
          <w:sz w:val="18"/>
          <w:szCs w:val="18"/>
        </w:rPr>
        <w:t xml:space="preserve"> sector </w:t>
      </w:r>
      <w:r w:rsidR="00DC420A">
        <w:rPr>
          <w:rFonts w:ascii="Arial" w:hAnsi="Arial" w:cs="Arial"/>
          <w:sz w:val="18"/>
          <w:szCs w:val="18"/>
        </w:rPr>
        <w:t xml:space="preserve">de </w:t>
      </w:r>
      <w:r w:rsidR="00166A85">
        <w:rPr>
          <w:rFonts w:ascii="Arial" w:hAnsi="Arial" w:cs="Arial"/>
          <w:sz w:val="18"/>
          <w:szCs w:val="18"/>
        </w:rPr>
        <w:t>telecomunicaciones</w:t>
      </w:r>
      <w:r w:rsidR="00CE6A0F">
        <w:rPr>
          <w:rFonts w:ascii="Arial" w:hAnsi="Arial" w:cs="Arial"/>
          <w:sz w:val="18"/>
          <w:szCs w:val="18"/>
        </w:rPr>
        <w:t>.</w:t>
      </w:r>
    </w:p>
    <w:p w14:paraId="03AE4236" w14:textId="218A25DA"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 xml:space="preserve"> </w:t>
      </w:r>
    </w:p>
    <w:p w14:paraId="3A6BBFB2" w14:textId="5FEE39E9"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Aunado a lo anterior y tomando en consideración los comentarios realizados por parte de los Operadores y a la propia dinámica del sector, el Instituto ha realizado una revisión de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C16E9A">
        <w:rPr>
          <w:rFonts w:ascii="Arial" w:hAnsi="Arial" w:cs="Arial"/>
          <w:sz w:val="18"/>
          <w:szCs w:val="18"/>
        </w:rPr>
        <w:t>”</w:t>
      </w:r>
      <w:r w:rsidRPr="0047518E">
        <w:rPr>
          <w:rFonts w:ascii="Arial" w:hAnsi="Arial" w:cs="Arial"/>
          <w:sz w:val="18"/>
          <w:szCs w:val="18"/>
        </w:rPr>
        <w:t xml:space="preserve">, que ha resultado en la actualización y mejora de los siguientes puntos: </w:t>
      </w:r>
    </w:p>
    <w:p w14:paraId="402A207C" w14:textId="77777777" w:rsidR="0047518E" w:rsidRPr="0047518E" w:rsidRDefault="0047518E" w:rsidP="0047518E">
      <w:pPr>
        <w:spacing w:after="0"/>
        <w:jc w:val="both"/>
        <w:rPr>
          <w:rFonts w:ascii="Arial" w:hAnsi="Arial" w:cs="Arial"/>
          <w:sz w:val="18"/>
          <w:szCs w:val="18"/>
        </w:rPr>
      </w:pPr>
    </w:p>
    <w:p w14:paraId="158A8451" w14:textId="2B46DA5B" w:rsidR="0047518E" w:rsidRPr="0047518E" w:rsidRDefault="0047518E" w:rsidP="0047518E">
      <w:pPr>
        <w:pStyle w:val="Prrafodelista"/>
        <w:numPr>
          <w:ilvl w:val="0"/>
          <w:numId w:val="35"/>
        </w:numPr>
        <w:spacing w:line="276" w:lineRule="auto"/>
        <w:jc w:val="both"/>
        <w:rPr>
          <w:rFonts w:cs="Arial"/>
          <w:sz w:val="18"/>
          <w:szCs w:val="18"/>
        </w:rPr>
      </w:pPr>
      <w:r w:rsidRPr="0047518E">
        <w:rPr>
          <w:rFonts w:cs="Arial"/>
          <w:sz w:val="18"/>
          <w:szCs w:val="18"/>
        </w:rPr>
        <w:t>Se integra un anexo con las definiciones previstas en la LFTR y demás normativa en la materia</w:t>
      </w:r>
      <w:r w:rsidR="003D2CF5">
        <w:rPr>
          <w:rFonts w:cs="Arial"/>
          <w:sz w:val="18"/>
          <w:szCs w:val="18"/>
        </w:rPr>
        <w:t>.</w:t>
      </w:r>
      <w:r w:rsidRPr="0047518E">
        <w:rPr>
          <w:rFonts w:cs="Arial"/>
          <w:sz w:val="18"/>
          <w:szCs w:val="18"/>
        </w:rPr>
        <w:t xml:space="preserve"> </w:t>
      </w:r>
      <w:r w:rsidR="003D2CF5">
        <w:rPr>
          <w:rFonts w:cs="Arial"/>
          <w:sz w:val="18"/>
          <w:szCs w:val="18"/>
        </w:rPr>
        <w:t>A</w:t>
      </w:r>
      <w:r w:rsidRPr="0047518E">
        <w:rPr>
          <w:rFonts w:cs="Arial"/>
          <w:sz w:val="18"/>
          <w:szCs w:val="18"/>
        </w:rPr>
        <w:t xml:space="preserve">dicionalmente se identificaron aquellas definiciones que requerían mayor nivel de detalle para brindar certeza y claridad sobre la información estadística que debe entregar el Operador. </w:t>
      </w:r>
      <w:r w:rsidR="003D2CF5">
        <w:rPr>
          <w:rFonts w:cs="Arial"/>
          <w:sz w:val="18"/>
          <w:szCs w:val="18"/>
        </w:rPr>
        <w:t>Asimismo, s</w:t>
      </w:r>
      <w:r w:rsidRPr="0047518E">
        <w:rPr>
          <w:rFonts w:cs="Arial"/>
          <w:sz w:val="18"/>
          <w:szCs w:val="18"/>
        </w:rPr>
        <w:t>e agregaron instructivos de entrega de información y se simplificaron los Catálogos de Claves de Información a utilizar, con la finalidad de facilitar y reducir la posibilidad de cometer errores en la entrega de información por parte de los Operadores.</w:t>
      </w:r>
    </w:p>
    <w:p w14:paraId="4B73F9FF" w14:textId="77777777" w:rsidR="0047518E" w:rsidRPr="0047518E" w:rsidRDefault="0047518E" w:rsidP="0047518E">
      <w:pPr>
        <w:spacing w:after="0"/>
        <w:jc w:val="both"/>
        <w:rPr>
          <w:rFonts w:ascii="Arial" w:hAnsi="Arial" w:cs="Arial"/>
          <w:sz w:val="18"/>
          <w:szCs w:val="18"/>
        </w:rPr>
      </w:pPr>
    </w:p>
    <w:p w14:paraId="3B4A846D" w14:textId="31928E3D" w:rsidR="0047518E" w:rsidRPr="0047518E" w:rsidRDefault="0047518E" w:rsidP="0047518E">
      <w:pPr>
        <w:pStyle w:val="Prrafodelista"/>
        <w:numPr>
          <w:ilvl w:val="0"/>
          <w:numId w:val="35"/>
        </w:numPr>
        <w:spacing w:line="276" w:lineRule="auto"/>
        <w:jc w:val="both"/>
        <w:rPr>
          <w:rFonts w:cs="Arial"/>
          <w:sz w:val="18"/>
          <w:szCs w:val="18"/>
        </w:rPr>
      </w:pPr>
      <w:r w:rsidRPr="0047518E">
        <w:rPr>
          <w:rFonts w:cs="Arial"/>
          <w:sz w:val="18"/>
          <w:szCs w:val="18"/>
        </w:rPr>
        <w:t xml:space="preserve">Se disminuyó el número de indicadores solicitados y para algunos indicadores se disminuyó el nivel de desagregación. Lo anterior, permite eficientar y facilitar la labor de recopilación de información por parte del </w:t>
      </w:r>
      <w:r w:rsidRPr="0047518E">
        <w:rPr>
          <w:rFonts w:cs="Arial"/>
          <w:sz w:val="18"/>
          <w:szCs w:val="18"/>
        </w:rPr>
        <w:lastRenderedPageBreak/>
        <w:t>Operador, ya que la carga se disminuye considerablemente, así como el procesamiento requerido para obtener la información estadística a reportar.</w:t>
      </w:r>
    </w:p>
    <w:p w14:paraId="34C72CCE" w14:textId="77777777" w:rsidR="0047518E" w:rsidRPr="0047518E" w:rsidRDefault="0047518E" w:rsidP="0047518E">
      <w:pPr>
        <w:spacing w:after="0"/>
        <w:jc w:val="both"/>
        <w:rPr>
          <w:rFonts w:ascii="Arial" w:hAnsi="Arial" w:cs="Arial"/>
          <w:sz w:val="18"/>
          <w:szCs w:val="18"/>
        </w:rPr>
      </w:pPr>
    </w:p>
    <w:p w14:paraId="444AC425" w14:textId="7CDFD245" w:rsidR="0047518E" w:rsidRPr="0047518E" w:rsidRDefault="0047518E" w:rsidP="0047518E">
      <w:pPr>
        <w:pStyle w:val="Prrafodelista"/>
        <w:numPr>
          <w:ilvl w:val="0"/>
          <w:numId w:val="35"/>
        </w:numPr>
        <w:spacing w:line="276" w:lineRule="auto"/>
        <w:jc w:val="both"/>
        <w:rPr>
          <w:rFonts w:cs="Arial"/>
          <w:sz w:val="18"/>
          <w:szCs w:val="18"/>
        </w:rPr>
      </w:pPr>
      <w:r w:rsidRPr="0047518E">
        <w:rPr>
          <w:rFonts w:cs="Arial"/>
          <w:sz w:val="18"/>
          <w:szCs w:val="18"/>
        </w:rPr>
        <w:t>Se redujo el plazo para la presentación del trámite correspondiente a la Actualización del Registro de Servicio de Telecomunicaciones Comercializados, permitiendo que tanto los Operadores como el Instituto se encuentren en condiciones de conocer de manera oportuna las obligaciones aplicables a cada sujeto regulado, lo cual no significa una carga regulatoria adicional, ya que dicha actualización solo se realiza en los casos especificados en los Lineamientos.</w:t>
      </w:r>
    </w:p>
    <w:p w14:paraId="03539623" w14:textId="77777777" w:rsidR="0047518E" w:rsidRPr="0047518E" w:rsidRDefault="0047518E" w:rsidP="0047518E">
      <w:pPr>
        <w:spacing w:after="0"/>
        <w:jc w:val="both"/>
        <w:rPr>
          <w:rFonts w:ascii="Arial" w:hAnsi="Arial" w:cs="Arial"/>
          <w:sz w:val="18"/>
          <w:szCs w:val="18"/>
        </w:rPr>
      </w:pPr>
    </w:p>
    <w:p w14:paraId="2B28280B" w14:textId="3CF2C3EE" w:rsidR="0047518E" w:rsidRPr="001A6A90" w:rsidRDefault="00CE6A0F" w:rsidP="000B663C">
      <w:pPr>
        <w:spacing w:after="0"/>
        <w:jc w:val="both"/>
        <w:rPr>
          <w:rFonts w:ascii="Arial" w:hAnsi="Arial" w:cs="Arial"/>
          <w:sz w:val="18"/>
          <w:szCs w:val="18"/>
        </w:rPr>
      </w:pPr>
      <w:r w:rsidRPr="000B663C">
        <w:rPr>
          <w:rFonts w:ascii="Arial" w:hAnsi="Arial" w:cs="Arial"/>
          <w:b/>
          <w:sz w:val="18"/>
          <w:szCs w:val="18"/>
        </w:rPr>
        <w:t>Tercero</w:t>
      </w:r>
      <w:r w:rsidRPr="4FBC7C22">
        <w:rPr>
          <w:rFonts w:cs="Arial"/>
          <w:sz w:val="18"/>
          <w:szCs w:val="18"/>
        </w:rPr>
        <w:t>. -</w:t>
      </w:r>
      <w:r w:rsidR="701C2DBC" w:rsidRPr="4FBC7C22">
        <w:rPr>
          <w:rFonts w:cs="Arial"/>
          <w:sz w:val="18"/>
          <w:szCs w:val="18"/>
        </w:rPr>
        <w:t xml:space="preserve"> </w:t>
      </w:r>
      <w:r w:rsidR="003115C1" w:rsidRPr="000B663C">
        <w:rPr>
          <w:rFonts w:ascii="Arial" w:hAnsi="Arial" w:cs="Arial"/>
          <w:b/>
          <w:sz w:val="18"/>
          <w:szCs w:val="18"/>
        </w:rPr>
        <w:t>De la publicación de la información</w:t>
      </w:r>
      <w:r w:rsidR="701C2DBC" w:rsidRPr="00887CD4">
        <w:rPr>
          <w:rFonts w:cs="Arial"/>
          <w:sz w:val="18"/>
          <w:szCs w:val="18"/>
        </w:rPr>
        <w:t xml:space="preserve">. </w:t>
      </w:r>
      <w:r w:rsidR="0047518E" w:rsidRPr="001A6A90">
        <w:rPr>
          <w:rFonts w:ascii="Arial" w:hAnsi="Arial" w:cs="Arial"/>
          <w:sz w:val="18"/>
          <w:szCs w:val="18"/>
        </w:rPr>
        <w:t>Que el artículo 73, fracción VII, del Estatuto Orgánico del I</w:t>
      </w:r>
      <w:r w:rsidR="1F7C47FA" w:rsidRPr="001A6A90">
        <w:rPr>
          <w:rFonts w:ascii="Arial" w:hAnsi="Arial" w:cs="Arial"/>
          <w:sz w:val="18"/>
          <w:szCs w:val="18"/>
        </w:rPr>
        <w:t>nstituto Federal de Telecomunicaciones</w:t>
      </w:r>
      <w:r w:rsidR="0047518E" w:rsidRPr="001A6A90">
        <w:rPr>
          <w:rFonts w:ascii="Arial" w:hAnsi="Arial" w:cs="Arial"/>
          <w:sz w:val="18"/>
          <w:szCs w:val="18"/>
        </w:rPr>
        <w:t>, establece la atribución a cargo de la CGPE de "Publicar trimestralmente la información estadística referente a la evolución de los sectores de telecomunicaciones y radiodifusión".</w:t>
      </w:r>
    </w:p>
    <w:p w14:paraId="3E94F8DA" w14:textId="77777777" w:rsidR="0047518E" w:rsidRPr="0047518E" w:rsidRDefault="0047518E" w:rsidP="0047518E">
      <w:pPr>
        <w:pStyle w:val="Prrafodelista"/>
        <w:spacing w:line="276" w:lineRule="auto"/>
        <w:rPr>
          <w:rFonts w:cs="Arial"/>
          <w:sz w:val="18"/>
          <w:szCs w:val="18"/>
        </w:rPr>
      </w:pPr>
    </w:p>
    <w:p w14:paraId="59E0673E" w14:textId="77777777" w:rsidR="0047518E" w:rsidRPr="001A6A90" w:rsidRDefault="0047518E" w:rsidP="001A6A90">
      <w:pPr>
        <w:spacing w:after="0"/>
        <w:jc w:val="both"/>
        <w:rPr>
          <w:rFonts w:ascii="Arial" w:hAnsi="Arial" w:cs="Arial"/>
          <w:sz w:val="18"/>
          <w:szCs w:val="18"/>
        </w:rPr>
      </w:pPr>
      <w:r w:rsidRPr="001A6A90">
        <w:rPr>
          <w:rFonts w:ascii="Arial" w:hAnsi="Arial" w:cs="Arial"/>
          <w:sz w:val="18"/>
          <w:szCs w:val="18"/>
        </w:rPr>
        <w:t>En ese sentido, a efecto de proporcionar a los Operadores y a los particulares en general, la mayor certidumbre jurídica posible con respecto a esta atribución se ha establecido previamente la forma de publicación que se hará de la información presentada, lo cual se materializa en el Lineamiento Quinto.</w:t>
      </w:r>
    </w:p>
    <w:p w14:paraId="50D69EAC" w14:textId="77777777" w:rsidR="0047518E" w:rsidRPr="001A6A90" w:rsidRDefault="0047518E" w:rsidP="001A6A90">
      <w:pPr>
        <w:spacing w:after="0"/>
        <w:jc w:val="both"/>
        <w:rPr>
          <w:rFonts w:ascii="Arial" w:hAnsi="Arial" w:cs="Arial"/>
          <w:sz w:val="18"/>
          <w:szCs w:val="18"/>
        </w:rPr>
      </w:pPr>
    </w:p>
    <w:p w14:paraId="7E7B4FF1" w14:textId="442B6FAD" w:rsidR="0047518E" w:rsidRPr="001A6A90" w:rsidRDefault="0047518E" w:rsidP="001A6A90">
      <w:pPr>
        <w:spacing w:after="0"/>
        <w:jc w:val="both"/>
        <w:rPr>
          <w:rFonts w:ascii="Arial" w:hAnsi="Arial" w:cs="Arial"/>
          <w:sz w:val="18"/>
          <w:szCs w:val="18"/>
        </w:rPr>
      </w:pPr>
      <w:r w:rsidRPr="001A6A90">
        <w:rPr>
          <w:rFonts w:ascii="Arial" w:hAnsi="Arial" w:cs="Arial"/>
          <w:sz w:val="18"/>
          <w:szCs w:val="18"/>
        </w:rPr>
        <w:t>Por su parte, en relación con la publicidad de la información en posesión de los sujetos obligados en materia de acceso a la información</w:t>
      </w:r>
      <w:r w:rsidRPr="00597B65">
        <w:rPr>
          <w:rStyle w:val="Refdenotaalpie"/>
          <w:rFonts w:cs="Arial"/>
          <w:sz w:val="18"/>
          <w:szCs w:val="18"/>
        </w:rPr>
        <w:footnoteReference w:id="3"/>
      </w:r>
      <w:r w:rsidRPr="001A6A90">
        <w:rPr>
          <w:rFonts w:ascii="Arial" w:hAnsi="Arial" w:cs="Arial"/>
          <w:sz w:val="18"/>
          <w:szCs w:val="18"/>
        </w:rPr>
        <w:t>, es importante precisar que el artículo 6o. de la Constitución consagra el derecho de acceso a la información y, en relación con el artículo 4o de la Ley General de Transparencia y Acceso a la Información Pública (En lo sucesivo "LGTAIP"), establece que la información generada, obtenida, adquirida, transformada o en posesión de este Instituto es considerada de carácter público y solo podrá ser clasificada de manera excepcional en los términos que fije la LGTAIP.</w:t>
      </w:r>
    </w:p>
    <w:p w14:paraId="0D0C298A" w14:textId="77777777" w:rsidR="0047518E" w:rsidRPr="001A6A90" w:rsidRDefault="0047518E" w:rsidP="001A6A90">
      <w:pPr>
        <w:spacing w:after="0"/>
        <w:jc w:val="both"/>
        <w:rPr>
          <w:rFonts w:ascii="Arial" w:hAnsi="Arial" w:cs="Arial"/>
          <w:sz w:val="18"/>
          <w:szCs w:val="18"/>
        </w:rPr>
      </w:pPr>
    </w:p>
    <w:p w14:paraId="1B13931E" w14:textId="5BB6C0B8" w:rsidR="00E0735D" w:rsidRPr="001A6A90" w:rsidRDefault="00E0735D" w:rsidP="001A6A90">
      <w:pPr>
        <w:spacing w:after="0"/>
        <w:jc w:val="both"/>
        <w:rPr>
          <w:rFonts w:ascii="Arial" w:hAnsi="Arial" w:cs="Arial"/>
          <w:sz w:val="18"/>
          <w:szCs w:val="18"/>
        </w:rPr>
      </w:pPr>
      <w:r w:rsidRPr="001A6A90">
        <w:rPr>
          <w:rFonts w:ascii="Arial" w:hAnsi="Arial" w:cs="Arial"/>
          <w:sz w:val="18"/>
          <w:szCs w:val="18"/>
        </w:rPr>
        <w:t>En este sentido, se destaca que la LGTAIP reconoce los conceptos de agregación y desagregación y, de hecho, en un ejercicio de máxima apertura y publicidad, fomenta la publicación de la información en posesión de los sujetos obligados en materia de acceso a la información con el mayor grado de desagregación posible, según se advierte en los artículos 3º, fracción VI, inciso g) y 70, fracción XXX, que a la letra señalan lo siguiente (énfasis añadidos):</w:t>
      </w:r>
    </w:p>
    <w:p w14:paraId="6418821A" w14:textId="77777777" w:rsidR="00E0735D" w:rsidRDefault="00E0735D" w:rsidP="00AE30C2">
      <w:pPr>
        <w:pStyle w:val="Prrafodelista"/>
        <w:spacing w:line="276" w:lineRule="auto"/>
        <w:ind w:left="720"/>
        <w:jc w:val="both"/>
        <w:rPr>
          <w:rFonts w:cs="Arial"/>
          <w:sz w:val="18"/>
          <w:szCs w:val="18"/>
        </w:rPr>
      </w:pPr>
    </w:p>
    <w:p w14:paraId="613C5E15" w14:textId="3CBAE665" w:rsidR="00E0735D" w:rsidRDefault="002255F9" w:rsidP="00597903">
      <w:pPr>
        <w:pStyle w:val="Prrafodelista"/>
        <w:spacing w:line="276" w:lineRule="auto"/>
        <w:ind w:left="709" w:right="335"/>
        <w:jc w:val="both"/>
        <w:rPr>
          <w:rFonts w:cs="Arial"/>
          <w:sz w:val="18"/>
          <w:szCs w:val="18"/>
        </w:rPr>
      </w:pPr>
      <w:r>
        <w:rPr>
          <w:rFonts w:cs="Arial"/>
          <w:b/>
          <w:sz w:val="18"/>
          <w:szCs w:val="18"/>
        </w:rPr>
        <w:t>“</w:t>
      </w:r>
      <w:r w:rsidR="00E0735D" w:rsidRPr="009A2D08">
        <w:rPr>
          <w:rFonts w:cs="Arial"/>
          <w:b/>
          <w:sz w:val="18"/>
          <w:szCs w:val="18"/>
        </w:rPr>
        <w:t>Artículo 3.</w:t>
      </w:r>
      <w:r w:rsidR="00E0735D" w:rsidRPr="00E0735D">
        <w:rPr>
          <w:rFonts w:cs="Arial"/>
          <w:sz w:val="18"/>
          <w:szCs w:val="18"/>
        </w:rPr>
        <w:t xml:space="preserve"> Para los efectos de la presente Ley se entenderá por:</w:t>
      </w:r>
    </w:p>
    <w:p w14:paraId="7B81FE4A" w14:textId="518480F2" w:rsidR="00E0735D" w:rsidRDefault="00E0735D" w:rsidP="00597903">
      <w:pPr>
        <w:pStyle w:val="Prrafodelista"/>
        <w:spacing w:line="276" w:lineRule="auto"/>
        <w:ind w:left="709" w:right="335"/>
        <w:jc w:val="both"/>
        <w:rPr>
          <w:rFonts w:cs="Arial"/>
          <w:sz w:val="18"/>
          <w:szCs w:val="18"/>
        </w:rPr>
      </w:pPr>
      <w:r w:rsidRPr="00E0735D">
        <w:rPr>
          <w:rFonts w:cs="Arial"/>
          <w:sz w:val="18"/>
          <w:szCs w:val="18"/>
        </w:rPr>
        <w:t>...</w:t>
      </w:r>
    </w:p>
    <w:p w14:paraId="45B8604E" w14:textId="1B1F780B" w:rsidR="00E0735D" w:rsidRDefault="00E0735D" w:rsidP="00597903">
      <w:pPr>
        <w:pStyle w:val="Prrafodelista"/>
        <w:spacing w:line="276" w:lineRule="auto"/>
        <w:ind w:left="709" w:right="335"/>
        <w:jc w:val="both"/>
        <w:rPr>
          <w:rFonts w:cs="Arial"/>
          <w:sz w:val="18"/>
          <w:szCs w:val="18"/>
        </w:rPr>
      </w:pPr>
      <w:r w:rsidRPr="009A2D08">
        <w:rPr>
          <w:rFonts w:cs="Arial"/>
          <w:b/>
          <w:sz w:val="18"/>
          <w:szCs w:val="18"/>
        </w:rPr>
        <w:t>VI. Datos abiertos:</w:t>
      </w:r>
      <w:r w:rsidRPr="00E0735D">
        <w:rPr>
          <w:rFonts w:cs="Arial"/>
          <w:sz w:val="18"/>
          <w:szCs w:val="18"/>
        </w:rPr>
        <w:t xml:space="preserve"> Los datos digitales de carácter público que son accesibles en línea que pueden ser usados, reutilizados y redistribuidos por cualquier interesado y que tienen las siguientes características:</w:t>
      </w:r>
    </w:p>
    <w:p w14:paraId="05ACAB80" w14:textId="241CCF7D" w:rsidR="00E0735D" w:rsidRDefault="00E0735D" w:rsidP="00597903">
      <w:pPr>
        <w:pStyle w:val="Prrafodelista"/>
        <w:spacing w:line="276" w:lineRule="auto"/>
        <w:ind w:left="709" w:right="335"/>
        <w:jc w:val="both"/>
        <w:rPr>
          <w:rFonts w:cs="Arial"/>
          <w:sz w:val="18"/>
          <w:szCs w:val="18"/>
        </w:rPr>
      </w:pPr>
      <w:r w:rsidRPr="00E0735D">
        <w:rPr>
          <w:rFonts w:cs="Arial"/>
          <w:sz w:val="18"/>
          <w:szCs w:val="18"/>
        </w:rPr>
        <w:t>...</w:t>
      </w:r>
    </w:p>
    <w:p w14:paraId="69930AC7" w14:textId="31568804" w:rsidR="00E0735D" w:rsidRDefault="00E0735D" w:rsidP="00597903">
      <w:pPr>
        <w:pStyle w:val="Prrafodelista"/>
        <w:spacing w:line="276" w:lineRule="auto"/>
        <w:ind w:left="709" w:right="335"/>
        <w:jc w:val="both"/>
        <w:rPr>
          <w:rFonts w:cs="Arial"/>
          <w:sz w:val="18"/>
          <w:szCs w:val="18"/>
        </w:rPr>
      </w:pPr>
      <w:r w:rsidRPr="009A2D08">
        <w:rPr>
          <w:rFonts w:cs="Arial"/>
          <w:b/>
          <w:sz w:val="18"/>
          <w:szCs w:val="18"/>
        </w:rPr>
        <w:t xml:space="preserve">g) Primarios: </w:t>
      </w:r>
      <w:r w:rsidRPr="00E0735D">
        <w:rPr>
          <w:rFonts w:cs="Arial"/>
          <w:sz w:val="18"/>
          <w:szCs w:val="18"/>
        </w:rPr>
        <w:t xml:space="preserve">Provienen de la fuente de origen </w:t>
      </w:r>
      <w:r w:rsidRPr="009A2D08">
        <w:rPr>
          <w:rFonts w:cs="Arial"/>
          <w:b/>
          <w:sz w:val="18"/>
          <w:szCs w:val="18"/>
        </w:rPr>
        <w:t>con el máximo nivel de desagregación posible</w:t>
      </w:r>
      <w:r w:rsidRPr="00E0735D">
        <w:rPr>
          <w:rFonts w:cs="Arial"/>
          <w:sz w:val="18"/>
          <w:szCs w:val="18"/>
        </w:rPr>
        <w:t>;</w:t>
      </w:r>
    </w:p>
    <w:p w14:paraId="572B4195" w14:textId="67D75E21" w:rsidR="00E0735D" w:rsidRDefault="00E0735D" w:rsidP="00597903">
      <w:pPr>
        <w:pStyle w:val="Prrafodelista"/>
        <w:spacing w:line="276" w:lineRule="auto"/>
        <w:ind w:left="709" w:right="335"/>
        <w:jc w:val="both"/>
        <w:rPr>
          <w:rFonts w:cs="Arial"/>
          <w:sz w:val="18"/>
          <w:szCs w:val="18"/>
        </w:rPr>
      </w:pPr>
      <w:r w:rsidRPr="00E0735D">
        <w:rPr>
          <w:rFonts w:cs="Arial"/>
          <w:sz w:val="18"/>
          <w:szCs w:val="18"/>
        </w:rPr>
        <w:t>...</w:t>
      </w:r>
      <w:r w:rsidR="002255F9">
        <w:rPr>
          <w:rFonts w:cs="Arial"/>
          <w:sz w:val="18"/>
          <w:szCs w:val="18"/>
        </w:rPr>
        <w:t>” (énfasis añadido)</w:t>
      </w:r>
    </w:p>
    <w:p w14:paraId="4C431245" w14:textId="77777777" w:rsidR="002255F9" w:rsidRDefault="002255F9" w:rsidP="00597903">
      <w:pPr>
        <w:pStyle w:val="Prrafodelista"/>
        <w:spacing w:line="276" w:lineRule="auto"/>
        <w:ind w:left="709" w:right="335"/>
        <w:jc w:val="both"/>
        <w:rPr>
          <w:rFonts w:cs="Arial"/>
          <w:sz w:val="18"/>
          <w:szCs w:val="18"/>
        </w:rPr>
      </w:pPr>
    </w:p>
    <w:p w14:paraId="5CCCDF9B" w14:textId="58FB3A1B" w:rsidR="00E0735D" w:rsidRDefault="002255F9" w:rsidP="00597903">
      <w:pPr>
        <w:pStyle w:val="Prrafodelista"/>
        <w:spacing w:line="276" w:lineRule="auto"/>
        <w:ind w:left="709" w:right="335"/>
        <w:jc w:val="both"/>
        <w:rPr>
          <w:rFonts w:cs="Arial"/>
          <w:sz w:val="18"/>
          <w:szCs w:val="18"/>
        </w:rPr>
      </w:pPr>
      <w:r>
        <w:rPr>
          <w:rFonts w:cs="Arial"/>
          <w:b/>
          <w:sz w:val="18"/>
          <w:szCs w:val="18"/>
        </w:rPr>
        <w:t>“</w:t>
      </w:r>
      <w:r w:rsidR="00E0735D" w:rsidRPr="009A2D08">
        <w:rPr>
          <w:rFonts w:cs="Arial"/>
          <w:b/>
          <w:sz w:val="18"/>
          <w:szCs w:val="18"/>
        </w:rPr>
        <w:t>Artículo 70.</w:t>
      </w:r>
      <w:r w:rsidR="00E0735D" w:rsidRPr="00E0735D">
        <w:rPr>
          <w:rFonts w:cs="Arial"/>
          <w:sz w:val="18"/>
          <w:szCs w:val="18"/>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498F213F" w14:textId="3EE82043" w:rsidR="00E0735D" w:rsidRDefault="00E0735D" w:rsidP="00597903">
      <w:pPr>
        <w:pStyle w:val="Prrafodelista"/>
        <w:spacing w:line="276" w:lineRule="auto"/>
        <w:ind w:left="709" w:right="335"/>
        <w:jc w:val="both"/>
        <w:rPr>
          <w:rFonts w:cs="Arial"/>
          <w:sz w:val="18"/>
          <w:szCs w:val="18"/>
        </w:rPr>
      </w:pPr>
      <w:r w:rsidRPr="00E0735D">
        <w:rPr>
          <w:rFonts w:cs="Arial"/>
          <w:sz w:val="18"/>
          <w:szCs w:val="18"/>
        </w:rPr>
        <w:t>...</w:t>
      </w:r>
    </w:p>
    <w:p w14:paraId="2E7C6686" w14:textId="7B03F70E" w:rsidR="00E0735D" w:rsidRDefault="00E0735D" w:rsidP="00597903">
      <w:pPr>
        <w:pStyle w:val="Prrafodelista"/>
        <w:spacing w:line="276" w:lineRule="auto"/>
        <w:ind w:left="709" w:right="335"/>
        <w:jc w:val="both"/>
        <w:rPr>
          <w:rFonts w:cs="Arial"/>
          <w:sz w:val="18"/>
          <w:szCs w:val="18"/>
        </w:rPr>
      </w:pPr>
      <w:r w:rsidRPr="00E0735D">
        <w:rPr>
          <w:rFonts w:cs="Arial"/>
          <w:sz w:val="18"/>
          <w:szCs w:val="18"/>
        </w:rPr>
        <w:t xml:space="preserve">XXX. Las estadísticas que generen en cumplimiento de sus facultades, competencias o funciones </w:t>
      </w:r>
      <w:r w:rsidRPr="009A2D08">
        <w:rPr>
          <w:rFonts w:cs="Arial"/>
          <w:b/>
          <w:sz w:val="18"/>
          <w:szCs w:val="18"/>
        </w:rPr>
        <w:t>con la mayor desagregación posible</w:t>
      </w:r>
      <w:r w:rsidRPr="00E0735D">
        <w:rPr>
          <w:rFonts w:cs="Arial"/>
          <w:sz w:val="18"/>
          <w:szCs w:val="18"/>
        </w:rPr>
        <w:t>;</w:t>
      </w:r>
    </w:p>
    <w:p w14:paraId="55DC3BFB" w14:textId="51C6540D" w:rsidR="00E0735D" w:rsidRDefault="00E0735D" w:rsidP="00597903">
      <w:pPr>
        <w:pStyle w:val="Prrafodelista"/>
        <w:spacing w:line="276" w:lineRule="auto"/>
        <w:ind w:left="709" w:right="335"/>
        <w:jc w:val="both"/>
        <w:rPr>
          <w:rFonts w:cs="Arial"/>
          <w:sz w:val="18"/>
          <w:szCs w:val="18"/>
        </w:rPr>
      </w:pPr>
      <w:r w:rsidRPr="00E0735D">
        <w:rPr>
          <w:rFonts w:cs="Arial"/>
          <w:sz w:val="18"/>
          <w:szCs w:val="18"/>
        </w:rPr>
        <w:t>...</w:t>
      </w:r>
      <w:r w:rsidR="002255F9">
        <w:rPr>
          <w:rFonts w:cs="Arial"/>
          <w:sz w:val="18"/>
          <w:szCs w:val="18"/>
        </w:rPr>
        <w:t>” (énfasis añadido)</w:t>
      </w:r>
    </w:p>
    <w:p w14:paraId="499E903B" w14:textId="77777777" w:rsidR="0047518E" w:rsidRDefault="0047518E" w:rsidP="00AE30C2">
      <w:pPr>
        <w:pStyle w:val="Prrafodelista"/>
        <w:spacing w:line="276" w:lineRule="auto"/>
        <w:ind w:left="1134" w:right="335"/>
        <w:jc w:val="both"/>
        <w:rPr>
          <w:rFonts w:cs="Arial"/>
          <w:sz w:val="18"/>
          <w:szCs w:val="18"/>
        </w:rPr>
      </w:pPr>
    </w:p>
    <w:p w14:paraId="5D8D0E50" w14:textId="3B8FD2CF" w:rsidR="00E0735D" w:rsidRPr="00620661" w:rsidRDefault="0047518E" w:rsidP="00620661">
      <w:pPr>
        <w:spacing w:after="0"/>
        <w:jc w:val="both"/>
        <w:rPr>
          <w:rFonts w:ascii="Arial" w:hAnsi="Arial" w:cs="Arial"/>
          <w:sz w:val="18"/>
          <w:szCs w:val="18"/>
        </w:rPr>
      </w:pPr>
      <w:r w:rsidRPr="00620661">
        <w:rPr>
          <w:rFonts w:ascii="Arial" w:hAnsi="Arial" w:cs="Arial"/>
          <w:sz w:val="18"/>
          <w:szCs w:val="18"/>
        </w:rPr>
        <w:t xml:space="preserve">Considerando lo anterior, la publicación de información por parte de la CGPE, que deriva de aquella presentada por los Operadores de conformidad con los Lineamientos, se efectuará con el máximo nivel de desagregación posible, con la finalidad de efectuar un ejercicio de máxima apertura y publicidad; teniendo en cuenta en todo momento el contenido </w:t>
      </w:r>
      <w:r w:rsidRPr="00620661">
        <w:rPr>
          <w:rFonts w:ascii="Arial" w:hAnsi="Arial" w:cs="Arial"/>
          <w:sz w:val="18"/>
          <w:szCs w:val="18"/>
        </w:rPr>
        <w:lastRenderedPageBreak/>
        <w:t>de aquella información cuya divulgación pudiera, por su naturaleza, causar una afectación a los bienes jurídicos tutelados por la LGTAIP, la Ley Federal de Transparencia y Acceso a la Información Pública (En lo sucesivo "LFTAIP") y demás normatividad aplicable.</w:t>
      </w:r>
    </w:p>
    <w:p w14:paraId="2F95C2FC" w14:textId="77777777" w:rsidR="00E0735D" w:rsidRPr="00620661" w:rsidRDefault="00E0735D" w:rsidP="00620661">
      <w:pPr>
        <w:spacing w:after="0"/>
        <w:jc w:val="both"/>
        <w:rPr>
          <w:rFonts w:ascii="Arial" w:hAnsi="Arial" w:cs="Arial"/>
          <w:sz w:val="18"/>
          <w:szCs w:val="18"/>
        </w:rPr>
      </w:pPr>
    </w:p>
    <w:p w14:paraId="71B72780" w14:textId="1C99912B" w:rsidR="00E0735D" w:rsidRPr="00620661" w:rsidRDefault="0047518E" w:rsidP="00620661">
      <w:pPr>
        <w:spacing w:after="0"/>
        <w:jc w:val="both"/>
        <w:rPr>
          <w:rFonts w:ascii="Arial" w:hAnsi="Arial" w:cs="Arial"/>
          <w:sz w:val="18"/>
          <w:szCs w:val="18"/>
        </w:rPr>
      </w:pPr>
      <w:r w:rsidRPr="00620661">
        <w:rPr>
          <w:rFonts w:ascii="Arial" w:hAnsi="Arial" w:cs="Arial"/>
          <w:sz w:val="18"/>
          <w:szCs w:val="18"/>
        </w:rPr>
        <w:t>Al efecto, es relevante poner de manifiesto que, tal como se refirió previamente, la publicación de la información proporcionada por los Operadores se efectúa con fundamento en el artículo 73, fracción VII del Estatuto Orgánico del Instituto y no dispone o resuelve sobre el carácter como confidencial o reservada de la información. Ello considerando que de conformidad con lo dispuesto en los artículos 106 de la LGTAIP y 98 de la LFTAIP, la clasificación de la información se llevará a cabo cuando se actualice alguno de los siguientes supuestos: i. Se reciba una solicitud de acceso a la información, ii. Se determine mediante resolución de autoridad competente o, iii. Se generen versiones públicas para dar cumplimiento a las obligaciones de transparencia previstas en la LGTAIP y en la LFTAIP. Procedimiento que llevará en su caso la autoridad competente del Instituto.</w:t>
      </w:r>
    </w:p>
    <w:p w14:paraId="1A733B0F" w14:textId="77777777" w:rsidR="00E0735D" w:rsidRPr="00E0735D" w:rsidRDefault="00E0735D" w:rsidP="00AE30C2">
      <w:pPr>
        <w:spacing w:after="0"/>
        <w:jc w:val="both"/>
        <w:rPr>
          <w:rFonts w:ascii="Arial" w:hAnsi="Arial" w:cs="Arial"/>
          <w:sz w:val="18"/>
          <w:szCs w:val="18"/>
        </w:rPr>
      </w:pPr>
    </w:p>
    <w:p w14:paraId="37B969EA" w14:textId="282392E2" w:rsidR="00E11FC5" w:rsidRPr="00E0735D" w:rsidRDefault="0047518E" w:rsidP="00AE30C2">
      <w:pPr>
        <w:spacing w:after="0"/>
        <w:jc w:val="both"/>
        <w:rPr>
          <w:rFonts w:ascii="Arial" w:hAnsi="Arial" w:cs="Arial"/>
          <w:sz w:val="18"/>
          <w:szCs w:val="18"/>
        </w:rPr>
      </w:pPr>
      <w:r w:rsidRPr="0047518E">
        <w:rPr>
          <w:rFonts w:ascii="Arial" w:hAnsi="Arial" w:cs="Arial"/>
          <w:sz w:val="18"/>
          <w:szCs w:val="18"/>
        </w:rPr>
        <w:t>En consecuencia, los Lineamientos para integrar el Acervo Estadístico del Instituto Federal de Telecomunicaciones contienen los formatos electrónicos, procedimientos, Catálogo de Claves de Información, metodología y la periodicidad con la que se recopilará la información estadística del sector de telecomunicaciones, no solo para la publicación de informes estadísticos y bases de datos públicas, sino también para obtener un mejor conocimiento del sector, de los servicios que se prestan y del impacto de las medidas regulatorias implementadas, con el propósito de tener insumos para un mejor diseño de la política regulatoria por parte de las distintas Unidades Administrativas del Instituto.</w:t>
      </w:r>
    </w:p>
    <w:p w14:paraId="5F21129E" w14:textId="77777777" w:rsidR="00E11FC5" w:rsidRPr="007A220A" w:rsidRDefault="00E11FC5" w:rsidP="00AE30C2">
      <w:pPr>
        <w:spacing w:after="0"/>
        <w:jc w:val="both"/>
        <w:rPr>
          <w:rFonts w:ascii="Arial" w:hAnsi="Arial" w:cs="Arial"/>
          <w:sz w:val="18"/>
          <w:szCs w:val="18"/>
        </w:rPr>
      </w:pPr>
    </w:p>
    <w:p w14:paraId="0FA7FDEC" w14:textId="0A1E5319" w:rsidR="0047518E" w:rsidRPr="0047518E" w:rsidRDefault="00CE6A0F" w:rsidP="0047518E">
      <w:pPr>
        <w:spacing w:after="0"/>
        <w:jc w:val="both"/>
        <w:rPr>
          <w:rFonts w:ascii="Arial" w:hAnsi="Arial" w:cs="Arial"/>
          <w:sz w:val="18"/>
          <w:szCs w:val="18"/>
        </w:rPr>
      </w:pPr>
      <w:r>
        <w:rPr>
          <w:rFonts w:ascii="Arial" w:hAnsi="Arial" w:cs="Arial"/>
          <w:b/>
          <w:sz w:val="18"/>
          <w:szCs w:val="18"/>
        </w:rPr>
        <w:t>Cuarto</w:t>
      </w:r>
      <w:r w:rsidRPr="007A220A">
        <w:rPr>
          <w:rFonts w:ascii="Arial" w:hAnsi="Arial" w:cs="Arial"/>
          <w:b/>
          <w:sz w:val="18"/>
          <w:szCs w:val="18"/>
        </w:rPr>
        <w:t>. -</w:t>
      </w:r>
      <w:r w:rsidR="00E11FC5" w:rsidRPr="007A220A">
        <w:rPr>
          <w:rFonts w:ascii="Arial" w:hAnsi="Arial" w:cs="Arial"/>
          <w:b/>
          <w:sz w:val="18"/>
          <w:szCs w:val="18"/>
        </w:rPr>
        <w:t xml:space="preserve"> </w:t>
      </w:r>
      <w:r w:rsidR="009A2D08" w:rsidRPr="009A2D08">
        <w:rPr>
          <w:rFonts w:ascii="Arial" w:hAnsi="Arial" w:cs="Arial"/>
          <w:b/>
          <w:sz w:val="18"/>
          <w:szCs w:val="18"/>
        </w:rPr>
        <w:t xml:space="preserve">Consulta pública. </w:t>
      </w:r>
      <w:r w:rsidR="0047518E" w:rsidRPr="0047518E">
        <w:rPr>
          <w:rFonts w:ascii="Arial" w:hAnsi="Arial" w:cs="Arial"/>
          <w:sz w:val="18"/>
          <w:szCs w:val="18"/>
        </w:rPr>
        <w:t xml:space="preserve">En cumplimiento con el artículo 51 de la LFTR, bajo los principios de transparencia y participación ciudadana, el Instituto llevó a cabo una consulta pública del “Anteproyecto de Acuerdo por el que se emiten los Lineamientos para Integrar el Acervo Estadístico del Instituto Federal de Telecomunicaciones”, durante el periodo comprendido entre el </w:t>
      </w:r>
      <w:r w:rsidR="00C16E9A">
        <w:rPr>
          <w:rFonts w:ascii="Arial" w:hAnsi="Arial" w:cs="Arial"/>
          <w:sz w:val="18"/>
          <w:szCs w:val="18"/>
        </w:rPr>
        <w:t>1</w:t>
      </w:r>
      <w:r w:rsidR="0047518E" w:rsidRPr="0047518E">
        <w:rPr>
          <w:rFonts w:ascii="Arial" w:hAnsi="Arial" w:cs="Arial"/>
          <w:sz w:val="18"/>
          <w:szCs w:val="18"/>
        </w:rPr>
        <w:t>5 de diciembre de 2023 al 3 de abril de 2024 (60 días hábiles), la cual arrojó 30 (treinta) participaciones. Dicho periodo se estimó conveniente a efecto de considerar las propuestas planteadas por los participantes y con ello, fortalecer el proyecto, contribuyendo así, a un mejor diseño y planteamiento de la regulación.</w:t>
      </w:r>
    </w:p>
    <w:p w14:paraId="3AC4F2B8" w14:textId="77777777" w:rsidR="0047518E" w:rsidRPr="0047518E" w:rsidRDefault="0047518E" w:rsidP="0047518E">
      <w:pPr>
        <w:spacing w:after="0"/>
        <w:jc w:val="both"/>
        <w:rPr>
          <w:rFonts w:ascii="Arial" w:hAnsi="Arial" w:cs="Arial"/>
          <w:sz w:val="18"/>
          <w:szCs w:val="18"/>
        </w:rPr>
      </w:pPr>
      <w:r w:rsidRPr="0047518E">
        <w:rPr>
          <w:rFonts w:ascii="Arial" w:hAnsi="Arial" w:cs="Arial"/>
          <w:sz w:val="18"/>
          <w:szCs w:val="18"/>
        </w:rPr>
        <w:t xml:space="preserve"> </w:t>
      </w:r>
    </w:p>
    <w:p w14:paraId="12D424B9" w14:textId="664E4812" w:rsidR="00E11FC5" w:rsidRDefault="0047518E" w:rsidP="0047518E">
      <w:pPr>
        <w:spacing w:after="0"/>
        <w:jc w:val="both"/>
        <w:rPr>
          <w:rFonts w:ascii="Arial" w:hAnsi="Arial" w:cs="Arial"/>
          <w:b/>
          <w:sz w:val="18"/>
          <w:szCs w:val="18"/>
        </w:rPr>
      </w:pPr>
      <w:r w:rsidRPr="0047518E">
        <w:rPr>
          <w:rFonts w:ascii="Arial" w:hAnsi="Arial" w:cs="Arial"/>
          <w:sz w:val="18"/>
          <w:szCs w:val="18"/>
        </w:rPr>
        <w:t>Asimismo, en cumplimiento a lo establecido por el artículo 51 de la LFTR y por los lineamientos Segundo, fracción VI, Noveno y Décimo de los Lineamientos de Consulta Pública, el Instituto dio atención a los comentarios recibidos, y su respuesta se encuentra publicada en el Informe de Consideraciones correspondiente, ubicado en el apartado de Consultas Públicas del portal de Internet del Instituto</w:t>
      </w:r>
      <w:r>
        <w:rPr>
          <w:rFonts w:ascii="Arial" w:hAnsi="Arial" w:cs="Arial"/>
          <w:sz w:val="18"/>
          <w:szCs w:val="18"/>
        </w:rPr>
        <w:t>.</w:t>
      </w:r>
    </w:p>
    <w:p w14:paraId="10800D19" w14:textId="1B833813" w:rsidR="00E0735D" w:rsidRDefault="00E0735D" w:rsidP="00AE30C2">
      <w:pPr>
        <w:spacing w:after="0"/>
        <w:jc w:val="both"/>
        <w:rPr>
          <w:rFonts w:ascii="Arial" w:hAnsi="Arial" w:cs="Arial"/>
          <w:b/>
          <w:sz w:val="18"/>
          <w:szCs w:val="18"/>
        </w:rPr>
      </w:pPr>
    </w:p>
    <w:p w14:paraId="72E96159" w14:textId="721E4197" w:rsidR="0047518E" w:rsidRPr="0047518E" w:rsidRDefault="00CE6A0F" w:rsidP="0047518E">
      <w:pPr>
        <w:spacing w:after="0"/>
        <w:jc w:val="both"/>
        <w:rPr>
          <w:rFonts w:ascii="Arial" w:eastAsia="Times New Roman" w:hAnsi="Arial" w:cs="Arial"/>
          <w:bCs/>
          <w:kern w:val="1"/>
          <w:sz w:val="18"/>
          <w:szCs w:val="18"/>
          <w:lang w:eastAsia="ar-SA"/>
        </w:rPr>
      </w:pPr>
      <w:r>
        <w:rPr>
          <w:rFonts w:ascii="Arial" w:hAnsi="Arial" w:cs="Arial"/>
          <w:b/>
          <w:sz w:val="18"/>
          <w:szCs w:val="18"/>
        </w:rPr>
        <w:t>Quinto. -</w:t>
      </w:r>
      <w:r w:rsidR="009A2D08">
        <w:rPr>
          <w:rFonts w:ascii="Arial" w:hAnsi="Arial" w:cs="Arial"/>
          <w:b/>
          <w:sz w:val="18"/>
          <w:szCs w:val="18"/>
        </w:rPr>
        <w:t xml:space="preserve"> </w:t>
      </w:r>
      <w:r w:rsidR="009A2D08" w:rsidRPr="009A2D08">
        <w:rPr>
          <w:rFonts w:ascii="Arial" w:hAnsi="Arial" w:cs="Arial"/>
          <w:b/>
          <w:sz w:val="18"/>
          <w:szCs w:val="18"/>
        </w:rPr>
        <w:t xml:space="preserve">Análisis de Nulo Impacto Regulatorio. </w:t>
      </w:r>
      <w:r w:rsidR="0047518E" w:rsidRPr="0047518E">
        <w:rPr>
          <w:rFonts w:ascii="Arial" w:eastAsia="Times New Roman" w:hAnsi="Arial" w:cs="Arial"/>
          <w:bCs/>
          <w:kern w:val="1"/>
          <w:sz w:val="18"/>
          <w:szCs w:val="18"/>
          <w:lang w:eastAsia="ar-SA"/>
        </w:rPr>
        <w:t>Mediante oficio IFT/210/CGPE/DGA-EAI/934/2024, de fecha 12 de julio de 2024, la CGPE remitió a la Coordinación General de Mejora Regulatoria, el proyecto de “Acuerdo mediante el cual el Pleno del Instituto Federal de Telecomunicaciones aprueba y emite los Lineamientos para integrar el Acervo Estadístico del Instituto Federal de Telecomunicaciones”, acompañado de su respectivo Análisis de Nulo Impacto Regulatorio, a efecto de dar cumplimiento al proceso de mejora regulatoria previsto en el marco jurídico vigente, para la emisión de reglas, lineamientos o disposiciones administrativas de carácter general.</w:t>
      </w:r>
    </w:p>
    <w:p w14:paraId="7E4891F5" w14:textId="77777777" w:rsidR="0047518E" w:rsidRPr="0047518E" w:rsidRDefault="0047518E" w:rsidP="0047518E">
      <w:pPr>
        <w:suppressAutoHyphens/>
        <w:spacing w:after="0"/>
        <w:ind w:right="49"/>
        <w:jc w:val="both"/>
        <w:rPr>
          <w:rFonts w:ascii="Arial" w:eastAsia="Times New Roman" w:hAnsi="Arial" w:cs="Arial"/>
          <w:bCs/>
          <w:kern w:val="1"/>
          <w:sz w:val="18"/>
          <w:szCs w:val="18"/>
          <w:lang w:eastAsia="ar-SA"/>
        </w:rPr>
      </w:pPr>
    </w:p>
    <w:p w14:paraId="4114634F" w14:textId="0785F552" w:rsidR="0047518E" w:rsidRPr="0047518E" w:rsidRDefault="0047518E" w:rsidP="0047518E">
      <w:pPr>
        <w:suppressAutoHyphens/>
        <w:spacing w:after="0"/>
        <w:ind w:right="49"/>
        <w:jc w:val="both"/>
        <w:rPr>
          <w:rFonts w:ascii="Arial" w:eastAsia="Times New Roman" w:hAnsi="Arial" w:cs="Arial"/>
          <w:bCs/>
          <w:kern w:val="1"/>
          <w:sz w:val="18"/>
          <w:szCs w:val="18"/>
          <w:lang w:eastAsia="ar-SA"/>
        </w:rPr>
      </w:pPr>
      <w:r w:rsidRPr="0047518E">
        <w:rPr>
          <w:rFonts w:ascii="Arial" w:eastAsia="Times New Roman" w:hAnsi="Arial" w:cs="Arial"/>
          <w:bCs/>
          <w:kern w:val="1"/>
          <w:sz w:val="18"/>
          <w:szCs w:val="18"/>
          <w:lang w:eastAsia="ar-SA"/>
        </w:rPr>
        <w:t xml:space="preserve">Como consecuencia de lo anterior, mediante oficio IFT/211/CGMR/128/2024, de fecha 6 de agosto de 2024, la Coordinación General de Mejora Regulatoria envío a la CGPE la opinión no vinculante sobre el Análisis de Nulo Impacto Regulatorio del </w:t>
      </w:r>
      <w:r w:rsidR="00C16E9A">
        <w:rPr>
          <w:rFonts w:ascii="Arial" w:eastAsia="Times New Roman" w:hAnsi="Arial" w:cs="Arial"/>
          <w:bCs/>
          <w:kern w:val="1"/>
          <w:sz w:val="18"/>
          <w:szCs w:val="18"/>
          <w:lang w:eastAsia="ar-SA"/>
        </w:rPr>
        <w:t>p</w:t>
      </w:r>
      <w:r w:rsidRPr="0047518E">
        <w:rPr>
          <w:rFonts w:ascii="Arial" w:eastAsia="Times New Roman" w:hAnsi="Arial" w:cs="Arial"/>
          <w:bCs/>
          <w:kern w:val="1"/>
          <w:sz w:val="18"/>
          <w:szCs w:val="18"/>
          <w:lang w:eastAsia="ar-SA"/>
        </w:rPr>
        <w:t>royecto de “Acuerdo mediante el cual el Pleno del Instituto Federal de Telecomunicaciones aprueba y emite los Lineamientos para integrar el Acervo Estadístico del Instituto Federal de Telecomunicaciones”.</w:t>
      </w:r>
    </w:p>
    <w:p w14:paraId="4632988D" w14:textId="77777777" w:rsidR="0047518E" w:rsidRPr="0047518E" w:rsidRDefault="0047518E" w:rsidP="0047518E">
      <w:pPr>
        <w:suppressAutoHyphens/>
        <w:spacing w:after="0"/>
        <w:ind w:right="49"/>
        <w:jc w:val="both"/>
        <w:rPr>
          <w:rFonts w:ascii="Arial" w:eastAsia="Times New Roman" w:hAnsi="Arial" w:cs="Arial"/>
          <w:bCs/>
          <w:kern w:val="1"/>
          <w:sz w:val="18"/>
          <w:szCs w:val="18"/>
          <w:lang w:eastAsia="ar-SA"/>
        </w:rPr>
      </w:pPr>
    </w:p>
    <w:p w14:paraId="17735026" w14:textId="580015C3" w:rsidR="00483B13" w:rsidRPr="007A220A" w:rsidRDefault="0047518E" w:rsidP="0047518E">
      <w:pPr>
        <w:suppressAutoHyphens/>
        <w:spacing w:after="0"/>
        <w:ind w:right="49"/>
        <w:jc w:val="both"/>
        <w:rPr>
          <w:rFonts w:ascii="Arial" w:eastAsia="Times New Roman" w:hAnsi="Arial" w:cs="Arial"/>
          <w:bCs/>
          <w:kern w:val="1"/>
          <w:sz w:val="18"/>
          <w:szCs w:val="18"/>
          <w:lang w:eastAsia="ar-SA"/>
        </w:rPr>
        <w:sectPr w:rsidR="00483B13" w:rsidRPr="007A220A" w:rsidSect="008D266D">
          <w:headerReference w:type="even" r:id="rId8"/>
          <w:headerReference w:type="default" r:id="rId9"/>
          <w:footerReference w:type="default" r:id="rId10"/>
          <w:headerReference w:type="first" r:id="rId11"/>
          <w:type w:val="continuous"/>
          <w:pgSz w:w="12240" w:h="15840"/>
          <w:pgMar w:top="1985" w:right="1418" w:bottom="1134" w:left="1418" w:header="709" w:footer="828" w:gutter="0"/>
          <w:cols w:space="708"/>
          <w:docGrid w:linePitch="360"/>
        </w:sectPr>
      </w:pPr>
      <w:r w:rsidRPr="0047518E">
        <w:rPr>
          <w:rFonts w:ascii="Arial" w:eastAsia="Times New Roman" w:hAnsi="Arial" w:cs="Arial"/>
          <w:bCs/>
          <w:kern w:val="1"/>
          <w:sz w:val="18"/>
          <w:szCs w:val="18"/>
          <w:lang w:eastAsia="ar-SA"/>
        </w:rPr>
        <w:t>Por lo anteriormente expuesto, con fundamento en los artículos 6o., apartado B), fracciones II y III, 28, párrafos décimo quinto, décimo sexto y vigésimo, fracción IV, de la Constitución Política de los Estados Unidos Mexicanos; 1, 2, 7, 15, fracciones I, XLI y LVI, 16, 17, fracciones I, 138 y 292 de la Ley Federal de Telecomunicaciones y Radiodifusión; 1, 4, fracción I, y 6 fracciones I, XX, XXV y XXXVII, 72 y 73, fracciones VII y XII, del Estatuto Orgánico del Instituto Federal de Telecomunicaciones , el Pleno resuelve emitir el siguiente:</w:t>
      </w:r>
    </w:p>
    <w:p w14:paraId="4C91AE96" w14:textId="3920F187" w:rsidR="00E11FC5" w:rsidRDefault="00E11FC5" w:rsidP="00AE30C2">
      <w:pPr>
        <w:spacing w:after="0"/>
        <w:jc w:val="center"/>
        <w:rPr>
          <w:rFonts w:ascii="Arial" w:hAnsi="Arial" w:cs="Arial"/>
          <w:kern w:val="1"/>
          <w:sz w:val="18"/>
          <w:szCs w:val="18"/>
          <w:lang w:eastAsia="ar-SA"/>
        </w:rPr>
      </w:pPr>
    </w:p>
    <w:p w14:paraId="3FDE9E5C" w14:textId="5A6E12DA" w:rsidR="00CE6A0F" w:rsidRDefault="00CE6A0F" w:rsidP="00AE30C2">
      <w:pPr>
        <w:spacing w:after="0"/>
        <w:jc w:val="center"/>
        <w:rPr>
          <w:rFonts w:ascii="Arial" w:hAnsi="Arial" w:cs="Arial"/>
          <w:kern w:val="1"/>
          <w:sz w:val="18"/>
          <w:szCs w:val="18"/>
          <w:lang w:eastAsia="ar-SA"/>
        </w:rPr>
      </w:pPr>
    </w:p>
    <w:p w14:paraId="4BD61075" w14:textId="6E423B7B" w:rsidR="00CE6A0F" w:rsidRDefault="00CE6A0F" w:rsidP="00AE30C2">
      <w:pPr>
        <w:spacing w:after="0"/>
        <w:jc w:val="center"/>
        <w:rPr>
          <w:rFonts w:ascii="Arial" w:hAnsi="Arial" w:cs="Arial"/>
          <w:kern w:val="1"/>
          <w:sz w:val="18"/>
          <w:szCs w:val="18"/>
          <w:lang w:eastAsia="ar-SA"/>
        </w:rPr>
      </w:pPr>
    </w:p>
    <w:p w14:paraId="7DF0DBDC" w14:textId="77777777" w:rsidR="00CE6A0F" w:rsidRPr="007A220A" w:rsidRDefault="00CE6A0F" w:rsidP="00AE30C2">
      <w:pPr>
        <w:spacing w:after="0"/>
        <w:jc w:val="center"/>
        <w:rPr>
          <w:rFonts w:ascii="Arial" w:hAnsi="Arial" w:cs="Arial"/>
          <w:kern w:val="1"/>
          <w:sz w:val="18"/>
          <w:szCs w:val="18"/>
          <w:lang w:eastAsia="ar-SA"/>
        </w:rPr>
      </w:pPr>
    </w:p>
    <w:p w14:paraId="32F1140B" w14:textId="4328198D" w:rsidR="00E11FC5" w:rsidRPr="007A220A" w:rsidRDefault="00E11FC5" w:rsidP="00AE30C2">
      <w:pPr>
        <w:suppressAutoHyphens/>
        <w:spacing w:after="0"/>
        <w:ind w:right="49"/>
        <w:jc w:val="center"/>
        <w:rPr>
          <w:rFonts w:ascii="Arial" w:eastAsia="Times New Roman" w:hAnsi="Arial" w:cs="Arial"/>
          <w:b/>
          <w:kern w:val="1"/>
          <w:sz w:val="18"/>
          <w:szCs w:val="18"/>
          <w:lang w:eastAsia="ar-SA"/>
        </w:rPr>
      </w:pPr>
      <w:r w:rsidRPr="007A220A">
        <w:rPr>
          <w:rFonts w:ascii="Arial" w:eastAsia="Times New Roman" w:hAnsi="Arial" w:cs="Arial"/>
          <w:b/>
          <w:kern w:val="1"/>
          <w:sz w:val="18"/>
          <w:szCs w:val="18"/>
          <w:lang w:eastAsia="ar-SA"/>
        </w:rPr>
        <w:lastRenderedPageBreak/>
        <w:t>Acuerdo</w:t>
      </w:r>
    </w:p>
    <w:p w14:paraId="659ABF90" w14:textId="77777777" w:rsidR="00E11FC5" w:rsidRPr="007A220A" w:rsidRDefault="00E11FC5" w:rsidP="00AE30C2">
      <w:pPr>
        <w:suppressAutoHyphens/>
        <w:spacing w:after="0"/>
        <w:ind w:right="49"/>
        <w:jc w:val="center"/>
        <w:rPr>
          <w:rFonts w:ascii="Arial" w:eastAsia="Times New Roman" w:hAnsi="Arial" w:cs="Arial"/>
          <w:bCs/>
          <w:kern w:val="1"/>
          <w:sz w:val="18"/>
          <w:szCs w:val="18"/>
          <w:lang w:eastAsia="ar-SA"/>
        </w:rPr>
      </w:pPr>
    </w:p>
    <w:p w14:paraId="1BE9BA22" w14:textId="36659A43" w:rsidR="00E11FC5" w:rsidRDefault="00414ADB" w:rsidP="00AE30C2">
      <w:pPr>
        <w:spacing w:after="0"/>
        <w:jc w:val="both"/>
        <w:rPr>
          <w:rFonts w:ascii="Arial" w:hAnsi="Arial" w:cs="Arial"/>
          <w:sz w:val="18"/>
          <w:szCs w:val="18"/>
        </w:rPr>
      </w:pPr>
      <w:r w:rsidRPr="007A220A">
        <w:rPr>
          <w:rFonts w:ascii="Arial" w:hAnsi="Arial" w:cs="Arial"/>
          <w:b/>
          <w:sz w:val="18"/>
          <w:szCs w:val="18"/>
        </w:rPr>
        <w:t>Primero. -</w:t>
      </w:r>
      <w:r w:rsidR="00E11FC5" w:rsidRPr="007A220A">
        <w:rPr>
          <w:rFonts w:ascii="Arial" w:hAnsi="Arial" w:cs="Arial"/>
          <w:b/>
          <w:sz w:val="18"/>
          <w:szCs w:val="18"/>
        </w:rPr>
        <w:t xml:space="preserve"> </w:t>
      </w:r>
      <w:r w:rsidR="009A2D08" w:rsidRPr="009A2D08">
        <w:rPr>
          <w:rFonts w:ascii="Arial" w:hAnsi="Arial" w:cs="Arial"/>
          <w:sz w:val="18"/>
          <w:szCs w:val="18"/>
        </w:rPr>
        <w:t>Se aprueban y emiten los Lineamientos para integrar el Acervo Estadístico del Instituto Federal de Telecomunicaciones y sus respectivos anexos:</w:t>
      </w:r>
    </w:p>
    <w:p w14:paraId="489E385E" w14:textId="78E54357" w:rsidR="009A2D08" w:rsidRDefault="009A2D08" w:rsidP="00AE30C2">
      <w:pPr>
        <w:spacing w:after="0"/>
        <w:jc w:val="both"/>
        <w:rPr>
          <w:rFonts w:ascii="Arial" w:hAnsi="Arial" w:cs="Arial"/>
          <w:sz w:val="18"/>
          <w:szCs w:val="18"/>
        </w:rPr>
      </w:pPr>
    </w:p>
    <w:p w14:paraId="0E554E9B" w14:textId="47A63A5B" w:rsidR="009A2D08" w:rsidRDefault="009A2D08" w:rsidP="00AE30C2">
      <w:pPr>
        <w:pStyle w:val="Prrafodelista"/>
        <w:numPr>
          <w:ilvl w:val="0"/>
          <w:numId w:val="12"/>
        </w:numPr>
        <w:spacing w:line="276" w:lineRule="auto"/>
        <w:jc w:val="both"/>
        <w:rPr>
          <w:rFonts w:cs="Arial"/>
          <w:sz w:val="18"/>
          <w:szCs w:val="18"/>
        </w:rPr>
      </w:pPr>
      <w:r>
        <w:rPr>
          <w:rFonts w:cs="Arial"/>
          <w:sz w:val="18"/>
          <w:szCs w:val="18"/>
        </w:rPr>
        <w:t>Anexo A. Definiciones aplicables.</w:t>
      </w:r>
    </w:p>
    <w:p w14:paraId="4F198E26" w14:textId="6DC08503" w:rsidR="009A2D08" w:rsidRDefault="009A2D08" w:rsidP="00AE30C2">
      <w:pPr>
        <w:pStyle w:val="Prrafodelista"/>
        <w:numPr>
          <w:ilvl w:val="0"/>
          <w:numId w:val="12"/>
        </w:numPr>
        <w:spacing w:line="276" w:lineRule="auto"/>
        <w:jc w:val="both"/>
        <w:rPr>
          <w:rFonts w:cs="Arial"/>
          <w:sz w:val="18"/>
          <w:szCs w:val="18"/>
        </w:rPr>
      </w:pPr>
      <w:r>
        <w:rPr>
          <w:rFonts w:cs="Arial"/>
          <w:sz w:val="18"/>
          <w:szCs w:val="18"/>
        </w:rPr>
        <w:t>Anexo B. Instrucciones para la presentación de trámites.</w:t>
      </w:r>
    </w:p>
    <w:p w14:paraId="0DBBB84F" w14:textId="1830F48B" w:rsidR="009A2D08" w:rsidRDefault="009A2D08" w:rsidP="00AE30C2">
      <w:pPr>
        <w:pStyle w:val="Prrafodelista"/>
        <w:numPr>
          <w:ilvl w:val="0"/>
          <w:numId w:val="12"/>
        </w:numPr>
        <w:spacing w:line="276" w:lineRule="auto"/>
        <w:jc w:val="both"/>
        <w:rPr>
          <w:rFonts w:cs="Arial"/>
          <w:sz w:val="18"/>
          <w:szCs w:val="18"/>
        </w:rPr>
      </w:pPr>
      <w:r>
        <w:rPr>
          <w:rFonts w:cs="Arial"/>
          <w:sz w:val="18"/>
          <w:szCs w:val="18"/>
        </w:rPr>
        <w:t>Anexo C. Catálogo de Claves de Información.</w:t>
      </w:r>
    </w:p>
    <w:p w14:paraId="292241A1" w14:textId="6E824040" w:rsidR="009A2D08" w:rsidRDefault="009A2D08" w:rsidP="00AE30C2">
      <w:pPr>
        <w:pStyle w:val="Prrafodelista"/>
        <w:numPr>
          <w:ilvl w:val="0"/>
          <w:numId w:val="12"/>
        </w:numPr>
        <w:spacing w:line="276" w:lineRule="auto"/>
        <w:jc w:val="both"/>
        <w:rPr>
          <w:rFonts w:cs="Arial"/>
          <w:sz w:val="18"/>
          <w:szCs w:val="18"/>
        </w:rPr>
      </w:pPr>
      <w:r>
        <w:rPr>
          <w:rFonts w:cs="Arial"/>
          <w:sz w:val="18"/>
          <w:szCs w:val="18"/>
        </w:rPr>
        <w:t>Anexo D. eFormatos.</w:t>
      </w:r>
    </w:p>
    <w:p w14:paraId="15E7BC55" w14:textId="73A4513F" w:rsidR="009A2D08" w:rsidRPr="009A2D08" w:rsidRDefault="009A2D08" w:rsidP="00AE30C2">
      <w:pPr>
        <w:pStyle w:val="Prrafodelista"/>
        <w:numPr>
          <w:ilvl w:val="0"/>
          <w:numId w:val="12"/>
        </w:numPr>
        <w:spacing w:line="276" w:lineRule="auto"/>
        <w:jc w:val="both"/>
        <w:rPr>
          <w:rFonts w:cs="Arial"/>
          <w:sz w:val="18"/>
          <w:szCs w:val="18"/>
        </w:rPr>
      </w:pPr>
      <w:r>
        <w:rPr>
          <w:rFonts w:cs="Arial"/>
          <w:sz w:val="18"/>
          <w:szCs w:val="18"/>
        </w:rPr>
        <w:t>Anexo E. Archivos de presentación.</w:t>
      </w:r>
    </w:p>
    <w:p w14:paraId="70966338" w14:textId="77777777" w:rsidR="00E11FC5" w:rsidRPr="007A220A" w:rsidRDefault="00E11FC5" w:rsidP="00AE30C2">
      <w:pPr>
        <w:spacing w:after="0"/>
        <w:jc w:val="both"/>
        <w:rPr>
          <w:rFonts w:ascii="Arial" w:eastAsia="Times New Roman" w:hAnsi="Arial" w:cs="Arial"/>
          <w:b/>
          <w:bCs/>
          <w:color w:val="000000"/>
          <w:sz w:val="18"/>
          <w:szCs w:val="18"/>
          <w:lang w:eastAsia="es-MX"/>
        </w:rPr>
      </w:pPr>
    </w:p>
    <w:p w14:paraId="54695660" w14:textId="12280B34" w:rsidR="00E11FC5" w:rsidRPr="007A220A" w:rsidRDefault="00414ADB" w:rsidP="00AE30C2">
      <w:pPr>
        <w:spacing w:after="0"/>
        <w:jc w:val="both"/>
        <w:rPr>
          <w:rFonts w:ascii="Arial" w:hAnsi="Arial" w:cs="Arial"/>
          <w:sz w:val="18"/>
          <w:szCs w:val="18"/>
        </w:rPr>
      </w:pPr>
      <w:r w:rsidRPr="007A220A">
        <w:rPr>
          <w:rFonts w:ascii="Arial" w:hAnsi="Arial" w:cs="Arial"/>
          <w:b/>
          <w:sz w:val="18"/>
          <w:szCs w:val="18"/>
        </w:rPr>
        <w:t>Segundo. -</w:t>
      </w:r>
      <w:r w:rsidR="00E11FC5" w:rsidRPr="007A220A">
        <w:rPr>
          <w:rFonts w:ascii="Arial" w:hAnsi="Arial" w:cs="Arial"/>
          <w:b/>
          <w:sz w:val="18"/>
          <w:szCs w:val="18"/>
        </w:rPr>
        <w:t xml:space="preserve"> </w:t>
      </w:r>
      <w:r w:rsidR="0047518E" w:rsidRPr="0047518E">
        <w:rPr>
          <w:rFonts w:ascii="Arial" w:hAnsi="Arial" w:cs="Arial"/>
          <w:sz w:val="18"/>
          <w:szCs w:val="18"/>
        </w:rPr>
        <w:t xml:space="preserve">Publíquese en Diario Oficial de la Federación </w:t>
      </w:r>
      <w:r w:rsidR="006279CC" w:rsidRPr="00E030A2">
        <w:rPr>
          <w:rFonts w:ascii="Arial" w:hAnsi="Arial" w:cs="Arial"/>
          <w:sz w:val="18"/>
          <w:szCs w:val="18"/>
        </w:rPr>
        <w:t>de conformidad con lo establecido en el artículo 46 de la Ley Federal de Telecomunicaciones y Radiodifusión</w:t>
      </w:r>
      <w:r w:rsidR="0047518E" w:rsidRPr="0047518E">
        <w:rPr>
          <w:rFonts w:ascii="Arial" w:hAnsi="Arial" w:cs="Arial"/>
          <w:sz w:val="18"/>
          <w:szCs w:val="18"/>
        </w:rPr>
        <w:t xml:space="preserve"> y en el portal de internet del Instituto Federal de Telecomunicaciones los Lineamientos para integrar el Acervo Estadístico del Instituto Federal de Telecomunicaciones y sus respectivos anexos.  </w:t>
      </w:r>
    </w:p>
    <w:p w14:paraId="49209B20" w14:textId="05EC28DE" w:rsidR="00E11FC5" w:rsidRDefault="00E11FC5" w:rsidP="00AE30C2">
      <w:pPr>
        <w:spacing w:after="0"/>
        <w:jc w:val="both"/>
        <w:rPr>
          <w:rFonts w:ascii="Arial" w:hAnsi="Arial" w:cs="Arial"/>
          <w:b/>
          <w:sz w:val="18"/>
          <w:szCs w:val="18"/>
        </w:rPr>
      </w:pPr>
    </w:p>
    <w:p w14:paraId="4FE86E84" w14:textId="266B31FD" w:rsidR="008F7680" w:rsidRDefault="008F7680" w:rsidP="00AE30C2">
      <w:pPr>
        <w:spacing w:after="0"/>
        <w:jc w:val="center"/>
        <w:rPr>
          <w:rFonts w:ascii="Arial" w:hAnsi="Arial" w:cs="Arial"/>
          <w:b/>
          <w:sz w:val="18"/>
          <w:szCs w:val="18"/>
        </w:rPr>
      </w:pPr>
      <w:r>
        <w:rPr>
          <w:rFonts w:ascii="Arial" w:hAnsi="Arial" w:cs="Arial"/>
          <w:b/>
          <w:sz w:val="18"/>
          <w:szCs w:val="18"/>
        </w:rPr>
        <w:t>Lineamientos para integrar el Acervo Estadístico del Instituto Federal de Telecomunicaciones.</w:t>
      </w:r>
    </w:p>
    <w:p w14:paraId="79696FDA" w14:textId="5CF50032" w:rsidR="008F7680" w:rsidRDefault="008F7680" w:rsidP="00AE30C2">
      <w:pPr>
        <w:spacing w:after="0"/>
        <w:jc w:val="center"/>
        <w:rPr>
          <w:rFonts w:ascii="Arial" w:hAnsi="Arial" w:cs="Arial"/>
          <w:b/>
          <w:sz w:val="18"/>
          <w:szCs w:val="18"/>
        </w:rPr>
      </w:pPr>
    </w:p>
    <w:p w14:paraId="3E155DB3" w14:textId="6C8A019C" w:rsidR="008F7680" w:rsidRDefault="008F7680" w:rsidP="00AE30C2">
      <w:pPr>
        <w:spacing w:after="0"/>
        <w:jc w:val="center"/>
        <w:rPr>
          <w:rFonts w:ascii="Arial" w:hAnsi="Arial" w:cs="Arial"/>
          <w:b/>
          <w:sz w:val="18"/>
          <w:szCs w:val="18"/>
        </w:rPr>
      </w:pPr>
      <w:r>
        <w:rPr>
          <w:rFonts w:ascii="Arial" w:hAnsi="Arial" w:cs="Arial"/>
          <w:b/>
          <w:sz w:val="18"/>
          <w:szCs w:val="18"/>
        </w:rPr>
        <w:t>Capítulo I</w:t>
      </w:r>
    </w:p>
    <w:p w14:paraId="056CBD47" w14:textId="1DD05A69" w:rsidR="008F7680" w:rsidRDefault="008F7680" w:rsidP="00AE30C2">
      <w:pPr>
        <w:spacing w:after="0"/>
        <w:jc w:val="center"/>
        <w:rPr>
          <w:rFonts w:ascii="Arial" w:hAnsi="Arial" w:cs="Arial"/>
          <w:b/>
          <w:sz w:val="18"/>
          <w:szCs w:val="18"/>
        </w:rPr>
      </w:pPr>
      <w:r>
        <w:rPr>
          <w:rFonts w:ascii="Arial" w:hAnsi="Arial" w:cs="Arial"/>
          <w:b/>
          <w:sz w:val="18"/>
          <w:szCs w:val="18"/>
        </w:rPr>
        <w:t>Disposiciones Generales</w:t>
      </w:r>
    </w:p>
    <w:p w14:paraId="5D292597" w14:textId="0E93FB95" w:rsidR="008F7680" w:rsidRDefault="008F7680" w:rsidP="00AE30C2">
      <w:pPr>
        <w:spacing w:after="0"/>
        <w:jc w:val="center"/>
        <w:rPr>
          <w:rFonts w:ascii="Arial" w:hAnsi="Arial" w:cs="Arial"/>
          <w:b/>
          <w:sz w:val="18"/>
          <w:szCs w:val="18"/>
        </w:rPr>
      </w:pPr>
    </w:p>
    <w:p w14:paraId="5E2741EB" w14:textId="25428862" w:rsidR="008F7680" w:rsidRDefault="00CE6A0F" w:rsidP="00AE30C2">
      <w:pPr>
        <w:spacing w:after="0"/>
        <w:jc w:val="both"/>
        <w:rPr>
          <w:rFonts w:ascii="Arial" w:hAnsi="Arial" w:cs="Arial"/>
          <w:b/>
          <w:sz w:val="18"/>
          <w:szCs w:val="18"/>
        </w:rPr>
      </w:pPr>
      <w:r>
        <w:rPr>
          <w:rFonts w:ascii="Arial" w:hAnsi="Arial" w:cs="Arial"/>
          <w:b/>
          <w:sz w:val="18"/>
          <w:szCs w:val="18"/>
        </w:rPr>
        <w:t>Primero. -</w:t>
      </w:r>
      <w:r w:rsidR="00040DEF" w:rsidRPr="00040DEF">
        <w:t xml:space="preserve"> </w:t>
      </w:r>
      <w:r w:rsidR="00040DEF" w:rsidRPr="00040DEF">
        <w:rPr>
          <w:rFonts w:ascii="Arial" w:hAnsi="Arial" w:cs="Arial"/>
          <w:b/>
          <w:sz w:val="18"/>
          <w:szCs w:val="18"/>
        </w:rPr>
        <w:t>Aplicación de los presentes Lineamientos</w:t>
      </w:r>
      <w:r w:rsidR="00040DEF">
        <w:rPr>
          <w:rFonts w:ascii="Arial" w:hAnsi="Arial" w:cs="Arial"/>
          <w:b/>
          <w:sz w:val="18"/>
          <w:szCs w:val="18"/>
        </w:rPr>
        <w:t>.</w:t>
      </w:r>
      <w:r w:rsidR="00040DEF" w:rsidRPr="00040DEF">
        <w:rPr>
          <w:rFonts w:ascii="Arial" w:hAnsi="Arial" w:cs="Arial"/>
          <w:b/>
          <w:sz w:val="18"/>
          <w:szCs w:val="18"/>
        </w:rPr>
        <w:t xml:space="preserve"> </w:t>
      </w:r>
      <w:r w:rsidR="00B65841" w:rsidRPr="00B65841">
        <w:rPr>
          <w:rFonts w:ascii="Arial" w:hAnsi="Arial" w:cs="Arial"/>
          <w:sz w:val="18"/>
          <w:szCs w:val="18"/>
        </w:rPr>
        <w:t xml:space="preserve">Los presentes Lineamientos son de observancia general y obligatoria para todas las personas físicas o morales que sean titulares de una o varias concesiones, autorizaciones, permisos o asignaciones, que los habiliten para prestar servicios de telecomunicaciones. En este sentido los Operadores que presten dichos servicios deberán entregar información para integrar el acervo estadístico del Instituto como lo prevé el artículo 292 de la </w:t>
      </w:r>
      <w:r w:rsidR="00A65DE0">
        <w:rPr>
          <w:rFonts w:ascii="Arial" w:hAnsi="Arial" w:cs="Arial"/>
          <w:sz w:val="18"/>
          <w:szCs w:val="18"/>
        </w:rPr>
        <w:t xml:space="preserve">Ley Federal de Telecomunicaciones y Radiodifusión (en lo sucesivo, </w:t>
      </w:r>
      <w:r w:rsidR="00B65841" w:rsidRPr="00B65841">
        <w:rPr>
          <w:rFonts w:ascii="Arial" w:hAnsi="Arial" w:cs="Arial"/>
          <w:sz w:val="18"/>
          <w:szCs w:val="18"/>
        </w:rPr>
        <w:t>LFTR</w:t>
      </w:r>
      <w:r w:rsidR="00A65DE0">
        <w:rPr>
          <w:rFonts w:ascii="Arial" w:hAnsi="Arial" w:cs="Arial"/>
          <w:sz w:val="18"/>
          <w:szCs w:val="18"/>
        </w:rPr>
        <w:t>)</w:t>
      </w:r>
      <w:r w:rsidR="00B65841" w:rsidRPr="00B65841">
        <w:rPr>
          <w:rFonts w:ascii="Arial" w:hAnsi="Arial" w:cs="Arial"/>
          <w:sz w:val="18"/>
          <w:szCs w:val="18"/>
        </w:rPr>
        <w:t xml:space="preserve"> de acuerdo con la metodología, formato y periodicidad que establecen los presentes Lineamientos.</w:t>
      </w:r>
    </w:p>
    <w:p w14:paraId="6680F291" w14:textId="195FD118" w:rsidR="008F7680" w:rsidRDefault="008F7680" w:rsidP="00AE30C2">
      <w:pPr>
        <w:spacing w:after="0"/>
        <w:jc w:val="both"/>
        <w:rPr>
          <w:rFonts w:ascii="Arial" w:hAnsi="Arial" w:cs="Arial"/>
          <w:b/>
          <w:sz w:val="18"/>
          <w:szCs w:val="18"/>
        </w:rPr>
      </w:pPr>
    </w:p>
    <w:p w14:paraId="0BE5578B" w14:textId="452925AF" w:rsidR="008F7680" w:rsidRDefault="00414ADB" w:rsidP="00AE30C2">
      <w:pPr>
        <w:spacing w:after="0"/>
        <w:jc w:val="both"/>
        <w:rPr>
          <w:rFonts w:ascii="Arial" w:hAnsi="Arial" w:cs="Arial"/>
          <w:b/>
          <w:sz w:val="18"/>
          <w:szCs w:val="18"/>
        </w:rPr>
      </w:pPr>
      <w:r>
        <w:rPr>
          <w:rFonts w:ascii="Arial" w:hAnsi="Arial" w:cs="Arial"/>
          <w:b/>
          <w:sz w:val="18"/>
          <w:szCs w:val="18"/>
        </w:rPr>
        <w:t>Segundo. -</w:t>
      </w:r>
      <w:r w:rsidR="00040DEF">
        <w:rPr>
          <w:rFonts w:ascii="Arial" w:hAnsi="Arial" w:cs="Arial"/>
          <w:b/>
          <w:sz w:val="18"/>
          <w:szCs w:val="18"/>
        </w:rPr>
        <w:t xml:space="preserve"> </w:t>
      </w:r>
      <w:r w:rsidR="00040DEF" w:rsidRPr="00040DEF">
        <w:rPr>
          <w:rFonts w:ascii="Arial" w:hAnsi="Arial" w:cs="Arial"/>
          <w:b/>
          <w:sz w:val="18"/>
          <w:szCs w:val="18"/>
        </w:rPr>
        <w:t>Objeto</w:t>
      </w:r>
      <w:r w:rsidR="00040DEF">
        <w:rPr>
          <w:rFonts w:ascii="Arial" w:hAnsi="Arial" w:cs="Arial"/>
          <w:b/>
          <w:sz w:val="18"/>
          <w:szCs w:val="18"/>
        </w:rPr>
        <w:t>.</w:t>
      </w:r>
      <w:r w:rsidR="00040DEF" w:rsidRPr="00040DEF">
        <w:rPr>
          <w:rFonts w:ascii="Arial" w:hAnsi="Arial" w:cs="Arial"/>
          <w:b/>
          <w:sz w:val="18"/>
          <w:szCs w:val="18"/>
        </w:rPr>
        <w:t xml:space="preserve"> </w:t>
      </w:r>
      <w:r w:rsidR="00040DEF" w:rsidRPr="00040DEF">
        <w:rPr>
          <w:rFonts w:ascii="Arial" w:hAnsi="Arial" w:cs="Arial"/>
          <w:sz w:val="18"/>
          <w:szCs w:val="18"/>
        </w:rPr>
        <w:t xml:space="preserve">Los presentes Lineamientos tienen por objeto establecer lo siguiente, </w:t>
      </w:r>
      <w:r w:rsidR="00B65841">
        <w:rPr>
          <w:rFonts w:ascii="Arial" w:hAnsi="Arial" w:cs="Arial"/>
          <w:sz w:val="18"/>
          <w:szCs w:val="18"/>
        </w:rPr>
        <w:t xml:space="preserve">con </w:t>
      </w:r>
      <w:r w:rsidR="00040DEF" w:rsidRPr="00040DEF">
        <w:rPr>
          <w:rFonts w:ascii="Arial" w:hAnsi="Arial" w:cs="Arial"/>
          <w:sz w:val="18"/>
          <w:szCs w:val="18"/>
        </w:rPr>
        <w:t>respecto de la entrega de información para integrar el Acervo Estadístico del Instituto sobre el sector de telecomunicaciones:</w:t>
      </w:r>
    </w:p>
    <w:p w14:paraId="51053D22" w14:textId="77777777" w:rsidR="00040DEF" w:rsidRDefault="00040DEF" w:rsidP="00AE30C2">
      <w:pPr>
        <w:spacing w:after="0"/>
        <w:jc w:val="both"/>
        <w:rPr>
          <w:rFonts w:ascii="Arial" w:hAnsi="Arial" w:cs="Arial"/>
          <w:b/>
          <w:sz w:val="18"/>
          <w:szCs w:val="18"/>
        </w:rPr>
      </w:pPr>
    </w:p>
    <w:p w14:paraId="58860184" w14:textId="65B33021" w:rsidR="00040DEF" w:rsidRPr="00040DEF" w:rsidRDefault="00040DEF" w:rsidP="00AE30C2">
      <w:pPr>
        <w:pStyle w:val="Prrafodelista"/>
        <w:numPr>
          <w:ilvl w:val="0"/>
          <w:numId w:val="13"/>
        </w:numPr>
        <w:spacing w:line="276" w:lineRule="auto"/>
        <w:jc w:val="both"/>
        <w:rPr>
          <w:rFonts w:cs="Arial"/>
          <w:sz w:val="18"/>
          <w:szCs w:val="18"/>
        </w:rPr>
      </w:pPr>
      <w:r w:rsidRPr="00040DEF">
        <w:rPr>
          <w:rFonts w:cs="Arial"/>
          <w:sz w:val="18"/>
          <w:szCs w:val="18"/>
        </w:rPr>
        <w:t xml:space="preserve">La metodología y periodicidad con la que deberán cumplir ante el Instituto los Operadores de </w:t>
      </w:r>
      <w:r w:rsidR="00A748B3">
        <w:rPr>
          <w:rFonts w:cs="Arial"/>
          <w:sz w:val="18"/>
          <w:szCs w:val="18"/>
        </w:rPr>
        <w:t>T</w:t>
      </w:r>
      <w:r w:rsidRPr="00040DEF">
        <w:rPr>
          <w:rFonts w:cs="Arial"/>
          <w:sz w:val="18"/>
          <w:szCs w:val="18"/>
        </w:rPr>
        <w:t>elecomunicaciones;</w:t>
      </w:r>
    </w:p>
    <w:p w14:paraId="27F50DEE" w14:textId="77777777" w:rsidR="00040DEF" w:rsidRPr="00040DEF" w:rsidRDefault="00040DEF" w:rsidP="00AE30C2">
      <w:pPr>
        <w:spacing w:after="0"/>
        <w:jc w:val="both"/>
        <w:rPr>
          <w:rFonts w:ascii="Arial" w:hAnsi="Arial" w:cs="Arial"/>
          <w:sz w:val="18"/>
          <w:szCs w:val="18"/>
        </w:rPr>
      </w:pPr>
    </w:p>
    <w:p w14:paraId="7F24294A" w14:textId="0C6F7CF4" w:rsidR="00040DEF" w:rsidRPr="00040DEF" w:rsidRDefault="00040DEF" w:rsidP="00AE30C2">
      <w:pPr>
        <w:pStyle w:val="Prrafodelista"/>
        <w:numPr>
          <w:ilvl w:val="0"/>
          <w:numId w:val="13"/>
        </w:numPr>
        <w:spacing w:line="276" w:lineRule="auto"/>
        <w:jc w:val="both"/>
        <w:rPr>
          <w:rFonts w:cs="Arial"/>
          <w:sz w:val="18"/>
          <w:szCs w:val="18"/>
        </w:rPr>
      </w:pPr>
      <w:r w:rsidRPr="00040DEF">
        <w:rPr>
          <w:rFonts w:cs="Arial"/>
          <w:sz w:val="18"/>
          <w:szCs w:val="18"/>
        </w:rPr>
        <w:t xml:space="preserve">Los eFormatos mediante los cuales los Operadores de </w:t>
      </w:r>
      <w:r w:rsidR="00A748B3">
        <w:rPr>
          <w:rFonts w:cs="Arial"/>
          <w:sz w:val="18"/>
          <w:szCs w:val="18"/>
        </w:rPr>
        <w:t>T</w:t>
      </w:r>
      <w:r w:rsidRPr="00040DEF">
        <w:rPr>
          <w:rFonts w:cs="Arial"/>
          <w:sz w:val="18"/>
          <w:szCs w:val="18"/>
        </w:rPr>
        <w:t>elecomunicaciones darán cumplimiento, y</w:t>
      </w:r>
    </w:p>
    <w:p w14:paraId="2951072D" w14:textId="77777777" w:rsidR="00040DEF" w:rsidRPr="00040DEF" w:rsidRDefault="00040DEF" w:rsidP="00AE30C2">
      <w:pPr>
        <w:spacing w:after="0"/>
        <w:jc w:val="both"/>
        <w:rPr>
          <w:rFonts w:ascii="Arial" w:hAnsi="Arial" w:cs="Arial"/>
          <w:sz w:val="18"/>
          <w:szCs w:val="18"/>
        </w:rPr>
      </w:pPr>
    </w:p>
    <w:p w14:paraId="7A8B2043" w14:textId="6D166556" w:rsidR="00040DEF" w:rsidRPr="00040DEF" w:rsidRDefault="00040DEF" w:rsidP="00AE30C2">
      <w:pPr>
        <w:pStyle w:val="Prrafodelista"/>
        <w:numPr>
          <w:ilvl w:val="0"/>
          <w:numId w:val="13"/>
        </w:numPr>
        <w:spacing w:line="276" w:lineRule="auto"/>
        <w:jc w:val="both"/>
        <w:rPr>
          <w:rFonts w:cs="Arial"/>
          <w:sz w:val="18"/>
          <w:szCs w:val="18"/>
        </w:rPr>
      </w:pPr>
      <w:r w:rsidRPr="00040DEF">
        <w:rPr>
          <w:rFonts w:cs="Arial"/>
          <w:sz w:val="18"/>
          <w:szCs w:val="18"/>
        </w:rPr>
        <w:t>El Catálogo de Claves de Información que se empleará para las desagregaciones que se determinen en dichos eFormatos.</w:t>
      </w:r>
    </w:p>
    <w:p w14:paraId="4681DCCC" w14:textId="7F0050AD" w:rsidR="008F7680" w:rsidRDefault="008F7680" w:rsidP="00AE30C2">
      <w:pPr>
        <w:spacing w:after="0"/>
        <w:jc w:val="both"/>
        <w:rPr>
          <w:rFonts w:ascii="Arial" w:hAnsi="Arial" w:cs="Arial"/>
          <w:b/>
          <w:sz w:val="18"/>
          <w:szCs w:val="18"/>
        </w:rPr>
      </w:pPr>
    </w:p>
    <w:p w14:paraId="4A24037E" w14:textId="6BA8E0D2" w:rsidR="008F7680" w:rsidRDefault="00414ADB" w:rsidP="00AE30C2">
      <w:pPr>
        <w:spacing w:after="0"/>
        <w:jc w:val="both"/>
        <w:rPr>
          <w:rFonts w:ascii="Arial" w:hAnsi="Arial" w:cs="Arial"/>
          <w:b/>
          <w:sz w:val="18"/>
          <w:szCs w:val="18"/>
        </w:rPr>
      </w:pPr>
      <w:r>
        <w:rPr>
          <w:rFonts w:ascii="Arial" w:hAnsi="Arial" w:cs="Arial"/>
          <w:b/>
          <w:sz w:val="18"/>
          <w:szCs w:val="18"/>
        </w:rPr>
        <w:t>Tercero. -</w:t>
      </w:r>
      <w:r w:rsidR="00040DEF">
        <w:rPr>
          <w:rFonts w:ascii="Arial" w:hAnsi="Arial" w:cs="Arial"/>
          <w:b/>
          <w:sz w:val="18"/>
          <w:szCs w:val="18"/>
        </w:rPr>
        <w:t xml:space="preserve"> </w:t>
      </w:r>
      <w:r w:rsidR="00040DEF" w:rsidRPr="00040DEF">
        <w:rPr>
          <w:rFonts w:ascii="Arial" w:hAnsi="Arial" w:cs="Arial"/>
          <w:b/>
          <w:sz w:val="18"/>
          <w:szCs w:val="18"/>
        </w:rPr>
        <w:t xml:space="preserve">Definiciones aplicables. </w:t>
      </w:r>
      <w:r w:rsidR="00B65841" w:rsidRPr="00B65841">
        <w:rPr>
          <w:rFonts w:ascii="Arial" w:hAnsi="Arial" w:cs="Arial"/>
          <w:sz w:val="18"/>
          <w:szCs w:val="18"/>
        </w:rPr>
        <w:t>En adición a las definiciones previstas en la LFTR y demás normativa en la materia, serán aplicables las contenidas en el Anexo A que es parte integrante de los presentes Lineamientos, las cuales podrán ser utilizadas indistintamente en singular o plural. Aquellos términos no definidos en los presentes Lineamientos tendrán el significado que les dé la LFTR o la normatividad aplicable en la materia.</w:t>
      </w:r>
    </w:p>
    <w:p w14:paraId="5143996E" w14:textId="2961EBB3" w:rsidR="008F7680" w:rsidRDefault="008F7680" w:rsidP="00AE30C2">
      <w:pPr>
        <w:spacing w:after="0"/>
        <w:jc w:val="both"/>
        <w:rPr>
          <w:rFonts w:ascii="Arial" w:hAnsi="Arial" w:cs="Arial"/>
          <w:b/>
          <w:sz w:val="18"/>
          <w:szCs w:val="18"/>
        </w:rPr>
      </w:pPr>
    </w:p>
    <w:p w14:paraId="64585555" w14:textId="0DDA6749" w:rsidR="009C2C21" w:rsidRDefault="00414ADB" w:rsidP="00AE30C2">
      <w:pPr>
        <w:spacing w:after="0"/>
        <w:jc w:val="both"/>
        <w:rPr>
          <w:rFonts w:ascii="Arial" w:hAnsi="Arial" w:cs="Arial"/>
          <w:b/>
          <w:sz w:val="18"/>
          <w:szCs w:val="18"/>
        </w:rPr>
      </w:pPr>
      <w:r>
        <w:rPr>
          <w:rFonts w:ascii="Arial" w:hAnsi="Arial" w:cs="Arial"/>
          <w:b/>
          <w:sz w:val="18"/>
          <w:szCs w:val="18"/>
        </w:rPr>
        <w:t>Cuarto. -</w:t>
      </w:r>
      <w:r w:rsidR="00040DEF" w:rsidRPr="00040DEF">
        <w:t xml:space="preserve"> </w:t>
      </w:r>
      <w:r w:rsidR="00040DEF" w:rsidRPr="00040DEF">
        <w:rPr>
          <w:rFonts w:ascii="Arial" w:hAnsi="Arial" w:cs="Arial"/>
          <w:b/>
          <w:sz w:val="18"/>
          <w:szCs w:val="18"/>
        </w:rPr>
        <w:t xml:space="preserve">Presentación de los eFormatos para entrega de información. </w:t>
      </w:r>
      <w:r w:rsidR="00B65841" w:rsidRPr="00B65841">
        <w:rPr>
          <w:rFonts w:ascii="Arial" w:hAnsi="Arial" w:cs="Arial"/>
          <w:sz w:val="18"/>
          <w:szCs w:val="18"/>
        </w:rPr>
        <w:t>A efecto de integrar el Acervo Estadístico del Instituto para el sector de telecomunicaciones, se establecen los siguientes eFormatos para entrega de información:</w:t>
      </w:r>
      <w:r w:rsidR="00B65841">
        <w:rPr>
          <w:rFonts w:ascii="Arial" w:hAnsi="Arial" w:cs="Arial"/>
          <w:sz w:val="18"/>
          <w:szCs w:val="18"/>
        </w:rPr>
        <w:t xml:space="preserve"> </w:t>
      </w:r>
    </w:p>
    <w:p w14:paraId="04375000" w14:textId="5C505EC9" w:rsidR="00440974" w:rsidRDefault="00440974" w:rsidP="00AE30C2">
      <w:pPr>
        <w:spacing w:after="0"/>
        <w:jc w:val="both"/>
        <w:rPr>
          <w:rFonts w:ascii="Arial" w:hAnsi="Arial" w:cs="Arial"/>
          <w:b/>
          <w:sz w:val="18"/>
          <w:szCs w:val="18"/>
        </w:rPr>
      </w:pPr>
    </w:p>
    <w:p w14:paraId="625D3718" w14:textId="549E6480" w:rsidR="00976A6A" w:rsidRDefault="00976A6A" w:rsidP="00AE30C2">
      <w:pPr>
        <w:spacing w:after="0"/>
        <w:jc w:val="both"/>
        <w:rPr>
          <w:rFonts w:ascii="Arial" w:hAnsi="Arial" w:cs="Arial"/>
          <w:b/>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6"/>
        <w:gridCol w:w="1539"/>
        <w:gridCol w:w="1403"/>
      </w:tblGrid>
      <w:tr w:rsidR="00791DAE" w:rsidRPr="00976A6A" w14:paraId="1241F82C"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CCCCCC"/>
            <w:vAlign w:val="center"/>
            <w:hideMark/>
          </w:tcPr>
          <w:p w14:paraId="6743D42C"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b/>
                <w:sz w:val="18"/>
                <w:szCs w:val="18"/>
                <w:lang w:eastAsia="es-MX"/>
              </w:rPr>
              <w:t>Nombre del eFormato</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CCCCCC"/>
            <w:vAlign w:val="center"/>
            <w:hideMark/>
          </w:tcPr>
          <w:p w14:paraId="302F99B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b/>
                <w:sz w:val="18"/>
                <w:szCs w:val="18"/>
                <w:lang w:eastAsia="es-MX"/>
              </w:rPr>
              <w:t>Periodicidad</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CCCCCC"/>
            <w:vAlign w:val="center"/>
            <w:hideMark/>
          </w:tcPr>
          <w:p w14:paraId="2D28D361"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b/>
                <w:sz w:val="18"/>
                <w:szCs w:val="18"/>
                <w:lang w:eastAsia="es-MX"/>
              </w:rPr>
              <w:t>Código del eFormato</w:t>
            </w:r>
            <w:r w:rsidRPr="0020692C">
              <w:rPr>
                <w:rFonts w:ascii="Arial" w:eastAsia="Times New Roman" w:hAnsi="Arial" w:cs="Arial"/>
                <w:sz w:val="18"/>
                <w:szCs w:val="18"/>
                <w:lang w:val="es-MX" w:eastAsia="es-MX"/>
              </w:rPr>
              <w:t> </w:t>
            </w:r>
          </w:p>
        </w:tc>
      </w:tr>
      <w:tr w:rsidR="00791DAE" w:rsidRPr="00976A6A" w14:paraId="16A383D7"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07DA71DA"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General de Servicios de Telecomunicaciones</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624E5EB5"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Trimestral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3942D8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R001</w:t>
            </w:r>
            <w:r w:rsidRPr="0020692C">
              <w:rPr>
                <w:rFonts w:ascii="Arial" w:eastAsia="Times New Roman" w:hAnsi="Arial" w:cs="Arial"/>
                <w:sz w:val="18"/>
                <w:szCs w:val="18"/>
                <w:lang w:val="es-MX" w:eastAsia="es-MX"/>
              </w:rPr>
              <w:t> </w:t>
            </w:r>
          </w:p>
        </w:tc>
      </w:tr>
      <w:tr w:rsidR="00791DAE" w:rsidRPr="00976A6A" w14:paraId="504D7152"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A0582E2"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General para Operadores que cumplen con los Supuestos B </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07ADF48"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Anual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4D4BC6C"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R002</w:t>
            </w:r>
            <w:r w:rsidRPr="0020692C">
              <w:rPr>
                <w:rFonts w:ascii="Arial" w:eastAsia="Times New Roman" w:hAnsi="Arial" w:cs="Arial"/>
                <w:sz w:val="18"/>
                <w:szCs w:val="18"/>
                <w:lang w:val="es-MX" w:eastAsia="es-MX"/>
              </w:rPr>
              <w:t> </w:t>
            </w:r>
          </w:p>
        </w:tc>
      </w:tr>
      <w:tr w:rsidR="00791DAE" w:rsidRPr="00976A6A" w14:paraId="036E9253"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46013AD1"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lastRenderedPageBreak/>
              <w:t>Información Estadística sobre el Servicio Minorista Fijo de Telefonía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383A5093"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t>Trimestral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3031D96A"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t>R003 </w:t>
            </w:r>
          </w:p>
        </w:tc>
      </w:tr>
      <w:tr w:rsidR="00791DAE" w:rsidRPr="00976A6A" w14:paraId="6FDEB73A"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3F03353"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sobre el Servicio Minorista Móvil de Telefonía </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0EDC154"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Trimestral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C1EACF9"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R004</w:t>
            </w:r>
            <w:r w:rsidRPr="0020692C">
              <w:rPr>
                <w:rFonts w:ascii="Arial" w:eastAsia="Times New Roman" w:hAnsi="Arial" w:cs="Arial"/>
                <w:sz w:val="18"/>
                <w:szCs w:val="18"/>
                <w:lang w:val="es-MX" w:eastAsia="es-MX"/>
              </w:rPr>
              <w:t> </w:t>
            </w:r>
          </w:p>
        </w:tc>
      </w:tr>
      <w:tr w:rsidR="00791DAE" w:rsidRPr="00976A6A" w14:paraId="6513823B"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4E282621"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sobre el Servicio Minorista Móvil de Telefonía bajo esquema OMV</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54B95C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Trimestral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6FBDF2AB"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t>R005 </w:t>
            </w:r>
          </w:p>
        </w:tc>
      </w:tr>
      <w:tr w:rsidR="00791DAE" w:rsidRPr="00976A6A" w14:paraId="754115E2"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877F1DE"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sobre el Servicio Minorista de Telefonía Pública </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C86A2B8"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Trimestral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41D5B38"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t>R006 </w:t>
            </w:r>
          </w:p>
        </w:tc>
      </w:tr>
      <w:tr w:rsidR="00791DAE" w:rsidRPr="00976A6A" w14:paraId="2A655CC0"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CF17530"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sobre el Servicio Minorista Móvil Satelital </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36299678"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Trimestral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47E3FE0"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t>R007 </w:t>
            </w:r>
          </w:p>
        </w:tc>
      </w:tr>
      <w:tr w:rsidR="00791DAE" w:rsidRPr="00976A6A" w14:paraId="1310D064"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DA40CA4"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sobre el Servicio Minorista Fijo de Acceso a Internet </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985AFB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Trimestral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8B2EBE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t>R008 </w:t>
            </w:r>
          </w:p>
        </w:tc>
      </w:tr>
      <w:tr w:rsidR="00791DAE" w:rsidRPr="00976A6A" w14:paraId="2D542EB8"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07174D25"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Información Estadística sobre el Servicio Minorista Móvil de Acceso a Internet </w:t>
            </w:r>
            <w:r w:rsidRPr="0020692C">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3F73C7D"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eastAsia="es-MX"/>
              </w:rPr>
              <w:t>Trimestral</w:t>
            </w:r>
            <w:r w:rsidRPr="0020692C">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ED85C2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0692C">
              <w:rPr>
                <w:rFonts w:ascii="Arial" w:eastAsia="Times New Roman" w:hAnsi="Arial" w:cs="Arial"/>
                <w:sz w:val="18"/>
                <w:szCs w:val="18"/>
                <w:lang w:val="es-MX" w:eastAsia="es-MX"/>
              </w:rPr>
              <w:t>R009 </w:t>
            </w:r>
          </w:p>
        </w:tc>
      </w:tr>
      <w:tr w:rsidR="00791DAE" w:rsidRPr="00976A6A" w14:paraId="316F379E"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1910790"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Minorista Móvil de Acceso a Internet bajo esquema OMV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3DBD411"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3633EDC"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R010 </w:t>
            </w:r>
          </w:p>
        </w:tc>
      </w:tr>
      <w:tr w:rsidR="00791DAE" w:rsidRPr="00976A6A" w14:paraId="4EE18099"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12B57CFF"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Minorista Fijo de Acceso Satelital a Internet</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788F8E2"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3CC0E36C"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R011 </w:t>
            </w:r>
          </w:p>
        </w:tc>
      </w:tr>
      <w:tr w:rsidR="00791DAE" w:rsidRPr="00976A6A" w14:paraId="433B66CB"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C0F49AB"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Minorista Fijo de Televisión y Audio Restringidos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18A080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762C565"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R012 </w:t>
            </w:r>
          </w:p>
        </w:tc>
      </w:tr>
      <w:tr w:rsidR="00791DAE" w:rsidRPr="00976A6A" w14:paraId="4C11A0F5"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8E34EF0"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Minorista de Enlaces Dedicados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3583B2F"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0AE3466E"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R013 </w:t>
            </w:r>
          </w:p>
        </w:tc>
      </w:tr>
      <w:tr w:rsidR="00791DAE" w:rsidRPr="00976A6A" w14:paraId="6E95718D"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B58BD48"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Minorista de Provisión de Capacidad Satelital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6624AAB"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3D78852"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R014 </w:t>
            </w:r>
          </w:p>
        </w:tc>
      </w:tr>
      <w:tr w:rsidR="00791DAE" w:rsidRPr="00976A6A" w14:paraId="4A240375"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6321E2A"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Provisión de Servicios Fijos para Reventa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BBC197B"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A2A76FF"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R015 </w:t>
            </w:r>
          </w:p>
        </w:tc>
      </w:tr>
      <w:tr w:rsidR="00791DAE" w:rsidRPr="00976A6A" w14:paraId="5C14F5E5"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2A56BDB"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Provisión de Servicios Móviles para Reventa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F278DEA"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B7C56A6"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R016 </w:t>
            </w:r>
          </w:p>
        </w:tc>
      </w:tr>
      <w:tr w:rsidR="00791DAE" w:rsidRPr="00976A6A" w14:paraId="05908AD7"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B2A38FF"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Interconexión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0DD94A35"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6400963D"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R017 </w:t>
            </w:r>
          </w:p>
        </w:tc>
      </w:tr>
      <w:tr w:rsidR="00791DAE" w:rsidRPr="00976A6A" w14:paraId="6D941DC2"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52B0411"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Intercambio de Tráfico de Internet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E47CF3A"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3E5AFC0"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R018 </w:t>
            </w:r>
          </w:p>
        </w:tc>
      </w:tr>
      <w:tr w:rsidR="00791DAE" w:rsidRPr="00976A6A" w14:paraId="4A627C65"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6646807A"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Usuario Visitante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39BBC2D4"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32E182D"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R019 </w:t>
            </w:r>
          </w:p>
        </w:tc>
      </w:tr>
      <w:tr w:rsidR="00791DAE" w:rsidRPr="00976A6A" w14:paraId="50D7C1CB"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F4B06E2"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Coubicación</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C53DDEC"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8758E0F"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R020 </w:t>
            </w:r>
          </w:p>
        </w:tc>
      </w:tr>
      <w:tr w:rsidR="00791DAE" w:rsidRPr="00976A6A" w14:paraId="51F9AB0B"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00327BC4"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Uso Compartido de Infraestructura</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BC2BAB6"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6881ADE9"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R021 </w:t>
            </w:r>
          </w:p>
        </w:tc>
      </w:tr>
      <w:tr w:rsidR="00791DAE" w:rsidRPr="00976A6A" w14:paraId="38B8CA76"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223B84F"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Enlaces Dedicados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F629D71"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53EE3DF"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R022 </w:t>
            </w:r>
          </w:p>
        </w:tc>
      </w:tr>
      <w:tr w:rsidR="00791DAE" w:rsidRPr="00976A6A" w14:paraId="277E6EA1"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43BF2A7"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el Servicio Mayorista de Provisión de Capacidad Satelital</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AD8A5B8"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Trimestral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45A4E66"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val="es-MX" w:eastAsia="es-MX"/>
              </w:rPr>
              <w:t>R023 </w:t>
            </w:r>
          </w:p>
        </w:tc>
      </w:tr>
      <w:tr w:rsidR="00791DAE" w:rsidRPr="00976A6A" w14:paraId="3C45E31A"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866EC95"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Información Estadística sobre Viviendas pasadas</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F8EDEA7"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Anual</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700944C"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R024</w:t>
            </w:r>
            <w:r w:rsidRPr="00220801">
              <w:rPr>
                <w:rFonts w:ascii="Arial" w:eastAsia="Times New Roman" w:hAnsi="Arial" w:cs="Arial"/>
                <w:sz w:val="18"/>
                <w:szCs w:val="18"/>
                <w:lang w:val="es-MX" w:eastAsia="es-MX"/>
              </w:rPr>
              <w:t> </w:t>
            </w:r>
          </w:p>
        </w:tc>
      </w:tr>
      <w:tr w:rsidR="00791DAE" w:rsidRPr="00976A6A" w14:paraId="337C0A24"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D9D9D9" w:themeFill="background1" w:themeFillShade="D9"/>
            <w:vAlign w:val="center"/>
          </w:tcPr>
          <w:p w14:paraId="60263ED3" w14:textId="77777777" w:rsidR="00791DAE" w:rsidRPr="00220801" w:rsidRDefault="00791DAE" w:rsidP="00DA41C8">
            <w:pPr>
              <w:spacing w:after="0" w:line="240" w:lineRule="auto"/>
              <w:ind w:right="213"/>
              <w:jc w:val="both"/>
              <w:textAlignment w:val="baseline"/>
              <w:rPr>
                <w:rFonts w:ascii="Arial" w:eastAsia="Times New Roman" w:hAnsi="Arial" w:cs="Arial"/>
                <w:sz w:val="18"/>
                <w:szCs w:val="18"/>
                <w:lang w:eastAsia="es-MX"/>
              </w:rPr>
            </w:pPr>
            <w:r w:rsidRPr="00220801">
              <w:rPr>
                <w:rFonts w:ascii="Arial" w:eastAsia="Times New Roman" w:hAnsi="Arial" w:cs="Arial"/>
                <w:sz w:val="18"/>
                <w:szCs w:val="18"/>
                <w:lang w:eastAsia="es-MX"/>
              </w:rPr>
              <w:t>Información Estadística General para Operadores que cumplen con los Supuestos C</w:t>
            </w:r>
          </w:p>
        </w:tc>
        <w:tc>
          <w:tcPr>
            <w:tcW w:w="1545" w:type="dxa"/>
            <w:tcBorders>
              <w:top w:val="single" w:sz="6" w:space="0" w:color="C0C0C0"/>
              <w:left w:val="single" w:sz="6" w:space="0" w:color="C0C0C0"/>
              <w:bottom w:val="single" w:sz="6" w:space="0" w:color="C0C0C0"/>
              <w:right w:val="single" w:sz="6" w:space="0" w:color="C0C0C0"/>
            </w:tcBorders>
            <w:shd w:val="clear" w:color="auto" w:fill="D9D9D9" w:themeFill="background1" w:themeFillShade="D9"/>
            <w:vAlign w:val="center"/>
          </w:tcPr>
          <w:p w14:paraId="36451173" w14:textId="77777777" w:rsidR="00791DAE" w:rsidRPr="00220801" w:rsidRDefault="00791DAE" w:rsidP="00DA41C8">
            <w:pPr>
              <w:spacing w:after="0" w:line="240" w:lineRule="auto"/>
              <w:jc w:val="center"/>
              <w:textAlignment w:val="baseline"/>
              <w:rPr>
                <w:rFonts w:ascii="Arial" w:eastAsia="Times New Roman" w:hAnsi="Arial" w:cs="Arial"/>
                <w:sz w:val="18"/>
                <w:szCs w:val="18"/>
                <w:lang w:eastAsia="es-MX"/>
              </w:rPr>
            </w:pPr>
            <w:r w:rsidRPr="00220801">
              <w:rPr>
                <w:rFonts w:ascii="Arial" w:eastAsia="Times New Roman" w:hAnsi="Arial" w:cs="Arial"/>
                <w:sz w:val="18"/>
                <w:szCs w:val="18"/>
                <w:lang w:eastAsia="es-MX"/>
              </w:rPr>
              <w:t>Anual</w:t>
            </w:r>
          </w:p>
        </w:tc>
        <w:tc>
          <w:tcPr>
            <w:tcW w:w="1410" w:type="dxa"/>
            <w:tcBorders>
              <w:top w:val="single" w:sz="6" w:space="0" w:color="C0C0C0"/>
              <w:left w:val="single" w:sz="6" w:space="0" w:color="C0C0C0"/>
              <w:bottom w:val="single" w:sz="6" w:space="0" w:color="C0C0C0"/>
              <w:right w:val="single" w:sz="6" w:space="0" w:color="C0C0C0"/>
            </w:tcBorders>
            <w:shd w:val="clear" w:color="auto" w:fill="D9D9D9" w:themeFill="background1" w:themeFillShade="D9"/>
            <w:vAlign w:val="center"/>
          </w:tcPr>
          <w:p w14:paraId="12BB38BB" w14:textId="77777777" w:rsidR="00791DAE" w:rsidRPr="00220801" w:rsidRDefault="00791DAE" w:rsidP="00DA41C8">
            <w:pPr>
              <w:spacing w:after="0" w:line="240" w:lineRule="auto"/>
              <w:jc w:val="center"/>
              <w:textAlignment w:val="baseline"/>
              <w:rPr>
                <w:rFonts w:ascii="Arial" w:eastAsia="Times New Roman" w:hAnsi="Arial" w:cs="Arial"/>
                <w:sz w:val="18"/>
                <w:szCs w:val="18"/>
                <w:lang w:eastAsia="es-MX"/>
              </w:rPr>
            </w:pPr>
            <w:r w:rsidRPr="00220801">
              <w:rPr>
                <w:rFonts w:ascii="Arial" w:eastAsia="Times New Roman" w:hAnsi="Arial" w:cs="Arial"/>
                <w:sz w:val="18"/>
                <w:szCs w:val="18"/>
                <w:lang w:eastAsia="es-MX"/>
              </w:rPr>
              <w:t>R025</w:t>
            </w:r>
          </w:p>
        </w:tc>
      </w:tr>
      <w:tr w:rsidR="00791DAE" w:rsidRPr="00976A6A" w14:paraId="4A4E29A1" w14:textId="77777777" w:rsidTr="00DA41C8">
        <w:tc>
          <w:tcPr>
            <w:tcW w:w="65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89DE75D" w14:textId="77777777" w:rsidR="00791DAE" w:rsidRPr="00976A6A" w:rsidRDefault="00791DAE" w:rsidP="00DA41C8">
            <w:pPr>
              <w:spacing w:after="0" w:line="240" w:lineRule="auto"/>
              <w:ind w:right="213"/>
              <w:jc w:val="both"/>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Registro de Servicios de Telecomunicaciones Comercializados </w:t>
            </w:r>
            <w:r w:rsidRPr="00220801">
              <w:rPr>
                <w:rFonts w:ascii="Arial" w:eastAsia="Times New Roman" w:hAnsi="Arial" w:cs="Arial"/>
                <w:sz w:val="18"/>
                <w:szCs w:val="18"/>
                <w:lang w:val="es-MX" w:eastAsia="es-MX"/>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CC19DEC"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Variable</w:t>
            </w:r>
            <w:r w:rsidRPr="00220801">
              <w:rPr>
                <w:rFonts w:ascii="Arial" w:eastAsia="Times New Roman" w:hAnsi="Arial" w:cs="Arial"/>
                <w:sz w:val="18"/>
                <w:szCs w:val="18"/>
                <w:lang w:val="es-MX" w:eastAsia="es-MX"/>
              </w:rPr>
              <w:t> </w:t>
            </w:r>
          </w:p>
        </w:tc>
        <w:tc>
          <w:tcPr>
            <w:tcW w:w="141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AD436FB" w14:textId="77777777" w:rsidR="00791DAE" w:rsidRPr="00976A6A" w:rsidRDefault="00791DAE" w:rsidP="00DA41C8">
            <w:pPr>
              <w:spacing w:after="0" w:line="240" w:lineRule="auto"/>
              <w:jc w:val="center"/>
              <w:textAlignment w:val="baseline"/>
              <w:rPr>
                <w:rFonts w:ascii="Segoe UI" w:eastAsia="Times New Roman" w:hAnsi="Segoe UI" w:cs="Segoe UI"/>
                <w:sz w:val="18"/>
                <w:szCs w:val="18"/>
                <w:lang w:val="es-MX" w:eastAsia="es-MX"/>
              </w:rPr>
            </w:pPr>
            <w:r w:rsidRPr="00220801">
              <w:rPr>
                <w:rFonts w:ascii="Arial" w:eastAsia="Times New Roman" w:hAnsi="Arial" w:cs="Arial"/>
                <w:sz w:val="18"/>
                <w:szCs w:val="18"/>
                <w:lang w:eastAsia="es-MX"/>
              </w:rPr>
              <w:t>R026</w:t>
            </w:r>
            <w:r w:rsidRPr="00220801">
              <w:rPr>
                <w:rFonts w:ascii="Arial" w:eastAsia="Times New Roman" w:hAnsi="Arial" w:cs="Arial"/>
                <w:sz w:val="18"/>
                <w:szCs w:val="18"/>
                <w:lang w:val="es-MX" w:eastAsia="es-MX"/>
              </w:rPr>
              <w:t> </w:t>
            </w:r>
          </w:p>
        </w:tc>
      </w:tr>
    </w:tbl>
    <w:p w14:paraId="17BD2033" w14:textId="77777777" w:rsidR="00440974" w:rsidRDefault="00440974" w:rsidP="00AE30C2">
      <w:pPr>
        <w:spacing w:after="0"/>
        <w:jc w:val="both"/>
        <w:rPr>
          <w:rFonts w:ascii="Arial" w:hAnsi="Arial" w:cs="Arial"/>
          <w:b/>
          <w:sz w:val="18"/>
          <w:szCs w:val="18"/>
        </w:rPr>
      </w:pPr>
    </w:p>
    <w:p w14:paraId="4E62D617" w14:textId="6D75DF3E" w:rsidR="00040DEF" w:rsidRPr="00040DEF" w:rsidRDefault="00414ADB" w:rsidP="00AE30C2">
      <w:pPr>
        <w:spacing w:after="0"/>
        <w:jc w:val="both"/>
        <w:rPr>
          <w:rFonts w:ascii="Arial" w:hAnsi="Arial" w:cs="Arial"/>
          <w:b/>
          <w:sz w:val="18"/>
          <w:szCs w:val="18"/>
        </w:rPr>
      </w:pPr>
      <w:r>
        <w:rPr>
          <w:rFonts w:ascii="Arial" w:hAnsi="Arial" w:cs="Arial"/>
          <w:b/>
          <w:sz w:val="18"/>
          <w:szCs w:val="18"/>
        </w:rPr>
        <w:t>Quinto. -</w:t>
      </w:r>
      <w:r w:rsidR="00040DEF">
        <w:rPr>
          <w:rFonts w:ascii="Arial" w:hAnsi="Arial" w:cs="Arial"/>
          <w:b/>
          <w:sz w:val="18"/>
          <w:szCs w:val="18"/>
        </w:rPr>
        <w:t xml:space="preserve"> </w:t>
      </w:r>
      <w:r w:rsidR="00040DEF" w:rsidRPr="00040DEF">
        <w:rPr>
          <w:rFonts w:ascii="Arial" w:hAnsi="Arial" w:cs="Arial"/>
          <w:b/>
          <w:sz w:val="18"/>
          <w:szCs w:val="18"/>
        </w:rPr>
        <w:t xml:space="preserve">Publicación de información: </w:t>
      </w:r>
      <w:r w:rsidR="00B65841" w:rsidRPr="00B65841">
        <w:rPr>
          <w:rFonts w:ascii="Arial" w:hAnsi="Arial" w:cs="Arial"/>
          <w:sz w:val="18"/>
          <w:szCs w:val="18"/>
        </w:rPr>
        <w:t>La publicación de la información que entreguen los Operadores mediante los Archivos de Presentación de los eFormatos establecidos en el Lineamiento Cuarto podrá ser:</w:t>
      </w:r>
    </w:p>
    <w:p w14:paraId="40BC0C5E" w14:textId="77777777" w:rsidR="00040DEF" w:rsidRPr="00040DEF" w:rsidRDefault="00040DEF" w:rsidP="00AE30C2">
      <w:pPr>
        <w:spacing w:after="0"/>
        <w:jc w:val="both"/>
        <w:rPr>
          <w:rFonts w:ascii="Arial" w:hAnsi="Arial" w:cs="Arial"/>
          <w:b/>
          <w:sz w:val="18"/>
          <w:szCs w:val="18"/>
        </w:rPr>
      </w:pPr>
    </w:p>
    <w:p w14:paraId="09334E17" w14:textId="1715CFE6" w:rsidR="00040DEF" w:rsidRPr="00040DEF" w:rsidRDefault="00040DEF" w:rsidP="00AE30C2">
      <w:pPr>
        <w:pStyle w:val="Prrafodelista"/>
        <w:numPr>
          <w:ilvl w:val="0"/>
          <w:numId w:val="14"/>
        </w:numPr>
        <w:spacing w:line="276" w:lineRule="auto"/>
        <w:jc w:val="both"/>
        <w:rPr>
          <w:rFonts w:cs="Arial"/>
          <w:sz w:val="18"/>
          <w:szCs w:val="18"/>
        </w:rPr>
      </w:pPr>
      <w:r w:rsidRPr="00040DEF">
        <w:rPr>
          <w:rFonts w:cs="Arial"/>
          <w:sz w:val="18"/>
          <w:szCs w:val="18"/>
        </w:rPr>
        <w:t>Publicable a nivel desagregado: Los valores de los indicadores contenidos en la información entregada por un Operador son susceptibles de publicarse con la misma desagregación con la que dicho Operador se la entrega al Instituto.</w:t>
      </w:r>
    </w:p>
    <w:p w14:paraId="104776F7" w14:textId="77777777" w:rsidR="00040DEF" w:rsidRPr="00040DEF" w:rsidRDefault="00040DEF" w:rsidP="00AE30C2">
      <w:pPr>
        <w:spacing w:after="0"/>
        <w:jc w:val="both"/>
        <w:rPr>
          <w:rFonts w:ascii="Arial" w:hAnsi="Arial" w:cs="Arial"/>
          <w:sz w:val="18"/>
          <w:szCs w:val="18"/>
        </w:rPr>
      </w:pPr>
    </w:p>
    <w:p w14:paraId="20AB9476" w14:textId="3AD57915" w:rsidR="00040DEF" w:rsidRPr="00040DEF" w:rsidRDefault="00040DEF" w:rsidP="00AE30C2">
      <w:pPr>
        <w:pStyle w:val="Prrafodelista"/>
        <w:numPr>
          <w:ilvl w:val="0"/>
          <w:numId w:val="14"/>
        </w:numPr>
        <w:spacing w:line="276" w:lineRule="auto"/>
        <w:jc w:val="both"/>
        <w:rPr>
          <w:rFonts w:cs="Arial"/>
          <w:sz w:val="18"/>
          <w:szCs w:val="18"/>
        </w:rPr>
      </w:pPr>
      <w:r w:rsidRPr="00040DEF">
        <w:rPr>
          <w:rFonts w:cs="Arial"/>
          <w:sz w:val="18"/>
          <w:szCs w:val="18"/>
        </w:rPr>
        <w:t>Publicable a nivel agregado por Operador: Los valores de los indicadores contenidos en la información entregada por un Operador son susceptibles de publicarse englobando todos los valores para cada indicador de dicho Operador.</w:t>
      </w:r>
    </w:p>
    <w:p w14:paraId="716B2537" w14:textId="77777777" w:rsidR="00040DEF" w:rsidRPr="00040DEF" w:rsidRDefault="00040DEF" w:rsidP="00AE30C2">
      <w:pPr>
        <w:spacing w:after="0"/>
        <w:jc w:val="both"/>
        <w:rPr>
          <w:rFonts w:ascii="Arial" w:hAnsi="Arial" w:cs="Arial"/>
          <w:sz w:val="18"/>
          <w:szCs w:val="18"/>
        </w:rPr>
      </w:pPr>
    </w:p>
    <w:p w14:paraId="367FB195" w14:textId="2A92DBE5" w:rsidR="00040DEF" w:rsidRPr="00040DEF" w:rsidRDefault="00040DEF" w:rsidP="00AE30C2">
      <w:pPr>
        <w:pStyle w:val="Prrafodelista"/>
        <w:numPr>
          <w:ilvl w:val="0"/>
          <w:numId w:val="14"/>
        </w:numPr>
        <w:spacing w:line="276" w:lineRule="auto"/>
        <w:jc w:val="both"/>
        <w:rPr>
          <w:rFonts w:cs="Arial"/>
          <w:sz w:val="18"/>
          <w:szCs w:val="18"/>
        </w:rPr>
      </w:pPr>
      <w:r w:rsidRPr="00040DEF">
        <w:rPr>
          <w:rFonts w:cs="Arial"/>
          <w:sz w:val="18"/>
          <w:szCs w:val="18"/>
        </w:rPr>
        <w:t>Publicable a nivel agregado por servicio: Los valores de los indicadores contenidos en la información entregada por un Operador son susceptibles de publicarse englobando todos los valores para cada indicador del conjunto de Operadores que reporten información sobre dicho servicio de telecomunicaciones.</w:t>
      </w:r>
    </w:p>
    <w:p w14:paraId="5BCC6BAE" w14:textId="77777777" w:rsidR="00040DEF" w:rsidRPr="00040DEF" w:rsidRDefault="00040DEF" w:rsidP="00AE30C2">
      <w:pPr>
        <w:spacing w:after="0"/>
        <w:jc w:val="both"/>
        <w:rPr>
          <w:rFonts w:ascii="Arial" w:hAnsi="Arial" w:cs="Arial"/>
          <w:b/>
          <w:sz w:val="18"/>
          <w:szCs w:val="18"/>
        </w:rPr>
      </w:pPr>
    </w:p>
    <w:p w14:paraId="045F64CC" w14:textId="0E63E09A" w:rsidR="00440974" w:rsidRDefault="0039731A" w:rsidP="00AE30C2">
      <w:pPr>
        <w:spacing w:after="0"/>
        <w:jc w:val="both"/>
        <w:rPr>
          <w:rFonts w:ascii="Arial" w:hAnsi="Arial" w:cs="Arial"/>
          <w:sz w:val="18"/>
          <w:szCs w:val="18"/>
        </w:rPr>
      </w:pPr>
      <w:r w:rsidRPr="0039731A">
        <w:rPr>
          <w:rFonts w:ascii="Arial" w:hAnsi="Arial" w:cs="Arial"/>
          <w:sz w:val="18"/>
          <w:szCs w:val="18"/>
        </w:rPr>
        <w:t>En la siguiente tabla se indica la forma de publicación para la información presentada que corresponde a los Archivos de Presentación de los eFormatos establecidos en el Lineamiento Cuarto de los presentes Lineamientos. La publicación de la información se realizará a través del BIT, cumpliendo los criterios de poner a disposición del público y mantener actualizadas las estadísticas del sector con la mayor desagregación posible:</w:t>
      </w:r>
    </w:p>
    <w:p w14:paraId="28AC1FEE" w14:textId="77777777" w:rsidR="00440974" w:rsidRDefault="00440974" w:rsidP="00AE30C2">
      <w:pPr>
        <w:spacing w:after="0"/>
        <w:jc w:val="both"/>
        <w:rPr>
          <w:rFonts w:ascii="Arial" w:hAnsi="Arial" w:cs="Arial"/>
          <w:sz w:val="18"/>
          <w:szCs w:val="18"/>
        </w:rPr>
      </w:pPr>
    </w:p>
    <w:p w14:paraId="663B0E52" w14:textId="5E022D6E" w:rsidR="009C2C21" w:rsidRDefault="009C2C21" w:rsidP="00AE30C2">
      <w:pPr>
        <w:spacing w:after="0"/>
        <w:jc w:val="both"/>
        <w:rPr>
          <w:rFonts w:ascii="Arial" w:hAnsi="Arial" w:cs="Arial"/>
          <w:b/>
          <w:sz w:val="18"/>
          <w:szCs w:val="18"/>
        </w:rPr>
      </w:pPr>
    </w:p>
    <w:p w14:paraId="502CDF9B" w14:textId="1495C1FC" w:rsidR="00440974" w:rsidRDefault="00440974" w:rsidP="00AE30C2">
      <w:pPr>
        <w:spacing w:after="0"/>
        <w:jc w:val="both"/>
        <w:rPr>
          <w:rFonts w:ascii="Arial" w:hAnsi="Arial" w:cs="Arial"/>
          <w:b/>
          <w:sz w:val="18"/>
          <w:szCs w:val="18"/>
        </w:rPr>
      </w:pPr>
    </w:p>
    <w:p w14:paraId="29BD25FD" w14:textId="77777777" w:rsidR="00791DAE" w:rsidRDefault="00791DAE" w:rsidP="00AE30C2">
      <w:pPr>
        <w:spacing w:after="0"/>
        <w:jc w:val="both"/>
        <w:rPr>
          <w:rFonts w:ascii="Arial" w:hAnsi="Arial" w:cs="Arial"/>
          <w:b/>
          <w:sz w:val="18"/>
          <w:szCs w:val="18"/>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400"/>
        <w:gridCol w:w="2685"/>
        <w:gridCol w:w="2550"/>
      </w:tblGrid>
      <w:tr w:rsidR="00DC7C89" w:rsidRPr="00976A6A" w14:paraId="0A61716B"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D0CECE"/>
            <w:vAlign w:val="center"/>
            <w:hideMark/>
          </w:tcPr>
          <w:p w14:paraId="62D95C23"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Código del eFormato</w:t>
            </w:r>
          </w:p>
        </w:tc>
        <w:tc>
          <w:tcPr>
            <w:tcW w:w="2400" w:type="dxa"/>
            <w:tcBorders>
              <w:top w:val="single" w:sz="6" w:space="0" w:color="BFBFBF"/>
              <w:left w:val="single" w:sz="6" w:space="0" w:color="BFBFBF"/>
              <w:bottom w:val="single" w:sz="6" w:space="0" w:color="BFBFBF"/>
              <w:right w:val="single" w:sz="6" w:space="0" w:color="BFBFBF"/>
            </w:tcBorders>
            <w:shd w:val="clear" w:color="auto" w:fill="D0CECE"/>
            <w:vAlign w:val="center"/>
            <w:hideMark/>
          </w:tcPr>
          <w:p w14:paraId="47B095F0"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Publicable a nivel desagregado</w:t>
            </w:r>
          </w:p>
        </w:tc>
        <w:tc>
          <w:tcPr>
            <w:tcW w:w="2685" w:type="dxa"/>
            <w:tcBorders>
              <w:top w:val="single" w:sz="6" w:space="0" w:color="BFBFBF"/>
              <w:left w:val="single" w:sz="6" w:space="0" w:color="BFBFBF"/>
              <w:bottom w:val="single" w:sz="6" w:space="0" w:color="BFBFBF"/>
              <w:right w:val="single" w:sz="6" w:space="0" w:color="BFBFBF"/>
            </w:tcBorders>
            <w:shd w:val="clear" w:color="auto" w:fill="D0CECE"/>
            <w:vAlign w:val="center"/>
            <w:hideMark/>
          </w:tcPr>
          <w:p w14:paraId="5C74EF41"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Publicable a nivel agregado por operador</w:t>
            </w:r>
          </w:p>
        </w:tc>
        <w:tc>
          <w:tcPr>
            <w:tcW w:w="2550" w:type="dxa"/>
            <w:tcBorders>
              <w:top w:val="single" w:sz="6" w:space="0" w:color="BFBFBF"/>
              <w:left w:val="single" w:sz="6" w:space="0" w:color="BFBFBF"/>
              <w:bottom w:val="single" w:sz="6" w:space="0" w:color="BFBFBF"/>
              <w:right w:val="single" w:sz="6" w:space="0" w:color="BFBFBF"/>
            </w:tcBorders>
            <w:shd w:val="clear" w:color="auto" w:fill="D0CECE"/>
            <w:vAlign w:val="center"/>
            <w:hideMark/>
          </w:tcPr>
          <w:p w14:paraId="0D0B6D01"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Publicable a nivel agregado por servicio</w:t>
            </w:r>
          </w:p>
        </w:tc>
      </w:tr>
      <w:tr w:rsidR="00DC7C89" w:rsidRPr="00976A6A" w14:paraId="5513577B"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748D63C"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R001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204F96C3"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R001-04 </w:t>
            </w:r>
          </w:p>
          <w:p w14:paraId="28577DF3"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R001-06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F879537"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R001-01  </w:t>
            </w:r>
          </w:p>
          <w:p w14:paraId="4F7432D3"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R001-05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7CEAC4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R001-02 </w:t>
            </w:r>
          </w:p>
          <w:p w14:paraId="0EB51C82"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R001-03 </w:t>
            </w:r>
          </w:p>
        </w:tc>
      </w:tr>
      <w:tr w:rsidR="00DC7C89" w:rsidRPr="00976A6A" w14:paraId="5FE21E7A"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20FE29F"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R002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675DEE8"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R002-03 </w:t>
            </w:r>
          </w:p>
          <w:p w14:paraId="42F52866"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R002-04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21B9AC9"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R002-01 </w:t>
            </w:r>
          </w:p>
          <w:p w14:paraId="080DE0AC"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R002-05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770DD2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R002-02 </w:t>
            </w:r>
          </w:p>
        </w:tc>
      </w:tr>
      <w:tr w:rsidR="00DC7C89" w:rsidRPr="00976A6A" w14:paraId="3D114D61"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00B81653"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shd w:val="clear" w:color="auto" w:fill="E6E6E6"/>
                <w:lang w:val="es-MX" w:eastAsia="es-MX"/>
              </w:rPr>
              <w:t>R003</w:t>
            </w:r>
            <w:r w:rsidRPr="00C03BBA">
              <w:rPr>
                <w:rFonts w:ascii="Arial" w:eastAsia="Times New Roman" w:hAnsi="Arial" w:cs="Arial"/>
                <w:b/>
                <w:sz w:val="18"/>
                <w:szCs w:val="18"/>
                <w:lang w:val="es-MX" w:eastAsia="es-MX"/>
              </w:rPr>
              <w:t>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13D2620"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R003-01 </w:t>
            </w:r>
          </w:p>
          <w:p w14:paraId="11EC6768"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R003-02 </w:t>
            </w:r>
          </w:p>
          <w:p w14:paraId="3547AE3A"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R003-03 </w:t>
            </w:r>
          </w:p>
          <w:p w14:paraId="19F3B410"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R003-04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54F827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R003-05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64E1891"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tc>
      </w:tr>
      <w:tr w:rsidR="00DC7C89" w:rsidRPr="00976A6A" w14:paraId="7424D0B5"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D2442C"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R004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C8E4632"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R004-02 </w:t>
            </w:r>
          </w:p>
          <w:p w14:paraId="6927A974"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R004-03 </w:t>
            </w:r>
          </w:p>
          <w:p w14:paraId="319CB74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R004-04 </w:t>
            </w:r>
          </w:p>
          <w:p w14:paraId="64312850"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R004-05 </w:t>
            </w:r>
          </w:p>
          <w:p w14:paraId="4CE4845D"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R004-07 </w:t>
            </w:r>
          </w:p>
          <w:p w14:paraId="75B6D4ED"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R004-08 </w:t>
            </w:r>
          </w:p>
          <w:p w14:paraId="02136C95"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R004-10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393392"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7C3EA9"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R004-01 </w:t>
            </w:r>
          </w:p>
          <w:p w14:paraId="407CA2F9"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R004-06 </w:t>
            </w:r>
          </w:p>
          <w:p w14:paraId="08851289"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R004-09 </w:t>
            </w:r>
          </w:p>
        </w:tc>
      </w:tr>
      <w:tr w:rsidR="00DC7C89" w:rsidRPr="00976A6A" w14:paraId="67DE88B4"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3679FC6"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R005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96937A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R005-01 </w:t>
            </w:r>
          </w:p>
          <w:p w14:paraId="548A1CB9"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R005-02 </w:t>
            </w:r>
          </w:p>
          <w:p w14:paraId="517CD1A1"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R005-03 </w:t>
            </w:r>
          </w:p>
          <w:p w14:paraId="3C82E0F5"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R005-04 </w:t>
            </w:r>
          </w:p>
          <w:p w14:paraId="03FCFE2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R005-05 </w:t>
            </w:r>
          </w:p>
          <w:p w14:paraId="1BB00920"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R005-06 </w:t>
            </w:r>
          </w:p>
          <w:p w14:paraId="4B5ABF01"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R005-07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35E73E9"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099196BA"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p w14:paraId="31501265"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R005-08 </w:t>
            </w:r>
          </w:p>
        </w:tc>
      </w:tr>
      <w:tr w:rsidR="00DC7C89" w:rsidRPr="00976A6A" w14:paraId="1D2FF533"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F2F3D53"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R006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250947C"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R006-01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85D3223"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A59416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tc>
      </w:tr>
      <w:tr w:rsidR="00DC7C89" w:rsidRPr="00976A6A" w14:paraId="2BB4150C"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3DE7001"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R007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177BC556"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R007-01 </w:t>
            </w:r>
          </w:p>
          <w:p w14:paraId="024E2819"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R007-02 </w:t>
            </w:r>
          </w:p>
          <w:p w14:paraId="0B64EEDF"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R007-03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A2CA5CD"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DE16A33"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 </w:t>
            </w:r>
          </w:p>
        </w:tc>
      </w:tr>
      <w:tr w:rsidR="00DC7C89" w:rsidRPr="00976A6A" w14:paraId="46BCC5CA"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6984421" w14:textId="77777777" w:rsidR="00DC7C89" w:rsidRPr="00C03BBA" w:rsidRDefault="00DC7C89" w:rsidP="00DA41C8">
            <w:pPr>
              <w:spacing w:after="0" w:line="240" w:lineRule="auto"/>
              <w:jc w:val="center"/>
              <w:textAlignment w:val="baseline"/>
              <w:rPr>
                <w:rFonts w:ascii="Arial" w:eastAsia="Times New Roman" w:hAnsi="Arial" w:cs="Arial"/>
                <w:b/>
                <w:sz w:val="18"/>
                <w:szCs w:val="18"/>
                <w:lang w:val="es-MX" w:eastAsia="es-MX"/>
              </w:rPr>
            </w:pPr>
            <w:r w:rsidRPr="00C03BBA">
              <w:rPr>
                <w:rFonts w:ascii="Arial" w:eastAsia="Times New Roman" w:hAnsi="Arial" w:cs="Arial"/>
                <w:b/>
                <w:sz w:val="18"/>
                <w:szCs w:val="18"/>
                <w:lang w:val="es-MX" w:eastAsia="es-MX"/>
              </w:rPr>
              <w:t>R008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A7A6681" w14:textId="77777777" w:rsidR="00DC7C89" w:rsidRPr="00C03BBA" w:rsidRDefault="00DC7C89" w:rsidP="00DA41C8">
            <w:pPr>
              <w:spacing w:after="0" w:line="240" w:lineRule="auto"/>
              <w:jc w:val="center"/>
              <w:textAlignment w:val="baseline"/>
              <w:rPr>
                <w:rFonts w:ascii="Arial" w:eastAsia="Times New Roman" w:hAnsi="Arial" w:cs="Arial"/>
                <w:sz w:val="18"/>
                <w:szCs w:val="18"/>
                <w:lang w:val="es-MX" w:eastAsia="es-MX"/>
              </w:rPr>
            </w:pPr>
            <w:r w:rsidRPr="00C03BBA">
              <w:rPr>
                <w:rFonts w:ascii="Arial" w:eastAsia="Times New Roman" w:hAnsi="Arial" w:cs="Arial"/>
                <w:sz w:val="18"/>
                <w:szCs w:val="18"/>
                <w:lang w:val="es-MX" w:eastAsia="es-MX"/>
              </w:rPr>
              <w:t>R008-01 </w:t>
            </w:r>
          </w:p>
          <w:p w14:paraId="14BB2567"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R008-02 </w:t>
            </w:r>
          </w:p>
          <w:p w14:paraId="6A969F48"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R008-03 </w:t>
            </w:r>
          </w:p>
          <w:p w14:paraId="2F697635"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R008-04 </w:t>
            </w:r>
          </w:p>
          <w:p w14:paraId="7BE89C0D"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R008-05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5B7A5E5"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1640FBF"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r>
      <w:tr w:rsidR="00DC7C89" w:rsidRPr="00976A6A" w14:paraId="45295D43"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2FCA116" w14:textId="77777777" w:rsidR="00DC7C89" w:rsidRPr="003A6FD5" w:rsidRDefault="00DC7C89" w:rsidP="00DA41C8">
            <w:pPr>
              <w:spacing w:after="0" w:line="240" w:lineRule="auto"/>
              <w:jc w:val="center"/>
              <w:textAlignment w:val="baseline"/>
              <w:rPr>
                <w:rFonts w:ascii="Arial" w:eastAsia="Times New Roman" w:hAnsi="Arial" w:cs="Arial"/>
                <w:b/>
                <w:sz w:val="18"/>
                <w:szCs w:val="18"/>
                <w:lang w:val="es-MX" w:eastAsia="es-MX"/>
              </w:rPr>
            </w:pPr>
            <w:r w:rsidRPr="003A6FD5">
              <w:rPr>
                <w:rFonts w:ascii="Arial" w:eastAsia="Times New Roman" w:hAnsi="Arial" w:cs="Arial"/>
                <w:b/>
                <w:sz w:val="18"/>
                <w:szCs w:val="18"/>
                <w:lang w:val="es-MX" w:eastAsia="es-MX"/>
              </w:rPr>
              <w:t>R009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0BCA681"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R009-01 </w:t>
            </w:r>
          </w:p>
          <w:p w14:paraId="204C70B7"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R009-02 </w:t>
            </w:r>
          </w:p>
          <w:p w14:paraId="2F8CEBC2"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R009-03 </w:t>
            </w:r>
          </w:p>
          <w:p w14:paraId="4C3D2BB2"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R009-04 </w:t>
            </w:r>
          </w:p>
          <w:p w14:paraId="61C22AAC"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R009-05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0EBEE9C"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262DC69E"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R009-06 </w:t>
            </w:r>
          </w:p>
        </w:tc>
      </w:tr>
      <w:tr w:rsidR="00DC7C89" w:rsidRPr="00976A6A" w14:paraId="54855AE7"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EEBA037" w14:textId="77777777" w:rsidR="00DC7C89" w:rsidRPr="003A6FD5" w:rsidRDefault="00DC7C89" w:rsidP="00DA41C8">
            <w:pPr>
              <w:spacing w:after="0" w:line="240" w:lineRule="auto"/>
              <w:jc w:val="center"/>
              <w:textAlignment w:val="baseline"/>
              <w:rPr>
                <w:rFonts w:ascii="Arial" w:eastAsia="Times New Roman" w:hAnsi="Arial" w:cs="Arial"/>
                <w:b/>
                <w:sz w:val="18"/>
                <w:szCs w:val="18"/>
                <w:lang w:val="es-MX" w:eastAsia="es-MX"/>
              </w:rPr>
            </w:pPr>
            <w:r w:rsidRPr="003A6FD5">
              <w:rPr>
                <w:rFonts w:ascii="Arial" w:eastAsia="Times New Roman" w:hAnsi="Arial" w:cs="Arial"/>
                <w:b/>
                <w:sz w:val="18"/>
                <w:szCs w:val="18"/>
                <w:lang w:val="es-MX" w:eastAsia="es-MX"/>
              </w:rPr>
              <w:t>R010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6E45C2"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R010-01 </w:t>
            </w:r>
          </w:p>
          <w:p w14:paraId="7176ECE7"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R010-02 </w:t>
            </w:r>
          </w:p>
          <w:p w14:paraId="7A6B5A6B"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R010-03 </w:t>
            </w:r>
          </w:p>
          <w:p w14:paraId="0378A87F"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R010-04 </w:t>
            </w:r>
          </w:p>
          <w:p w14:paraId="46E4B9B9"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R010-05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B5C0C7"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AB17294"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r>
      <w:tr w:rsidR="00DC7C89" w:rsidRPr="00976A6A" w14:paraId="5D5410A6"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1AFD202B" w14:textId="77777777" w:rsidR="00DC7C89" w:rsidRPr="003A6FD5" w:rsidRDefault="00DC7C89" w:rsidP="00DA41C8">
            <w:pPr>
              <w:spacing w:after="0" w:line="240" w:lineRule="auto"/>
              <w:jc w:val="center"/>
              <w:textAlignment w:val="baseline"/>
              <w:rPr>
                <w:rFonts w:ascii="Arial" w:eastAsia="Times New Roman" w:hAnsi="Arial" w:cs="Arial"/>
                <w:b/>
                <w:sz w:val="18"/>
                <w:szCs w:val="18"/>
                <w:lang w:val="es-MX" w:eastAsia="es-MX"/>
              </w:rPr>
            </w:pPr>
            <w:r w:rsidRPr="003A6FD5">
              <w:rPr>
                <w:rFonts w:ascii="Arial" w:eastAsia="Times New Roman" w:hAnsi="Arial" w:cs="Arial"/>
                <w:b/>
                <w:sz w:val="18"/>
                <w:szCs w:val="18"/>
                <w:lang w:val="es-MX" w:eastAsia="es-MX"/>
              </w:rPr>
              <w:t>R011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BC7D9B3"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R011-01 </w:t>
            </w:r>
          </w:p>
          <w:p w14:paraId="3CF79E31"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R011-02 </w:t>
            </w:r>
          </w:p>
          <w:p w14:paraId="027C8284"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R011-03 </w:t>
            </w:r>
          </w:p>
          <w:p w14:paraId="7DA7A4B7"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R011-04 </w:t>
            </w:r>
          </w:p>
          <w:p w14:paraId="23670B7A"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R011-05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3300FA0"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25D451D5"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r>
      <w:tr w:rsidR="00DC7C89" w:rsidRPr="00976A6A" w14:paraId="2E90E6A8"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D0F99F3" w14:textId="77777777" w:rsidR="00DC7C89" w:rsidRPr="003A6FD5" w:rsidRDefault="00DC7C89" w:rsidP="00DA41C8">
            <w:pPr>
              <w:spacing w:after="0" w:line="240" w:lineRule="auto"/>
              <w:jc w:val="center"/>
              <w:textAlignment w:val="baseline"/>
              <w:rPr>
                <w:rFonts w:ascii="Arial" w:eastAsia="Times New Roman" w:hAnsi="Arial" w:cs="Arial"/>
                <w:b/>
                <w:sz w:val="18"/>
                <w:szCs w:val="18"/>
                <w:lang w:val="es-MX" w:eastAsia="es-MX"/>
              </w:rPr>
            </w:pPr>
            <w:r w:rsidRPr="003A6FD5">
              <w:rPr>
                <w:rFonts w:ascii="Arial" w:eastAsia="Times New Roman" w:hAnsi="Arial" w:cs="Arial"/>
                <w:b/>
                <w:sz w:val="18"/>
                <w:szCs w:val="18"/>
                <w:lang w:val="es-MX" w:eastAsia="es-MX"/>
              </w:rPr>
              <w:t>R012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A9203D3"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R012-01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EA99BEE"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BCFD0FA"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r>
      <w:tr w:rsidR="00DC7C89" w:rsidRPr="00976A6A" w14:paraId="1A4AF5FB"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07ED7AB9" w14:textId="77777777" w:rsidR="00DC7C89" w:rsidRPr="003A6FD5" w:rsidRDefault="00DC7C89" w:rsidP="00DA41C8">
            <w:pPr>
              <w:spacing w:after="0" w:line="240" w:lineRule="auto"/>
              <w:jc w:val="center"/>
              <w:textAlignment w:val="baseline"/>
              <w:rPr>
                <w:rFonts w:ascii="Arial" w:eastAsia="Times New Roman" w:hAnsi="Arial" w:cs="Arial"/>
                <w:b/>
                <w:sz w:val="18"/>
                <w:szCs w:val="18"/>
                <w:lang w:val="es-MX" w:eastAsia="es-MX"/>
              </w:rPr>
            </w:pPr>
            <w:r w:rsidRPr="003A6FD5">
              <w:rPr>
                <w:rFonts w:ascii="Arial" w:eastAsia="Times New Roman" w:hAnsi="Arial" w:cs="Arial"/>
                <w:b/>
                <w:sz w:val="18"/>
                <w:szCs w:val="18"/>
                <w:lang w:val="es-MX" w:eastAsia="es-MX"/>
              </w:rPr>
              <w:t>R013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C89CDD2"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R013-0</w:t>
            </w:r>
            <w:r>
              <w:rPr>
                <w:rFonts w:ascii="Arial" w:eastAsia="Times New Roman" w:hAnsi="Arial" w:cs="Arial"/>
                <w:sz w:val="18"/>
                <w:szCs w:val="18"/>
                <w:lang w:val="es-MX" w:eastAsia="es-MX"/>
              </w:rPr>
              <w:t>2</w:t>
            </w:r>
            <w:r w:rsidRPr="003A6FD5">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0DA9B720"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R013-01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2E30531"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r>
      <w:tr w:rsidR="00DC7C89" w:rsidRPr="00976A6A" w14:paraId="7DCCB03B"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8CB551B" w14:textId="77777777" w:rsidR="00DC7C89" w:rsidRPr="003A6FD5" w:rsidRDefault="00DC7C89" w:rsidP="00DA41C8">
            <w:pPr>
              <w:spacing w:after="0" w:line="240" w:lineRule="auto"/>
              <w:jc w:val="center"/>
              <w:textAlignment w:val="baseline"/>
              <w:rPr>
                <w:rFonts w:ascii="Arial" w:eastAsia="Times New Roman" w:hAnsi="Arial" w:cs="Arial"/>
                <w:b/>
                <w:sz w:val="18"/>
                <w:szCs w:val="18"/>
                <w:lang w:val="es-MX" w:eastAsia="es-MX"/>
              </w:rPr>
            </w:pPr>
            <w:r w:rsidRPr="003A6FD5">
              <w:rPr>
                <w:rFonts w:ascii="Arial" w:eastAsia="Times New Roman" w:hAnsi="Arial" w:cs="Arial"/>
                <w:b/>
                <w:sz w:val="18"/>
                <w:szCs w:val="18"/>
                <w:lang w:val="es-MX" w:eastAsia="es-MX"/>
              </w:rPr>
              <w:t>R014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B8CCC1E" w14:textId="77777777" w:rsidR="00DC7C89" w:rsidRPr="003A6FD5"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37F768A"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3A6FD5">
              <w:rPr>
                <w:rFonts w:ascii="Arial" w:eastAsia="Times New Roman" w:hAnsi="Arial" w:cs="Arial"/>
                <w:sz w:val="18"/>
                <w:szCs w:val="18"/>
                <w:lang w:val="es-MX" w:eastAsia="es-MX"/>
              </w:rPr>
              <w:t>R014-01 </w:t>
            </w:r>
          </w:p>
          <w:p w14:paraId="6BF3453A"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R014-02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EB3ABA4"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r>
      <w:tr w:rsidR="00DC7C89" w:rsidRPr="00976A6A" w14:paraId="7E4372AB"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091B8CD"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R015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616B6391"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6FD79C5F"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D96DB87"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R015-01 </w:t>
            </w:r>
          </w:p>
          <w:p w14:paraId="5F709CFD"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R015-02 </w:t>
            </w:r>
          </w:p>
        </w:tc>
      </w:tr>
      <w:tr w:rsidR="00DC7C89" w:rsidRPr="00976A6A" w14:paraId="240B5F98"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C930560"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lastRenderedPageBreak/>
              <w:t>R016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F422C70"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8AF8235"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022E39A"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R016-01 </w:t>
            </w:r>
          </w:p>
          <w:p w14:paraId="75825532"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R016-02 </w:t>
            </w:r>
          </w:p>
        </w:tc>
      </w:tr>
      <w:tr w:rsidR="00DC7C89" w:rsidRPr="00976A6A" w14:paraId="644C7EB3"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635F0A95"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R017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025D117"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5D34CD3"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263722F4"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R017-01 </w:t>
            </w:r>
          </w:p>
          <w:p w14:paraId="2C44BE7D"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R017-02 </w:t>
            </w:r>
          </w:p>
        </w:tc>
      </w:tr>
      <w:tr w:rsidR="00DC7C89" w:rsidRPr="00976A6A" w14:paraId="2FD036B9"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A58931"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R018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A8D19C9"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222E699"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FF5465B"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R018-01 </w:t>
            </w:r>
          </w:p>
          <w:p w14:paraId="7F991BE6"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R018-02 </w:t>
            </w:r>
          </w:p>
        </w:tc>
      </w:tr>
      <w:tr w:rsidR="00DC7C89" w:rsidRPr="00976A6A" w14:paraId="507F330B"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61D02DE6"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R019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0A7DB077"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12E78BE4"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7EE6851"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R019-01 </w:t>
            </w:r>
          </w:p>
          <w:p w14:paraId="7024D7FF"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R019-02 </w:t>
            </w:r>
          </w:p>
        </w:tc>
      </w:tr>
      <w:tr w:rsidR="00DC7C89" w:rsidRPr="00976A6A" w14:paraId="5E493280"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D60BEE"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R020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094889F"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D4A0977"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C59DB92"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R020-01 </w:t>
            </w:r>
          </w:p>
        </w:tc>
      </w:tr>
      <w:tr w:rsidR="00DC7C89" w:rsidRPr="00976A6A" w14:paraId="199CDF08"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92336C3"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R021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16F89DA6"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AC4B5BB"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77CAB43"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R021-01 </w:t>
            </w:r>
          </w:p>
          <w:p w14:paraId="14C30B80"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R021-02 </w:t>
            </w:r>
          </w:p>
        </w:tc>
      </w:tr>
      <w:tr w:rsidR="00DC7C89" w:rsidRPr="00976A6A" w14:paraId="3CB69CA5"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224EBDB"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R022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790201"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64ECB36"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7D6B136"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R022-01 </w:t>
            </w:r>
          </w:p>
          <w:p w14:paraId="525908E2"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R022-02 </w:t>
            </w:r>
          </w:p>
        </w:tc>
      </w:tr>
      <w:tr w:rsidR="00DC7C89" w:rsidRPr="00976A6A" w14:paraId="78406FFB"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4A437EA"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R023 </w:t>
            </w:r>
          </w:p>
        </w:tc>
        <w:tc>
          <w:tcPr>
            <w:tcW w:w="240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6B01DAE8"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685"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137DA63"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16C1D538"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R023-01 </w:t>
            </w:r>
          </w:p>
          <w:p w14:paraId="251D833D"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R023-02 </w:t>
            </w:r>
          </w:p>
        </w:tc>
      </w:tr>
      <w:tr w:rsidR="00DC7C89" w:rsidRPr="00976A6A" w14:paraId="2F3CCA39"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14F28F"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R024 </w:t>
            </w:r>
          </w:p>
        </w:tc>
        <w:tc>
          <w:tcPr>
            <w:tcW w:w="24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AA33E3"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R024-01 </w:t>
            </w:r>
          </w:p>
        </w:tc>
        <w:tc>
          <w:tcPr>
            <w:tcW w:w="26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5956070"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c>
          <w:tcPr>
            <w:tcW w:w="25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A15B6B"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 </w:t>
            </w:r>
          </w:p>
        </w:tc>
      </w:tr>
      <w:tr w:rsidR="00DC7C89" w:rsidRPr="00976A6A" w14:paraId="4F79A6CD" w14:textId="77777777" w:rsidTr="00DC7C89">
        <w:trPr>
          <w:trHeight w:val="300"/>
        </w:trPr>
        <w:tc>
          <w:tcPr>
            <w:tcW w:w="1695"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4A26C8F2" w14:textId="77777777" w:rsidR="00DC7C89" w:rsidRPr="009E02BC" w:rsidRDefault="00DC7C89" w:rsidP="00DA41C8">
            <w:pPr>
              <w:spacing w:after="0" w:line="240" w:lineRule="auto"/>
              <w:jc w:val="center"/>
              <w:textAlignment w:val="baseline"/>
              <w:rPr>
                <w:rFonts w:ascii="Arial" w:eastAsia="Times New Roman" w:hAnsi="Arial" w:cs="Arial"/>
                <w:b/>
                <w:sz w:val="18"/>
                <w:szCs w:val="18"/>
                <w:lang w:val="es-MX" w:eastAsia="es-MX"/>
              </w:rPr>
            </w:pPr>
            <w:r w:rsidRPr="009E02BC">
              <w:rPr>
                <w:rFonts w:ascii="Arial" w:eastAsia="Times New Roman" w:hAnsi="Arial" w:cs="Arial"/>
                <w:b/>
                <w:sz w:val="18"/>
                <w:szCs w:val="18"/>
                <w:lang w:val="es-MX" w:eastAsia="es-MX"/>
              </w:rPr>
              <w:t>R025</w:t>
            </w:r>
          </w:p>
        </w:tc>
        <w:tc>
          <w:tcPr>
            <w:tcW w:w="240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4CF7B664"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r w:rsidRPr="009E02BC">
              <w:rPr>
                <w:rFonts w:ascii="Arial" w:eastAsia="Times New Roman" w:hAnsi="Arial" w:cs="Arial"/>
                <w:sz w:val="18"/>
                <w:szCs w:val="18"/>
                <w:lang w:val="es-MX" w:eastAsia="es-MX"/>
              </w:rPr>
              <w:t>R025-01</w:t>
            </w:r>
          </w:p>
        </w:tc>
        <w:tc>
          <w:tcPr>
            <w:tcW w:w="2685"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61D094C"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p>
        </w:tc>
        <w:tc>
          <w:tcPr>
            <w:tcW w:w="25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32FA82D3" w14:textId="77777777" w:rsidR="00DC7C89" w:rsidRPr="009E02BC" w:rsidRDefault="00DC7C89" w:rsidP="00DA41C8">
            <w:pPr>
              <w:spacing w:after="0" w:line="240" w:lineRule="auto"/>
              <w:jc w:val="center"/>
              <w:textAlignment w:val="baseline"/>
              <w:rPr>
                <w:rFonts w:ascii="Arial" w:eastAsia="Times New Roman" w:hAnsi="Arial" w:cs="Arial"/>
                <w:sz w:val="18"/>
                <w:szCs w:val="18"/>
                <w:lang w:val="es-MX" w:eastAsia="es-MX"/>
              </w:rPr>
            </w:pPr>
          </w:p>
        </w:tc>
      </w:tr>
    </w:tbl>
    <w:p w14:paraId="46A7AC40" w14:textId="77777777" w:rsidR="00976A6A" w:rsidRDefault="00976A6A" w:rsidP="00AE30C2">
      <w:pPr>
        <w:spacing w:after="0"/>
        <w:jc w:val="both"/>
        <w:rPr>
          <w:rFonts w:ascii="Arial" w:hAnsi="Arial" w:cs="Arial"/>
          <w:b/>
          <w:sz w:val="18"/>
          <w:szCs w:val="18"/>
        </w:rPr>
      </w:pPr>
    </w:p>
    <w:p w14:paraId="56A1A0C6" w14:textId="20D57799" w:rsidR="008F7680" w:rsidRDefault="00414ADB" w:rsidP="00AE30C2">
      <w:pPr>
        <w:spacing w:after="0"/>
        <w:jc w:val="both"/>
        <w:rPr>
          <w:rFonts w:ascii="Arial" w:hAnsi="Arial" w:cs="Arial"/>
          <w:b/>
          <w:sz w:val="18"/>
          <w:szCs w:val="18"/>
        </w:rPr>
      </w:pPr>
      <w:r>
        <w:rPr>
          <w:rFonts w:ascii="Arial" w:hAnsi="Arial" w:cs="Arial"/>
          <w:b/>
          <w:sz w:val="18"/>
          <w:szCs w:val="18"/>
        </w:rPr>
        <w:t>Sexto. -</w:t>
      </w:r>
      <w:r w:rsidR="003637BB" w:rsidRPr="003637BB">
        <w:t xml:space="preserve"> </w:t>
      </w:r>
      <w:r w:rsidR="003637BB" w:rsidRPr="003637BB">
        <w:rPr>
          <w:rFonts w:ascii="Arial" w:hAnsi="Arial" w:cs="Arial"/>
          <w:b/>
          <w:sz w:val="18"/>
          <w:szCs w:val="18"/>
        </w:rPr>
        <w:t xml:space="preserve">Unificación de la información para un mismo Operador. </w:t>
      </w:r>
      <w:r w:rsidR="0039731A" w:rsidRPr="0039731A">
        <w:rPr>
          <w:rFonts w:ascii="Arial" w:hAnsi="Arial" w:cs="Arial"/>
          <w:sz w:val="18"/>
          <w:szCs w:val="18"/>
        </w:rPr>
        <w:t>La información que se requiere en los eFormatos establecidos en los presentes Lineamientos deberá ser proporcionada a nivel Operador integrando en su caso, en un mismo eFormato toda la información estadística requerida. Esto implica que, independientemente del número de concesiones, permisos y autorizaciones que una misma persona física o moral pudiera tener para comercializar o proveer los servicios de telecomunicaciones que preste, deberá entregar, por periodo, y por una sola vez cada eFormato que le corresponda, integrando en el mismo, la información requerida de todas y cada una de sus concesiones, permisos, autorizaciones y asignaciones.</w:t>
      </w:r>
    </w:p>
    <w:p w14:paraId="59D36A03" w14:textId="1E96CE2F" w:rsidR="008F7680" w:rsidRDefault="008F7680" w:rsidP="00AE30C2">
      <w:pPr>
        <w:spacing w:after="0"/>
        <w:jc w:val="both"/>
        <w:rPr>
          <w:rFonts w:ascii="Arial" w:hAnsi="Arial" w:cs="Arial"/>
          <w:b/>
          <w:sz w:val="18"/>
          <w:szCs w:val="18"/>
        </w:rPr>
      </w:pPr>
    </w:p>
    <w:p w14:paraId="1A70936E" w14:textId="7ACDBBDA" w:rsidR="008F7680" w:rsidRDefault="00414ADB" w:rsidP="00AE30C2">
      <w:pPr>
        <w:spacing w:after="0"/>
        <w:jc w:val="both"/>
        <w:rPr>
          <w:rFonts w:ascii="Arial" w:hAnsi="Arial" w:cs="Arial"/>
          <w:b/>
          <w:sz w:val="18"/>
          <w:szCs w:val="18"/>
        </w:rPr>
      </w:pPr>
      <w:r>
        <w:rPr>
          <w:rFonts w:ascii="Arial" w:hAnsi="Arial" w:cs="Arial"/>
          <w:b/>
          <w:sz w:val="18"/>
          <w:szCs w:val="18"/>
        </w:rPr>
        <w:t>Séptimo. -</w:t>
      </w:r>
      <w:r w:rsidR="003637BB">
        <w:rPr>
          <w:rFonts w:ascii="Arial" w:hAnsi="Arial" w:cs="Arial"/>
          <w:b/>
          <w:sz w:val="18"/>
          <w:szCs w:val="18"/>
        </w:rPr>
        <w:t xml:space="preserve"> </w:t>
      </w:r>
      <w:r w:rsidR="003637BB" w:rsidRPr="003637BB">
        <w:rPr>
          <w:rFonts w:ascii="Arial" w:hAnsi="Arial" w:cs="Arial"/>
          <w:b/>
          <w:sz w:val="18"/>
          <w:szCs w:val="18"/>
        </w:rPr>
        <w:t xml:space="preserve">Medio de contacto. </w:t>
      </w:r>
      <w:r w:rsidR="0039731A" w:rsidRPr="0039731A">
        <w:rPr>
          <w:rFonts w:ascii="Arial" w:hAnsi="Arial" w:cs="Arial"/>
          <w:sz w:val="18"/>
          <w:szCs w:val="18"/>
        </w:rPr>
        <w:t>Las consultas o aclaraciones relativas a los presentes Lineamientos podrán realizarse vía correo electrónico a la siguiente dirección:</w:t>
      </w:r>
      <w:r w:rsidR="0039731A" w:rsidRPr="0039731A">
        <w:rPr>
          <w:rFonts w:ascii="Arial" w:hAnsi="Arial" w:cs="Arial"/>
          <w:sz w:val="18"/>
          <w:szCs w:val="18"/>
          <w:u w:val="single"/>
        </w:rPr>
        <w:t xml:space="preserve"> estadistica@ift.org.mx</w:t>
      </w:r>
    </w:p>
    <w:p w14:paraId="5AA7326C" w14:textId="5B463A91" w:rsidR="008F7680" w:rsidRDefault="008F7680" w:rsidP="00AE30C2">
      <w:pPr>
        <w:spacing w:after="0"/>
        <w:jc w:val="both"/>
        <w:rPr>
          <w:rFonts w:ascii="Arial" w:hAnsi="Arial" w:cs="Arial"/>
          <w:b/>
          <w:sz w:val="18"/>
          <w:szCs w:val="18"/>
        </w:rPr>
      </w:pPr>
    </w:p>
    <w:p w14:paraId="23F90438" w14:textId="2E53B608" w:rsidR="00040DEF" w:rsidRDefault="00040DEF" w:rsidP="00AE30C2">
      <w:pPr>
        <w:spacing w:after="0"/>
        <w:jc w:val="center"/>
        <w:rPr>
          <w:rFonts w:ascii="Arial" w:hAnsi="Arial" w:cs="Arial"/>
          <w:b/>
          <w:sz w:val="18"/>
          <w:szCs w:val="18"/>
        </w:rPr>
      </w:pPr>
      <w:r>
        <w:rPr>
          <w:rFonts w:ascii="Arial" w:hAnsi="Arial" w:cs="Arial"/>
          <w:b/>
          <w:sz w:val="18"/>
          <w:szCs w:val="18"/>
        </w:rPr>
        <w:t>Capítulo II</w:t>
      </w:r>
    </w:p>
    <w:p w14:paraId="5C7B2B58" w14:textId="27FF0122" w:rsidR="00040DEF" w:rsidRDefault="00040DEF" w:rsidP="00AE30C2">
      <w:pPr>
        <w:spacing w:after="0"/>
        <w:jc w:val="center"/>
        <w:rPr>
          <w:rFonts w:ascii="Arial" w:hAnsi="Arial" w:cs="Arial"/>
          <w:b/>
          <w:sz w:val="18"/>
          <w:szCs w:val="18"/>
        </w:rPr>
      </w:pPr>
      <w:r>
        <w:rPr>
          <w:rFonts w:ascii="Arial" w:hAnsi="Arial" w:cs="Arial"/>
          <w:b/>
          <w:sz w:val="18"/>
          <w:szCs w:val="18"/>
        </w:rPr>
        <w:t>Del Registro de Servicios de Telecomunicaciones Comercializados</w:t>
      </w:r>
    </w:p>
    <w:p w14:paraId="7CDB35C9" w14:textId="77777777" w:rsidR="003637BB" w:rsidRDefault="003637BB" w:rsidP="00AE30C2">
      <w:pPr>
        <w:spacing w:after="0"/>
        <w:jc w:val="center"/>
        <w:rPr>
          <w:rFonts w:ascii="Arial" w:hAnsi="Arial" w:cs="Arial"/>
          <w:b/>
          <w:sz w:val="18"/>
          <w:szCs w:val="18"/>
        </w:rPr>
      </w:pPr>
    </w:p>
    <w:p w14:paraId="3041A4A5" w14:textId="0BB3CC8D" w:rsidR="008F7680" w:rsidRDefault="00414ADB" w:rsidP="00AE30C2">
      <w:pPr>
        <w:spacing w:after="0"/>
        <w:jc w:val="both"/>
        <w:rPr>
          <w:rFonts w:ascii="Arial" w:hAnsi="Arial" w:cs="Arial"/>
          <w:b/>
          <w:sz w:val="18"/>
          <w:szCs w:val="18"/>
        </w:rPr>
      </w:pPr>
      <w:r>
        <w:rPr>
          <w:rFonts w:ascii="Arial" w:hAnsi="Arial" w:cs="Arial"/>
          <w:b/>
          <w:sz w:val="18"/>
          <w:szCs w:val="18"/>
        </w:rPr>
        <w:t>Octavo. -</w:t>
      </w:r>
      <w:r w:rsidR="003637BB">
        <w:rPr>
          <w:rFonts w:ascii="Arial" w:hAnsi="Arial" w:cs="Arial"/>
          <w:b/>
          <w:sz w:val="18"/>
          <w:szCs w:val="18"/>
        </w:rPr>
        <w:t xml:space="preserve"> </w:t>
      </w:r>
      <w:r w:rsidR="003637BB" w:rsidRPr="003637BB">
        <w:rPr>
          <w:rFonts w:ascii="Arial" w:hAnsi="Arial" w:cs="Arial"/>
          <w:b/>
          <w:sz w:val="18"/>
          <w:szCs w:val="18"/>
        </w:rPr>
        <w:t>Registro de Servicios de Telecomunicaciones Comercializados.</w:t>
      </w:r>
      <w:r w:rsidR="0039731A">
        <w:rPr>
          <w:rFonts w:ascii="Arial" w:hAnsi="Arial" w:cs="Arial"/>
          <w:b/>
          <w:sz w:val="18"/>
          <w:szCs w:val="18"/>
        </w:rPr>
        <w:t xml:space="preserve"> </w:t>
      </w:r>
      <w:r w:rsidR="0039731A" w:rsidRPr="0039731A">
        <w:rPr>
          <w:rFonts w:ascii="Arial" w:hAnsi="Arial" w:cs="Arial"/>
          <w:sz w:val="18"/>
          <w:szCs w:val="18"/>
        </w:rPr>
        <w:t xml:space="preserve">Los Operadores de </w:t>
      </w:r>
      <w:r w:rsidR="00A748B3">
        <w:rPr>
          <w:rFonts w:ascii="Arial" w:hAnsi="Arial" w:cs="Arial"/>
          <w:sz w:val="18"/>
          <w:szCs w:val="18"/>
        </w:rPr>
        <w:t>T</w:t>
      </w:r>
      <w:r w:rsidR="0039731A" w:rsidRPr="0039731A">
        <w:rPr>
          <w:rFonts w:ascii="Arial" w:hAnsi="Arial" w:cs="Arial"/>
          <w:sz w:val="18"/>
          <w:szCs w:val="18"/>
        </w:rPr>
        <w:t>elecomunicaciones que posean títulos habilitantes de o para uso comercial deberán realizar el Registro de Servicios de Telecomunicaciones Comercializados antes de entregar por primera vez la información correspondiente en términos de los Lineamientos Décimo cuarto, Décimo quinto y Décimo séptimo de los presentes Lineamientos, a efecto de determinar las obligaciones de entrega que le</w:t>
      </w:r>
      <w:r w:rsidR="003260D3">
        <w:rPr>
          <w:rFonts w:ascii="Arial" w:hAnsi="Arial" w:cs="Arial"/>
          <w:sz w:val="18"/>
          <w:szCs w:val="18"/>
        </w:rPr>
        <w:t>s</w:t>
      </w:r>
      <w:r w:rsidR="0039731A" w:rsidRPr="0039731A">
        <w:rPr>
          <w:rFonts w:ascii="Arial" w:hAnsi="Arial" w:cs="Arial"/>
          <w:sz w:val="18"/>
          <w:szCs w:val="18"/>
        </w:rPr>
        <w:t xml:space="preserve"> correspondan y los eFormatos que resulten aplicables. Dicho proceso se realizará a través de la presentación del eFormato R02</w:t>
      </w:r>
      <w:r w:rsidR="0000798E">
        <w:rPr>
          <w:rFonts w:ascii="Arial" w:hAnsi="Arial" w:cs="Arial"/>
          <w:sz w:val="18"/>
          <w:szCs w:val="18"/>
        </w:rPr>
        <w:t>6</w:t>
      </w:r>
      <w:r w:rsidR="0039731A" w:rsidRPr="0039731A">
        <w:rPr>
          <w:rFonts w:ascii="Arial" w:hAnsi="Arial" w:cs="Arial"/>
          <w:sz w:val="18"/>
          <w:szCs w:val="18"/>
        </w:rPr>
        <w:t xml:space="preserve"> y en términos de lo dispuesto en el Anexo B de los presentes Lineamientos.</w:t>
      </w:r>
    </w:p>
    <w:p w14:paraId="0C103F80" w14:textId="6660CECA" w:rsidR="008F7680" w:rsidRDefault="008F7680" w:rsidP="00AE30C2">
      <w:pPr>
        <w:spacing w:after="0"/>
        <w:jc w:val="both"/>
        <w:rPr>
          <w:rFonts w:ascii="Arial" w:hAnsi="Arial" w:cs="Arial"/>
          <w:b/>
          <w:sz w:val="18"/>
          <w:szCs w:val="18"/>
        </w:rPr>
      </w:pPr>
    </w:p>
    <w:p w14:paraId="65C7FD14" w14:textId="0115D598" w:rsidR="003637BB" w:rsidRPr="003637BB" w:rsidRDefault="00414ADB" w:rsidP="00AE30C2">
      <w:pPr>
        <w:spacing w:after="0"/>
        <w:jc w:val="both"/>
        <w:rPr>
          <w:rFonts w:ascii="Arial" w:hAnsi="Arial" w:cs="Arial"/>
          <w:sz w:val="18"/>
          <w:szCs w:val="18"/>
        </w:rPr>
      </w:pPr>
      <w:r>
        <w:rPr>
          <w:rFonts w:ascii="Arial" w:hAnsi="Arial" w:cs="Arial"/>
          <w:b/>
          <w:sz w:val="18"/>
          <w:szCs w:val="18"/>
        </w:rPr>
        <w:t>Noveno. -</w:t>
      </w:r>
      <w:r w:rsidR="003637BB">
        <w:rPr>
          <w:rFonts w:ascii="Arial" w:hAnsi="Arial" w:cs="Arial"/>
          <w:b/>
          <w:sz w:val="18"/>
          <w:szCs w:val="18"/>
        </w:rPr>
        <w:t xml:space="preserve"> </w:t>
      </w:r>
      <w:r w:rsidR="003637BB" w:rsidRPr="003637BB">
        <w:rPr>
          <w:rFonts w:ascii="Arial" w:hAnsi="Arial" w:cs="Arial"/>
          <w:b/>
          <w:sz w:val="18"/>
          <w:szCs w:val="18"/>
        </w:rPr>
        <w:t xml:space="preserve">Actualización del Registro de Servicios de Telecomunicaciones Comercializados. </w:t>
      </w:r>
      <w:r w:rsidR="0039731A" w:rsidRPr="0039731A">
        <w:rPr>
          <w:rFonts w:ascii="Arial" w:hAnsi="Arial" w:cs="Arial"/>
          <w:sz w:val="18"/>
          <w:szCs w:val="18"/>
        </w:rPr>
        <w:t xml:space="preserve">La </w:t>
      </w:r>
      <w:r w:rsidR="004C673C">
        <w:rPr>
          <w:rFonts w:ascii="Arial" w:hAnsi="Arial" w:cs="Arial"/>
          <w:sz w:val="18"/>
          <w:szCs w:val="18"/>
        </w:rPr>
        <w:t>A</w:t>
      </w:r>
      <w:r w:rsidR="0039731A" w:rsidRPr="0039731A">
        <w:rPr>
          <w:rFonts w:ascii="Arial" w:hAnsi="Arial" w:cs="Arial"/>
          <w:sz w:val="18"/>
          <w:szCs w:val="18"/>
        </w:rPr>
        <w:t>ctualización del Registro de Servicios de Telecomunicaciones Comercializados podrá realizarse durante los primeros 20 días hábiles de cada año calendario si al 31 de diciembre del año calendario previo se cumple, al menos, una de las siguientes condiciones:</w:t>
      </w:r>
    </w:p>
    <w:p w14:paraId="4444D343" w14:textId="77777777" w:rsidR="003637BB" w:rsidRPr="003637BB" w:rsidRDefault="003637BB" w:rsidP="00AE30C2">
      <w:pPr>
        <w:spacing w:after="0"/>
        <w:jc w:val="both"/>
        <w:rPr>
          <w:rFonts w:ascii="Arial" w:hAnsi="Arial" w:cs="Arial"/>
          <w:sz w:val="18"/>
          <w:szCs w:val="18"/>
        </w:rPr>
      </w:pPr>
    </w:p>
    <w:p w14:paraId="1F6999DE" w14:textId="4E0CD0D9"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t>El Operador comercializa nuevos servicios con respecto de los servicios que registró inicialmente;</w:t>
      </w:r>
    </w:p>
    <w:p w14:paraId="31409C09" w14:textId="5CB506A6"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t>El Operador deja de prestar alguno de los servicios que registró inicialmente;</w:t>
      </w:r>
    </w:p>
    <w:p w14:paraId="16AEDC90" w14:textId="27CCE4C6"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t>El Operador comienza a prestar algunos de los servicios que registró inicialmente;</w:t>
      </w:r>
    </w:p>
    <w:p w14:paraId="4D504B3E" w14:textId="7A714AEE"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t>El Operador pasa a poseer una Red Pública de Telecomunicaciones;</w:t>
      </w:r>
    </w:p>
    <w:p w14:paraId="1C635594" w14:textId="675485D8"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t>El Operador deja de poseer una Red Pública de Telecomunicaciones;</w:t>
      </w:r>
    </w:p>
    <w:p w14:paraId="29D6D041" w14:textId="309F9333"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t>El Operador cuenta con una nueva concesión;</w:t>
      </w:r>
    </w:p>
    <w:p w14:paraId="31001E03" w14:textId="74DEDC4C"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t>El Operador deja de contar con alguna concesión;</w:t>
      </w:r>
    </w:p>
    <w:p w14:paraId="6C8C2F1B" w14:textId="1D42EC26" w:rsidR="003637BB" w:rsidRPr="003637BB" w:rsidRDefault="003637BB" w:rsidP="00AE30C2">
      <w:pPr>
        <w:pStyle w:val="Prrafodelista"/>
        <w:numPr>
          <w:ilvl w:val="0"/>
          <w:numId w:val="15"/>
        </w:numPr>
        <w:spacing w:line="276" w:lineRule="auto"/>
        <w:jc w:val="both"/>
        <w:rPr>
          <w:rFonts w:cs="Arial"/>
          <w:sz w:val="18"/>
          <w:szCs w:val="18"/>
        </w:rPr>
      </w:pPr>
      <w:r w:rsidRPr="003637BB">
        <w:rPr>
          <w:rFonts w:cs="Arial"/>
          <w:sz w:val="18"/>
          <w:szCs w:val="18"/>
        </w:rPr>
        <w:lastRenderedPageBreak/>
        <w:t>El nivel de comercialización para alguno o algunos de los servicios de telecomunicaciones registrados</w:t>
      </w:r>
      <w:r w:rsidRPr="003637BB" w:rsidDel="00806FC5">
        <w:rPr>
          <w:rFonts w:cs="Arial"/>
          <w:sz w:val="18"/>
          <w:szCs w:val="18"/>
        </w:rPr>
        <w:t xml:space="preserve"> </w:t>
      </w:r>
      <w:r w:rsidR="00806FC5">
        <w:rPr>
          <w:rFonts w:cs="Arial"/>
          <w:sz w:val="18"/>
          <w:szCs w:val="18"/>
        </w:rPr>
        <w:t xml:space="preserve">cambia </w:t>
      </w:r>
      <w:r w:rsidRPr="003637BB">
        <w:rPr>
          <w:rFonts w:cs="Arial"/>
          <w:sz w:val="18"/>
          <w:szCs w:val="18"/>
        </w:rPr>
        <w:t>y esto a su vez modifica las obligaciones de entrega de información del Operador establecidas en el Lineamiento Décimo Quinto.</w:t>
      </w:r>
    </w:p>
    <w:p w14:paraId="58F80CBA" w14:textId="77777777" w:rsidR="003637BB" w:rsidRPr="003637BB" w:rsidRDefault="003637BB" w:rsidP="00AE30C2">
      <w:pPr>
        <w:spacing w:after="0"/>
        <w:jc w:val="both"/>
        <w:rPr>
          <w:rFonts w:ascii="Arial" w:hAnsi="Arial" w:cs="Arial"/>
          <w:sz w:val="18"/>
          <w:szCs w:val="18"/>
        </w:rPr>
      </w:pPr>
    </w:p>
    <w:p w14:paraId="2AEA0B8D" w14:textId="220CF303" w:rsidR="008F7680" w:rsidRPr="003637BB" w:rsidRDefault="0039731A" w:rsidP="00AE30C2">
      <w:pPr>
        <w:spacing w:after="0"/>
        <w:jc w:val="both"/>
        <w:rPr>
          <w:rFonts w:ascii="Arial" w:hAnsi="Arial" w:cs="Arial"/>
          <w:sz w:val="18"/>
          <w:szCs w:val="18"/>
        </w:rPr>
      </w:pPr>
      <w:r w:rsidRPr="0039731A">
        <w:rPr>
          <w:rFonts w:ascii="Arial" w:hAnsi="Arial" w:cs="Arial"/>
          <w:sz w:val="18"/>
          <w:szCs w:val="18"/>
        </w:rPr>
        <w:t xml:space="preserve">Para realizar la </w:t>
      </w:r>
      <w:r w:rsidR="004C673C">
        <w:rPr>
          <w:rFonts w:ascii="Arial" w:hAnsi="Arial" w:cs="Arial"/>
          <w:sz w:val="18"/>
          <w:szCs w:val="18"/>
        </w:rPr>
        <w:t>A</w:t>
      </w:r>
      <w:r w:rsidRPr="0039731A">
        <w:rPr>
          <w:rFonts w:ascii="Arial" w:hAnsi="Arial" w:cs="Arial"/>
          <w:sz w:val="18"/>
          <w:szCs w:val="18"/>
        </w:rPr>
        <w:t>ctualización del Registro de Servicios de Telecomunicaciones Comercializados, el Operador deberá contar, al menos, con un Registro de Servicios de Telecomunicaciones Comercializados inicial y entregará bajo protesta de decir verdad, la información requerida en el eFormato R02</w:t>
      </w:r>
      <w:r w:rsidR="0000798E">
        <w:rPr>
          <w:rFonts w:ascii="Arial" w:hAnsi="Arial" w:cs="Arial"/>
          <w:sz w:val="18"/>
          <w:szCs w:val="18"/>
        </w:rPr>
        <w:t>6</w:t>
      </w:r>
      <w:r w:rsidRPr="0039731A">
        <w:rPr>
          <w:rFonts w:ascii="Arial" w:hAnsi="Arial" w:cs="Arial"/>
          <w:sz w:val="18"/>
          <w:szCs w:val="18"/>
        </w:rPr>
        <w:t xml:space="preserve"> y en términos de lo previsto en el Anexo B de estos Lineamientos.</w:t>
      </w:r>
    </w:p>
    <w:p w14:paraId="6A18AF55" w14:textId="500B42F8" w:rsidR="008F7680" w:rsidRDefault="008F7680" w:rsidP="00AE30C2">
      <w:pPr>
        <w:spacing w:after="0"/>
        <w:jc w:val="both"/>
        <w:rPr>
          <w:rFonts w:ascii="Arial" w:hAnsi="Arial" w:cs="Arial"/>
          <w:b/>
          <w:sz w:val="18"/>
          <w:szCs w:val="18"/>
        </w:rPr>
      </w:pPr>
    </w:p>
    <w:p w14:paraId="5BCFC82E" w14:textId="1FF76774" w:rsidR="0039731A" w:rsidRPr="0039731A" w:rsidRDefault="00414ADB" w:rsidP="0039731A">
      <w:pPr>
        <w:spacing w:after="0"/>
        <w:jc w:val="both"/>
        <w:rPr>
          <w:rFonts w:ascii="Arial" w:hAnsi="Arial" w:cs="Arial"/>
          <w:sz w:val="18"/>
          <w:szCs w:val="18"/>
        </w:rPr>
      </w:pPr>
      <w:r>
        <w:rPr>
          <w:rFonts w:ascii="Arial" w:hAnsi="Arial" w:cs="Arial"/>
          <w:b/>
          <w:sz w:val="18"/>
          <w:szCs w:val="18"/>
        </w:rPr>
        <w:t>Décimo. -</w:t>
      </w:r>
      <w:r w:rsidR="003637BB">
        <w:rPr>
          <w:rFonts w:ascii="Arial" w:hAnsi="Arial" w:cs="Arial"/>
          <w:b/>
          <w:sz w:val="18"/>
          <w:szCs w:val="18"/>
        </w:rPr>
        <w:t xml:space="preserve"> </w:t>
      </w:r>
      <w:r w:rsidR="003637BB" w:rsidRPr="003637BB">
        <w:rPr>
          <w:rFonts w:ascii="Arial" w:hAnsi="Arial" w:cs="Arial"/>
          <w:b/>
          <w:sz w:val="18"/>
          <w:szCs w:val="18"/>
        </w:rPr>
        <w:t xml:space="preserve">Actualización de información de contacto. </w:t>
      </w:r>
      <w:r w:rsidR="0039731A" w:rsidRPr="0039731A">
        <w:rPr>
          <w:rFonts w:ascii="Arial" w:hAnsi="Arial" w:cs="Arial"/>
          <w:sz w:val="18"/>
          <w:szCs w:val="18"/>
        </w:rPr>
        <w:t xml:space="preserve">El Operador deberá de asegurarse de que el Instituto cuente con los datos de contacto actualizados y correctos ya que estos serán utilizados para dar seguimiento a los trámites que se desprenden de los presentes Lineamientos, por ello, al momento en que la información de contacto del Operador sufra alguna modificación, será su responsabilidad dar aviso al Instituto mediante el procedimiento establecido en este Lineamiento. </w:t>
      </w:r>
    </w:p>
    <w:p w14:paraId="4D3F7D41" w14:textId="77777777" w:rsidR="0039731A" w:rsidRPr="0039731A" w:rsidRDefault="0039731A" w:rsidP="0039731A">
      <w:pPr>
        <w:spacing w:after="0"/>
        <w:jc w:val="both"/>
        <w:rPr>
          <w:rFonts w:ascii="Arial" w:hAnsi="Arial" w:cs="Arial"/>
          <w:sz w:val="18"/>
          <w:szCs w:val="18"/>
        </w:rPr>
      </w:pPr>
    </w:p>
    <w:p w14:paraId="17B4F9B6" w14:textId="71488F4D"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Para realizar dicha actualización el Operador deberá contar con al menos un Registro de Servicios de Telecomunicaciones Comercializados inicial, y entregará bajo protesta de decir verdad la información requerida en el eFormato R02</w:t>
      </w:r>
      <w:r w:rsidR="0000798E">
        <w:rPr>
          <w:rFonts w:ascii="Arial" w:hAnsi="Arial" w:cs="Arial"/>
          <w:sz w:val="18"/>
          <w:szCs w:val="18"/>
        </w:rPr>
        <w:t>6</w:t>
      </w:r>
      <w:r w:rsidRPr="0039731A">
        <w:rPr>
          <w:rFonts w:ascii="Arial" w:hAnsi="Arial" w:cs="Arial"/>
          <w:sz w:val="18"/>
          <w:szCs w:val="18"/>
        </w:rPr>
        <w:t xml:space="preserve"> en términos de lo previsto en el Anexo B anteriormente mencionado. </w:t>
      </w:r>
    </w:p>
    <w:p w14:paraId="14DC7F74" w14:textId="77777777" w:rsidR="0039731A" w:rsidRPr="0039731A" w:rsidRDefault="0039731A" w:rsidP="0039731A">
      <w:pPr>
        <w:spacing w:after="0"/>
        <w:jc w:val="both"/>
        <w:rPr>
          <w:rFonts w:ascii="Arial" w:hAnsi="Arial" w:cs="Arial"/>
          <w:sz w:val="18"/>
          <w:szCs w:val="18"/>
        </w:rPr>
      </w:pPr>
    </w:p>
    <w:p w14:paraId="5B14FDEE" w14:textId="07AE65BA" w:rsidR="008F7680" w:rsidRDefault="0039731A" w:rsidP="0039731A">
      <w:pPr>
        <w:spacing w:after="0"/>
        <w:jc w:val="both"/>
        <w:rPr>
          <w:rFonts w:ascii="Arial" w:hAnsi="Arial" w:cs="Arial"/>
          <w:b/>
          <w:sz w:val="18"/>
          <w:szCs w:val="18"/>
        </w:rPr>
      </w:pPr>
      <w:r w:rsidRPr="0039731A">
        <w:rPr>
          <w:rFonts w:ascii="Arial" w:hAnsi="Arial" w:cs="Arial"/>
          <w:sz w:val="18"/>
          <w:szCs w:val="18"/>
        </w:rPr>
        <w:t>Será motivo de desechamiento del trámite y no se actualizarán los datos de contacto del Operador, si éste realiza cualquier modificación ajena a la Sección 2. Datos Generales del Operador establecida en el eFormato R02</w:t>
      </w:r>
      <w:r w:rsidR="0000798E">
        <w:rPr>
          <w:rFonts w:ascii="Arial" w:hAnsi="Arial" w:cs="Arial"/>
          <w:sz w:val="18"/>
          <w:szCs w:val="18"/>
        </w:rPr>
        <w:t>6</w:t>
      </w:r>
      <w:r w:rsidRPr="0039731A">
        <w:rPr>
          <w:rFonts w:ascii="Arial" w:hAnsi="Arial" w:cs="Arial"/>
          <w:sz w:val="18"/>
          <w:szCs w:val="18"/>
        </w:rPr>
        <w:t>. Si el trámite es desechado por esta causa, el Operador podrá volver a realizar el trámite bajo las condiciones mencionadas en el presente Lineamiento.</w:t>
      </w:r>
    </w:p>
    <w:p w14:paraId="4E62AB0E" w14:textId="3A4923C2" w:rsidR="008F7680" w:rsidRDefault="008F7680" w:rsidP="00AE30C2">
      <w:pPr>
        <w:spacing w:after="0"/>
        <w:jc w:val="both"/>
        <w:rPr>
          <w:rFonts w:ascii="Arial" w:hAnsi="Arial" w:cs="Arial"/>
          <w:b/>
          <w:sz w:val="18"/>
          <w:szCs w:val="18"/>
        </w:rPr>
      </w:pPr>
    </w:p>
    <w:p w14:paraId="35B0F3C9" w14:textId="2EDB42BE" w:rsidR="0039731A" w:rsidRPr="0039731A" w:rsidRDefault="008F7680" w:rsidP="0039731A">
      <w:pPr>
        <w:spacing w:after="0"/>
        <w:jc w:val="both"/>
        <w:rPr>
          <w:rFonts w:ascii="Arial" w:hAnsi="Arial" w:cs="Arial"/>
          <w:sz w:val="18"/>
          <w:szCs w:val="18"/>
        </w:rPr>
      </w:pPr>
      <w:r>
        <w:rPr>
          <w:rFonts w:ascii="Arial" w:hAnsi="Arial" w:cs="Arial"/>
          <w:b/>
          <w:sz w:val="18"/>
          <w:szCs w:val="18"/>
        </w:rPr>
        <w:t xml:space="preserve">Décimo </w:t>
      </w:r>
      <w:r w:rsidR="00414ADB">
        <w:rPr>
          <w:rFonts w:ascii="Arial" w:hAnsi="Arial" w:cs="Arial"/>
          <w:b/>
          <w:sz w:val="18"/>
          <w:szCs w:val="18"/>
        </w:rPr>
        <w:t>primero. -</w:t>
      </w:r>
      <w:r w:rsidR="003637BB">
        <w:rPr>
          <w:rFonts w:ascii="Arial" w:hAnsi="Arial" w:cs="Arial"/>
          <w:b/>
          <w:sz w:val="18"/>
          <w:szCs w:val="18"/>
        </w:rPr>
        <w:t xml:space="preserve"> </w:t>
      </w:r>
      <w:r w:rsidR="003637BB" w:rsidRPr="0039731A">
        <w:rPr>
          <w:rFonts w:ascii="Arial" w:hAnsi="Arial" w:cs="Arial"/>
          <w:b/>
          <w:sz w:val="18"/>
          <w:szCs w:val="18"/>
        </w:rPr>
        <w:t>Notificaciones y prevenciones del proceso de Registro.</w:t>
      </w:r>
      <w:r w:rsidR="003637BB" w:rsidRPr="003637BB">
        <w:rPr>
          <w:rFonts w:ascii="Arial" w:hAnsi="Arial" w:cs="Arial"/>
          <w:sz w:val="18"/>
          <w:szCs w:val="18"/>
        </w:rPr>
        <w:t xml:space="preserve"> </w:t>
      </w:r>
      <w:r w:rsidR="0039731A" w:rsidRPr="0039731A">
        <w:rPr>
          <w:rFonts w:ascii="Arial" w:hAnsi="Arial" w:cs="Arial"/>
          <w:sz w:val="18"/>
          <w:szCs w:val="18"/>
        </w:rPr>
        <w:t>El eFormato R02</w:t>
      </w:r>
      <w:r w:rsidR="0000798E">
        <w:rPr>
          <w:rFonts w:ascii="Arial" w:hAnsi="Arial" w:cs="Arial"/>
          <w:sz w:val="18"/>
          <w:szCs w:val="18"/>
        </w:rPr>
        <w:t>6</w:t>
      </w:r>
      <w:r w:rsidR="0039731A" w:rsidRPr="0039731A">
        <w:rPr>
          <w:rFonts w:ascii="Arial" w:hAnsi="Arial" w:cs="Arial"/>
          <w:sz w:val="18"/>
          <w:szCs w:val="18"/>
        </w:rPr>
        <w:t xml:space="preserve"> presentado por los Operadores a efecto de realizar o actualizar su Registro de Servicios de Telecomunicaciones Comercializados será revisado por el Instituto dentro de los 20 días hábiles siguientes a su presentación.</w:t>
      </w:r>
    </w:p>
    <w:p w14:paraId="6085384A" w14:textId="77777777" w:rsidR="0039731A" w:rsidRPr="0039731A" w:rsidRDefault="0039731A" w:rsidP="0039731A">
      <w:pPr>
        <w:spacing w:after="0"/>
        <w:jc w:val="both"/>
        <w:rPr>
          <w:rFonts w:ascii="Arial" w:hAnsi="Arial" w:cs="Arial"/>
          <w:sz w:val="18"/>
          <w:szCs w:val="18"/>
        </w:rPr>
      </w:pPr>
    </w:p>
    <w:p w14:paraId="71CD59A7" w14:textId="77777777"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 xml:space="preserve">Si la información presentada contiene inconsistencias o errores, el Instituto realizará una prevención al Operador dentro del plazo referido en el párrafo anterior para que presente la información nuevamente y se subsanen las inconsistencias o errores señalados. Los Operadores deberán desahogar la prevención antes señalada, dentro de un plazo máximo de 15 días hábiles contados a partir del día siguiente a aquel en el que surta efectos la notificación de la prevención. Dicho plazo podrá ser prorrogado, por única ocasión, a solicitud del Operador, siempre que se realice dentro del plazo originalmente otorgado. </w:t>
      </w:r>
    </w:p>
    <w:p w14:paraId="6DF555A6" w14:textId="77777777" w:rsidR="0039731A" w:rsidRPr="0039731A" w:rsidRDefault="0039731A" w:rsidP="0039731A">
      <w:pPr>
        <w:spacing w:after="0"/>
        <w:jc w:val="both"/>
        <w:rPr>
          <w:rFonts w:ascii="Arial" w:hAnsi="Arial" w:cs="Arial"/>
          <w:sz w:val="18"/>
          <w:szCs w:val="18"/>
        </w:rPr>
      </w:pPr>
    </w:p>
    <w:p w14:paraId="77E3B66A" w14:textId="77777777"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 xml:space="preserve">La prórroga señalada en el párrafo anterior será de 8 días hábiles. Cuando se amplíe el plazo, la prórroga empezará a contar a partir del día hábil siguiente a aquel en que surta efectos la notificación correspondiente. </w:t>
      </w:r>
    </w:p>
    <w:p w14:paraId="75D9FD1C" w14:textId="77777777" w:rsidR="0039731A" w:rsidRPr="0039731A" w:rsidRDefault="0039731A" w:rsidP="0039731A">
      <w:pPr>
        <w:spacing w:after="0"/>
        <w:jc w:val="both"/>
        <w:rPr>
          <w:rFonts w:ascii="Arial" w:hAnsi="Arial" w:cs="Arial"/>
          <w:sz w:val="18"/>
          <w:szCs w:val="18"/>
        </w:rPr>
      </w:pPr>
    </w:p>
    <w:p w14:paraId="46D01E12" w14:textId="2C9C46A5"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 xml:space="preserve">Una vez que el </w:t>
      </w:r>
      <w:r w:rsidR="00A748B3">
        <w:rPr>
          <w:rFonts w:ascii="Arial" w:hAnsi="Arial" w:cs="Arial"/>
          <w:sz w:val="18"/>
          <w:szCs w:val="18"/>
        </w:rPr>
        <w:t>O</w:t>
      </w:r>
      <w:r w:rsidRPr="0039731A">
        <w:rPr>
          <w:rFonts w:ascii="Arial" w:hAnsi="Arial" w:cs="Arial"/>
          <w:sz w:val="18"/>
          <w:szCs w:val="18"/>
        </w:rPr>
        <w:t>perador presente el desahogo de la prevención realizada ante el Instituto, éste contará con un plazo de 20 días hábiles para su revisión, contados a partir del día hábil siguiente a la presentación del desahogo correspondiente.</w:t>
      </w:r>
    </w:p>
    <w:p w14:paraId="391E7EF7" w14:textId="77777777"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 xml:space="preserve"> </w:t>
      </w:r>
    </w:p>
    <w:p w14:paraId="61F9AF2E" w14:textId="2A5ABA78"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 xml:space="preserve">En caso de que el </w:t>
      </w:r>
      <w:r w:rsidR="00A748B3">
        <w:rPr>
          <w:rFonts w:ascii="Arial" w:hAnsi="Arial" w:cs="Arial"/>
          <w:sz w:val="18"/>
          <w:szCs w:val="18"/>
        </w:rPr>
        <w:t>O</w:t>
      </w:r>
      <w:r w:rsidRPr="0039731A">
        <w:rPr>
          <w:rFonts w:ascii="Arial" w:hAnsi="Arial" w:cs="Arial"/>
          <w:sz w:val="18"/>
          <w:szCs w:val="18"/>
        </w:rPr>
        <w:t>perador no desahogue la prevención realizada por el Instituto o, una vez que el Instituto la haya revisado y determine que no cumple con los requisitos necesarios de conformidad con el presente Lineamiento, se notificará el desechamiento de la información respectiva y se tendrá por no presentado el eFormato R02</w:t>
      </w:r>
      <w:r w:rsidR="0000798E">
        <w:rPr>
          <w:rFonts w:ascii="Arial" w:hAnsi="Arial" w:cs="Arial"/>
          <w:sz w:val="18"/>
          <w:szCs w:val="18"/>
        </w:rPr>
        <w:t>6</w:t>
      </w:r>
      <w:r w:rsidRPr="0039731A">
        <w:rPr>
          <w:rFonts w:ascii="Arial" w:hAnsi="Arial" w:cs="Arial"/>
          <w:sz w:val="18"/>
          <w:szCs w:val="18"/>
        </w:rPr>
        <w:t>, sin que ello implique una imposibilidad para su futura presentación.</w:t>
      </w:r>
    </w:p>
    <w:p w14:paraId="42C275AA" w14:textId="77777777"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 xml:space="preserve"> </w:t>
      </w:r>
    </w:p>
    <w:p w14:paraId="22EDA3FE" w14:textId="75B06316" w:rsidR="008F7680" w:rsidRPr="003637BB" w:rsidRDefault="0039731A" w:rsidP="0039731A">
      <w:pPr>
        <w:spacing w:after="0"/>
        <w:jc w:val="both"/>
        <w:rPr>
          <w:rFonts w:ascii="Arial" w:hAnsi="Arial" w:cs="Arial"/>
          <w:sz w:val="18"/>
          <w:szCs w:val="18"/>
        </w:rPr>
      </w:pPr>
      <w:r w:rsidRPr="0039731A">
        <w:rPr>
          <w:rFonts w:ascii="Arial" w:hAnsi="Arial" w:cs="Arial"/>
          <w:sz w:val="18"/>
          <w:szCs w:val="18"/>
        </w:rPr>
        <w:t xml:space="preserve">Si durante los plazos de 20 días hábiles mencionados previamente para la revisión, ya sea posteriores a la presentación de la </w:t>
      </w:r>
      <w:r w:rsidR="00D424C3">
        <w:rPr>
          <w:rFonts w:ascii="Arial" w:hAnsi="Arial" w:cs="Arial"/>
          <w:sz w:val="18"/>
          <w:szCs w:val="18"/>
        </w:rPr>
        <w:t>A</w:t>
      </w:r>
      <w:r w:rsidRPr="0039731A">
        <w:rPr>
          <w:rFonts w:ascii="Arial" w:hAnsi="Arial" w:cs="Arial"/>
          <w:sz w:val="18"/>
          <w:szCs w:val="18"/>
        </w:rPr>
        <w:t>ctualización del Registro o posteriores al desahogo de la prevención realizada por el Instituto, el Instituto no ha hecho prevención alguna a los Operadores, se entenderá que el Registro de Servicios de Telecomunicaciones Comercializados fue resuelto en un sentido favorable y se emitirá la notificación de registro respectiva.</w:t>
      </w:r>
    </w:p>
    <w:p w14:paraId="64226CDD" w14:textId="17B73F37" w:rsidR="008F7680" w:rsidRDefault="008F7680" w:rsidP="00AE30C2">
      <w:pPr>
        <w:spacing w:after="0"/>
        <w:jc w:val="both"/>
        <w:rPr>
          <w:rFonts w:ascii="Arial" w:hAnsi="Arial" w:cs="Arial"/>
          <w:b/>
          <w:sz w:val="18"/>
          <w:szCs w:val="18"/>
        </w:rPr>
      </w:pPr>
    </w:p>
    <w:p w14:paraId="245E088B" w14:textId="429FC64C" w:rsidR="00040DEF" w:rsidRDefault="00040DEF" w:rsidP="00AE30C2">
      <w:pPr>
        <w:spacing w:after="0"/>
        <w:jc w:val="center"/>
        <w:rPr>
          <w:rFonts w:ascii="Arial" w:hAnsi="Arial" w:cs="Arial"/>
          <w:b/>
          <w:sz w:val="18"/>
          <w:szCs w:val="18"/>
        </w:rPr>
      </w:pPr>
      <w:r>
        <w:rPr>
          <w:rFonts w:ascii="Arial" w:hAnsi="Arial" w:cs="Arial"/>
          <w:b/>
          <w:sz w:val="18"/>
          <w:szCs w:val="18"/>
        </w:rPr>
        <w:t>Capítulo III</w:t>
      </w:r>
    </w:p>
    <w:p w14:paraId="0687351E" w14:textId="2C818A4B" w:rsidR="00040DEF" w:rsidRDefault="00040DEF" w:rsidP="00AE30C2">
      <w:pPr>
        <w:spacing w:after="0"/>
        <w:jc w:val="center"/>
        <w:rPr>
          <w:rFonts w:ascii="Arial" w:hAnsi="Arial" w:cs="Arial"/>
          <w:b/>
          <w:sz w:val="18"/>
          <w:szCs w:val="18"/>
        </w:rPr>
      </w:pPr>
      <w:r>
        <w:rPr>
          <w:rFonts w:ascii="Arial" w:hAnsi="Arial" w:cs="Arial"/>
          <w:b/>
          <w:sz w:val="18"/>
          <w:szCs w:val="18"/>
        </w:rPr>
        <w:lastRenderedPageBreak/>
        <w:t>Del Catálogo de Claves de Información</w:t>
      </w:r>
    </w:p>
    <w:p w14:paraId="00A32DDA" w14:textId="77777777" w:rsidR="003637BB" w:rsidRDefault="003637BB" w:rsidP="00AE30C2">
      <w:pPr>
        <w:spacing w:after="0"/>
        <w:jc w:val="center"/>
        <w:rPr>
          <w:rFonts w:ascii="Arial" w:hAnsi="Arial" w:cs="Arial"/>
          <w:b/>
          <w:sz w:val="18"/>
          <w:szCs w:val="18"/>
        </w:rPr>
      </w:pPr>
    </w:p>
    <w:p w14:paraId="7971E361" w14:textId="1EB0360F" w:rsidR="0039731A" w:rsidRPr="0039731A" w:rsidRDefault="008F7680" w:rsidP="0039731A">
      <w:pPr>
        <w:spacing w:after="0"/>
        <w:jc w:val="both"/>
        <w:rPr>
          <w:rFonts w:ascii="Arial" w:hAnsi="Arial" w:cs="Arial"/>
          <w:sz w:val="18"/>
          <w:szCs w:val="18"/>
        </w:rPr>
      </w:pPr>
      <w:r>
        <w:rPr>
          <w:rFonts w:ascii="Arial" w:hAnsi="Arial" w:cs="Arial"/>
          <w:b/>
          <w:sz w:val="18"/>
          <w:szCs w:val="18"/>
        </w:rPr>
        <w:t xml:space="preserve">Décimo </w:t>
      </w:r>
      <w:r w:rsidR="00414ADB">
        <w:rPr>
          <w:rFonts w:ascii="Arial" w:hAnsi="Arial" w:cs="Arial"/>
          <w:b/>
          <w:sz w:val="18"/>
          <w:szCs w:val="18"/>
        </w:rPr>
        <w:t>segundo. -</w:t>
      </w:r>
      <w:r w:rsidR="003637BB">
        <w:rPr>
          <w:rFonts w:ascii="Arial" w:hAnsi="Arial" w:cs="Arial"/>
          <w:b/>
          <w:sz w:val="18"/>
          <w:szCs w:val="18"/>
        </w:rPr>
        <w:t xml:space="preserve"> </w:t>
      </w:r>
      <w:r w:rsidR="003637BB" w:rsidRPr="003637BB">
        <w:rPr>
          <w:rFonts w:ascii="Arial" w:hAnsi="Arial" w:cs="Arial"/>
          <w:b/>
          <w:sz w:val="18"/>
          <w:szCs w:val="18"/>
        </w:rPr>
        <w:t xml:space="preserve">Objeto del Catálogo de Claves de Información. </w:t>
      </w:r>
      <w:r w:rsidR="0039731A" w:rsidRPr="0039731A">
        <w:rPr>
          <w:rFonts w:ascii="Arial" w:hAnsi="Arial" w:cs="Arial"/>
          <w:sz w:val="18"/>
          <w:szCs w:val="18"/>
        </w:rPr>
        <w:t>El CCI, que forma parte de los presentes Lineamientos como Anexo C, establece las claves que deberán utilizar los Operadores en los Campos de los Archivos de Presentación de los eFormatos que así lo requieran, con el propósito de clasificar y homologar elementos comunes de información.</w:t>
      </w:r>
    </w:p>
    <w:p w14:paraId="212CEE03" w14:textId="77777777"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 xml:space="preserve"> </w:t>
      </w:r>
    </w:p>
    <w:p w14:paraId="6C00EE27" w14:textId="53B3A09C" w:rsidR="008F7680" w:rsidRPr="003637BB" w:rsidRDefault="0039731A" w:rsidP="0039731A">
      <w:pPr>
        <w:spacing w:after="0"/>
        <w:jc w:val="both"/>
        <w:rPr>
          <w:rFonts w:ascii="Arial" w:hAnsi="Arial" w:cs="Arial"/>
          <w:sz w:val="18"/>
          <w:szCs w:val="18"/>
        </w:rPr>
      </w:pPr>
      <w:r w:rsidRPr="0039731A">
        <w:rPr>
          <w:rFonts w:ascii="Arial" w:hAnsi="Arial" w:cs="Arial"/>
          <w:sz w:val="18"/>
          <w:szCs w:val="18"/>
        </w:rPr>
        <w:t>Cuando se solicite una desagregación en un Archivo de Presentación, el Operador deberá consultar el CCI para determinar la clave correspondiente al valor que requiere reportar en el Archivo de Presentación. Los conceptos mostrados en el CCI son de uso común en el sector de telecomunicaciones o se encuentran definidos en el Lineamiento Tercero.</w:t>
      </w:r>
    </w:p>
    <w:p w14:paraId="2D7ED046" w14:textId="7508DFFF" w:rsidR="008F7680" w:rsidRDefault="008F7680" w:rsidP="00AE30C2">
      <w:pPr>
        <w:spacing w:after="0"/>
        <w:jc w:val="both"/>
        <w:rPr>
          <w:rFonts w:ascii="Arial" w:hAnsi="Arial" w:cs="Arial"/>
          <w:b/>
          <w:sz w:val="18"/>
          <w:szCs w:val="18"/>
        </w:rPr>
      </w:pPr>
    </w:p>
    <w:p w14:paraId="1A1798C2" w14:textId="6FE25761" w:rsidR="003637BB" w:rsidRPr="003637BB" w:rsidRDefault="008F7680" w:rsidP="00AE30C2">
      <w:pPr>
        <w:spacing w:after="0"/>
        <w:jc w:val="both"/>
        <w:rPr>
          <w:rFonts w:ascii="Arial" w:hAnsi="Arial" w:cs="Arial"/>
          <w:sz w:val="18"/>
          <w:szCs w:val="18"/>
        </w:rPr>
      </w:pPr>
      <w:r>
        <w:rPr>
          <w:rFonts w:ascii="Arial" w:hAnsi="Arial" w:cs="Arial"/>
          <w:b/>
          <w:sz w:val="18"/>
          <w:szCs w:val="18"/>
        </w:rPr>
        <w:t xml:space="preserve">Décimo </w:t>
      </w:r>
      <w:r w:rsidR="00414ADB">
        <w:rPr>
          <w:rFonts w:ascii="Arial" w:hAnsi="Arial" w:cs="Arial"/>
          <w:b/>
          <w:sz w:val="18"/>
          <w:szCs w:val="18"/>
        </w:rPr>
        <w:t>tercero. -</w:t>
      </w:r>
      <w:r w:rsidR="003637BB" w:rsidRPr="003637BB">
        <w:t xml:space="preserve"> </w:t>
      </w:r>
      <w:r w:rsidR="003637BB" w:rsidRPr="003637BB">
        <w:rPr>
          <w:rFonts w:ascii="Arial" w:hAnsi="Arial" w:cs="Arial"/>
          <w:b/>
          <w:sz w:val="18"/>
          <w:szCs w:val="18"/>
        </w:rPr>
        <w:t xml:space="preserve">Actualización del Catálogo de Claves de Información. </w:t>
      </w:r>
      <w:r w:rsidR="0039731A" w:rsidRPr="0039731A">
        <w:rPr>
          <w:rFonts w:ascii="Arial" w:hAnsi="Arial" w:cs="Arial"/>
          <w:sz w:val="18"/>
          <w:szCs w:val="18"/>
        </w:rPr>
        <w:t>El CCI será actualizado por el Instituto en función de los siguientes casos:</w:t>
      </w:r>
    </w:p>
    <w:p w14:paraId="164BFBB5" w14:textId="77777777" w:rsidR="003637BB" w:rsidRPr="003637BB" w:rsidRDefault="003637BB" w:rsidP="00AE30C2">
      <w:pPr>
        <w:spacing w:after="0"/>
        <w:jc w:val="both"/>
        <w:rPr>
          <w:rFonts w:ascii="Arial" w:hAnsi="Arial" w:cs="Arial"/>
          <w:sz w:val="18"/>
          <w:szCs w:val="18"/>
        </w:rPr>
      </w:pPr>
    </w:p>
    <w:p w14:paraId="7C040F30" w14:textId="06F779F0" w:rsidR="003637BB" w:rsidRPr="003637BB" w:rsidRDefault="003637BB" w:rsidP="00AE30C2">
      <w:pPr>
        <w:pStyle w:val="Prrafodelista"/>
        <w:numPr>
          <w:ilvl w:val="0"/>
          <w:numId w:val="16"/>
        </w:numPr>
        <w:spacing w:line="276" w:lineRule="auto"/>
        <w:jc w:val="both"/>
        <w:rPr>
          <w:rFonts w:cs="Arial"/>
          <w:sz w:val="18"/>
          <w:szCs w:val="18"/>
        </w:rPr>
      </w:pPr>
      <w:r w:rsidRPr="003637BB">
        <w:rPr>
          <w:rFonts w:cs="Arial"/>
          <w:sz w:val="18"/>
          <w:szCs w:val="18"/>
        </w:rPr>
        <w:t>Por la expedición, modificación, derogación o abrogación de alguna disposición de carácter general que modifique su contenido, y</w:t>
      </w:r>
    </w:p>
    <w:p w14:paraId="42C7ACBB" w14:textId="77777777" w:rsidR="003637BB" w:rsidRPr="003637BB" w:rsidRDefault="003637BB" w:rsidP="00AE30C2">
      <w:pPr>
        <w:spacing w:after="0"/>
        <w:jc w:val="both"/>
        <w:rPr>
          <w:rFonts w:ascii="Arial" w:hAnsi="Arial" w:cs="Arial"/>
          <w:sz w:val="18"/>
          <w:szCs w:val="18"/>
        </w:rPr>
      </w:pPr>
    </w:p>
    <w:p w14:paraId="013A6B5D" w14:textId="7F65FF13" w:rsidR="003637BB" w:rsidRPr="003637BB" w:rsidRDefault="003637BB" w:rsidP="00AE30C2">
      <w:pPr>
        <w:pStyle w:val="Prrafodelista"/>
        <w:numPr>
          <w:ilvl w:val="0"/>
          <w:numId w:val="16"/>
        </w:numPr>
        <w:spacing w:line="276" w:lineRule="auto"/>
        <w:jc w:val="both"/>
        <w:rPr>
          <w:rFonts w:cs="Arial"/>
          <w:sz w:val="18"/>
          <w:szCs w:val="18"/>
        </w:rPr>
      </w:pPr>
      <w:r w:rsidRPr="003637BB">
        <w:rPr>
          <w:rFonts w:cs="Arial"/>
          <w:sz w:val="18"/>
          <w:szCs w:val="18"/>
        </w:rPr>
        <w:t>Por las revisiones anuales que el Instituto realice de todos los Grupos de Claves del CCI, así como de actualizaciones realizadas por el INEGI para las desagregaciones aplicables.</w:t>
      </w:r>
    </w:p>
    <w:p w14:paraId="393571B4" w14:textId="77777777" w:rsidR="003637BB" w:rsidRPr="003637BB" w:rsidRDefault="003637BB" w:rsidP="00AE30C2">
      <w:pPr>
        <w:spacing w:after="0"/>
        <w:jc w:val="both"/>
        <w:rPr>
          <w:rFonts w:ascii="Arial" w:hAnsi="Arial" w:cs="Arial"/>
          <w:sz w:val="18"/>
          <w:szCs w:val="18"/>
        </w:rPr>
      </w:pPr>
    </w:p>
    <w:p w14:paraId="3E3DA6E2" w14:textId="3276775B"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El Instituto habilitará en la página www.ift.org.mx/CCI, la versión electrónica del CCI, el cual deberá ser utilizado por los Operadores para el reporte de información del año en curso.</w:t>
      </w:r>
    </w:p>
    <w:p w14:paraId="5E37FC33" w14:textId="77777777" w:rsidR="0039731A" w:rsidRPr="0039731A" w:rsidRDefault="0039731A" w:rsidP="0039731A">
      <w:pPr>
        <w:spacing w:after="0"/>
        <w:jc w:val="both"/>
        <w:rPr>
          <w:rFonts w:ascii="Arial" w:hAnsi="Arial" w:cs="Arial"/>
          <w:sz w:val="18"/>
          <w:szCs w:val="18"/>
        </w:rPr>
      </w:pPr>
    </w:p>
    <w:p w14:paraId="24D31109" w14:textId="77777777" w:rsidR="0039731A" w:rsidRPr="0039731A" w:rsidRDefault="0039731A" w:rsidP="0039731A">
      <w:pPr>
        <w:spacing w:after="0"/>
        <w:jc w:val="both"/>
        <w:rPr>
          <w:rFonts w:ascii="Arial" w:hAnsi="Arial" w:cs="Arial"/>
          <w:sz w:val="18"/>
          <w:szCs w:val="18"/>
        </w:rPr>
      </w:pPr>
      <w:r w:rsidRPr="0039731A">
        <w:rPr>
          <w:rFonts w:ascii="Arial" w:hAnsi="Arial" w:cs="Arial"/>
          <w:sz w:val="18"/>
          <w:szCs w:val="18"/>
        </w:rPr>
        <w:t>En caso de ser necesario realizar actualizaciones al CCI, estas se harán de manera anual durante los primeros 5 días hábiles de cada año, conforme al Acuerdo mediante el cual el Pleno del Instituto Federal de Telecomunicaciones aprueba su Calendario Anual de Sesiones Ordinarias y el Calendario Anual de Labores, y serán publicadas en la página mencionada.</w:t>
      </w:r>
    </w:p>
    <w:p w14:paraId="50415E4F" w14:textId="77777777" w:rsidR="0039731A" w:rsidRPr="0039731A" w:rsidRDefault="0039731A" w:rsidP="0039731A">
      <w:pPr>
        <w:spacing w:after="0"/>
        <w:jc w:val="both"/>
        <w:rPr>
          <w:rFonts w:ascii="Arial" w:hAnsi="Arial" w:cs="Arial"/>
          <w:sz w:val="18"/>
          <w:szCs w:val="18"/>
        </w:rPr>
      </w:pPr>
    </w:p>
    <w:p w14:paraId="70864048" w14:textId="76CBE6F2" w:rsidR="008F7680" w:rsidRPr="003637BB" w:rsidRDefault="0039731A" w:rsidP="0039731A">
      <w:pPr>
        <w:spacing w:after="0"/>
        <w:jc w:val="both"/>
        <w:rPr>
          <w:rFonts w:ascii="Arial" w:hAnsi="Arial" w:cs="Arial"/>
          <w:sz w:val="18"/>
          <w:szCs w:val="18"/>
        </w:rPr>
      </w:pPr>
      <w:r w:rsidRPr="0039731A">
        <w:rPr>
          <w:rFonts w:ascii="Arial" w:hAnsi="Arial" w:cs="Arial"/>
          <w:sz w:val="18"/>
          <w:szCs w:val="18"/>
        </w:rPr>
        <w:t>En caso de que dentro de los primeros 5 días hábiles de cada año el Instituto aún no publique el CCI que se usará para la entrega de información del año en curso, el Operador deberá utilizar el CCI del año inmediato anterior.</w:t>
      </w:r>
      <w:r>
        <w:rPr>
          <w:rFonts w:ascii="Arial" w:hAnsi="Arial" w:cs="Arial"/>
          <w:sz w:val="18"/>
          <w:szCs w:val="18"/>
        </w:rPr>
        <w:t xml:space="preserve"> </w:t>
      </w:r>
    </w:p>
    <w:p w14:paraId="1349A399" w14:textId="0B15F0CA" w:rsidR="008F7680" w:rsidRDefault="008F7680" w:rsidP="00AE30C2">
      <w:pPr>
        <w:spacing w:after="0"/>
        <w:jc w:val="both"/>
        <w:rPr>
          <w:rFonts w:ascii="Arial" w:hAnsi="Arial" w:cs="Arial"/>
          <w:b/>
          <w:sz w:val="18"/>
          <w:szCs w:val="18"/>
        </w:rPr>
      </w:pPr>
    </w:p>
    <w:p w14:paraId="2B3BE590" w14:textId="6230CDA0" w:rsidR="00040DEF" w:rsidRDefault="00040DEF" w:rsidP="00AE30C2">
      <w:pPr>
        <w:spacing w:after="0"/>
        <w:jc w:val="center"/>
        <w:rPr>
          <w:rFonts w:ascii="Arial" w:hAnsi="Arial" w:cs="Arial"/>
          <w:b/>
          <w:sz w:val="18"/>
          <w:szCs w:val="18"/>
        </w:rPr>
      </w:pPr>
      <w:r>
        <w:rPr>
          <w:rFonts w:ascii="Arial" w:hAnsi="Arial" w:cs="Arial"/>
          <w:b/>
          <w:sz w:val="18"/>
          <w:szCs w:val="18"/>
        </w:rPr>
        <w:t>Capítulo IV</w:t>
      </w:r>
    </w:p>
    <w:p w14:paraId="054D695E" w14:textId="51AAAB92" w:rsidR="00040DEF" w:rsidRDefault="00040DEF" w:rsidP="00AE30C2">
      <w:pPr>
        <w:spacing w:after="0"/>
        <w:jc w:val="center"/>
        <w:rPr>
          <w:rFonts w:ascii="Arial" w:hAnsi="Arial" w:cs="Arial"/>
          <w:b/>
          <w:sz w:val="18"/>
          <w:szCs w:val="18"/>
        </w:rPr>
      </w:pPr>
      <w:r>
        <w:rPr>
          <w:rFonts w:ascii="Arial" w:hAnsi="Arial" w:cs="Arial"/>
          <w:b/>
          <w:sz w:val="18"/>
          <w:szCs w:val="18"/>
        </w:rPr>
        <w:t xml:space="preserve">De las obligaciones de los Operadores de </w:t>
      </w:r>
      <w:r w:rsidR="00172335">
        <w:rPr>
          <w:rFonts w:ascii="Arial" w:hAnsi="Arial" w:cs="Arial"/>
          <w:b/>
          <w:sz w:val="18"/>
          <w:szCs w:val="18"/>
        </w:rPr>
        <w:t>T</w:t>
      </w:r>
      <w:r>
        <w:rPr>
          <w:rFonts w:ascii="Arial" w:hAnsi="Arial" w:cs="Arial"/>
          <w:b/>
          <w:sz w:val="18"/>
          <w:szCs w:val="18"/>
        </w:rPr>
        <w:t>elecomunicaciones</w:t>
      </w:r>
    </w:p>
    <w:p w14:paraId="0796B725" w14:textId="77777777" w:rsidR="003637BB" w:rsidRDefault="003637BB" w:rsidP="00AE30C2">
      <w:pPr>
        <w:spacing w:after="0"/>
        <w:jc w:val="center"/>
        <w:rPr>
          <w:rFonts w:ascii="Arial" w:hAnsi="Arial" w:cs="Arial"/>
          <w:b/>
          <w:sz w:val="18"/>
          <w:szCs w:val="18"/>
        </w:rPr>
      </w:pPr>
    </w:p>
    <w:p w14:paraId="63C31E71" w14:textId="4F720442" w:rsidR="008F7680" w:rsidRDefault="008F7680" w:rsidP="00AE30C2">
      <w:pPr>
        <w:spacing w:after="0"/>
        <w:jc w:val="both"/>
        <w:rPr>
          <w:rFonts w:ascii="Arial" w:hAnsi="Arial" w:cs="Arial"/>
          <w:b/>
          <w:sz w:val="18"/>
          <w:szCs w:val="18"/>
        </w:rPr>
      </w:pPr>
      <w:r>
        <w:rPr>
          <w:rFonts w:ascii="Arial" w:hAnsi="Arial" w:cs="Arial"/>
          <w:b/>
          <w:sz w:val="18"/>
          <w:szCs w:val="18"/>
        </w:rPr>
        <w:t xml:space="preserve">Décimo </w:t>
      </w:r>
      <w:r w:rsidR="00414ADB">
        <w:rPr>
          <w:rFonts w:ascii="Arial" w:hAnsi="Arial" w:cs="Arial"/>
          <w:b/>
          <w:sz w:val="18"/>
          <w:szCs w:val="18"/>
        </w:rPr>
        <w:t>cuarto. -</w:t>
      </w:r>
      <w:r w:rsidR="003637BB">
        <w:rPr>
          <w:rFonts w:ascii="Arial" w:hAnsi="Arial" w:cs="Arial"/>
          <w:b/>
          <w:sz w:val="18"/>
          <w:szCs w:val="18"/>
        </w:rPr>
        <w:t xml:space="preserve"> </w:t>
      </w:r>
      <w:r w:rsidR="003637BB" w:rsidRPr="003637BB">
        <w:rPr>
          <w:rFonts w:ascii="Arial" w:hAnsi="Arial" w:cs="Arial"/>
          <w:b/>
          <w:sz w:val="18"/>
          <w:szCs w:val="18"/>
        </w:rPr>
        <w:t xml:space="preserve">Obligaciones </w:t>
      </w:r>
      <w:r w:rsidR="00994F77">
        <w:rPr>
          <w:rFonts w:ascii="Arial" w:hAnsi="Arial" w:cs="Arial"/>
          <w:b/>
          <w:sz w:val="18"/>
          <w:szCs w:val="18"/>
        </w:rPr>
        <w:t>de</w:t>
      </w:r>
      <w:r w:rsidR="003637BB" w:rsidRPr="003637BB">
        <w:rPr>
          <w:rFonts w:ascii="Arial" w:hAnsi="Arial" w:cs="Arial"/>
          <w:b/>
          <w:sz w:val="18"/>
          <w:szCs w:val="18"/>
        </w:rPr>
        <w:t xml:space="preserve"> Operadores por poseer una Red Pública de Telecomunicaciones. </w:t>
      </w:r>
      <w:r w:rsidR="0039731A" w:rsidRPr="0039731A">
        <w:rPr>
          <w:rFonts w:ascii="Arial" w:hAnsi="Arial" w:cs="Arial"/>
          <w:sz w:val="18"/>
          <w:szCs w:val="18"/>
        </w:rPr>
        <w:t xml:space="preserve">Los Operadores de </w:t>
      </w:r>
      <w:r w:rsidR="00A748B3">
        <w:rPr>
          <w:rFonts w:ascii="Arial" w:hAnsi="Arial" w:cs="Arial"/>
          <w:sz w:val="18"/>
          <w:szCs w:val="18"/>
        </w:rPr>
        <w:t>T</w:t>
      </w:r>
      <w:r w:rsidR="0039731A" w:rsidRPr="0039731A">
        <w:rPr>
          <w:rFonts w:ascii="Arial" w:hAnsi="Arial" w:cs="Arial"/>
          <w:sz w:val="18"/>
          <w:szCs w:val="18"/>
        </w:rPr>
        <w:t xml:space="preserve">elecomunicaciones que posean títulos habilitantes de o para uso comercial, y que posean una RPT con capacidad de proveer servicios fijos minoristas, deberán entregar anualmente el </w:t>
      </w:r>
      <w:r w:rsidR="0039731A" w:rsidRPr="004960E7">
        <w:rPr>
          <w:rFonts w:ascii="Arial" w:hAnsi="Arial" w:cs="Arial"/>
          <w:sz w:val="18"/>
          <w:szCs w:val="18"/>
        </w:rPr>
        <w:t>eFormato R024</w:t>
      </w:r>
      <w:r w:rsidR="0039731A" w:rsidRPr="0039731A">
        <w:rPr>
          <w:rFonts w:ascii="Arial" w:hAnsi="Arial" w:cs="Arial"/>
          <w:sz w:val="18"/>
          <w:szCs w:val="18"/>
        </w:rPr>
        <w:t>, durante el período establecido para la entrega de información del cuarto trimestre de cada año.</w:t>
      </w:r>
      <w:r w:rsidR="0039731A">
        <w:rPr>
          <w:rFonts w:ascii="Arial" w:hAnsi="Arial" w:cs="Arial"/>
          <w:sz w:val="18"/>
          <w:szCs w:val="18"/>
        </w:rPr>
        <w:t xml:space="preserve"> </w:t>
      </w:r>
    </w:p>
    <w:p w14:paraId="62DE1324" w14:textId="7C913161" w:rsidR="008F7680" w:rsidRDefault="008F7680" w:rsidP="00AE30C2">
      <w:pPr>
        <w:spacing w:after="0"/>
        <w:jc w:val="both"/>
        <w:rPr>
          <w:rFonts w:ascii="Arial" w:hAnsi="Arial" w:cs="Arial"/>
          <w:b/>
          <w:sz w:val="18"/>
          <w:szCs w:val="18"/>
        </w:rPr>
      </w:pPr>
    </w:p>
    <w:p w14:paraId="5149C780" w14:textId="3C1DB50A" w:rsidR="003637BB" w:rsidRPr="003637BB" w:rsidRDefault="008F7680" w:rsidP="00AE30C2">
      <w:pPr>
        <w:spacing w:after="0"/>
        <w:jc w:val="both"/>
        <w:rPr>
          <w:rFonts w:ascii="Arial" w:hAnsi="Arial" w:cs="Arial"/>
          <w:sz w:val="18"/>
          <w:szCs w:val="18"/>
        </w:rPr>
      </w:pPr>
      <w:r>
        <w:rPr>
          <w:rFonts w:ascii="Arial" w:hAnsi="Arial" w:cs="Arial"/>
          <w:b/>
          <w:sz w:val="18"/>
          <w:szCs w:val="18"/>
        </w:rPr>
        <w:t xml:space="preserve">Décimo </w:t>
      </w:r>
      <w:r w:rsidR="00414ADB">
        <w:rPr>
          <w:rFonts w:ascii="Arial" w:hAnsi="Arial" w:cs="Arial"/>
          <w:b/>
          <w:sz w:val="18"/>
          <w:szCs w:val="18"/>
        </w:rPr>
        <w:t>quinto. -</w:t>
      </w:r>
      <w:r w:rsidR="003637BB">
        <w:rPr>
          <w:rFonts w:ascii="Arial" w:hAnsi="Arial" w:cs="Arial"/>
          <w:b/>
          <w:sz w:val="18"/>
          <w:szCs w:val="18"/>
        </w:rPr>
        <w:t xml:space="preserve"> Obligaciones de los Operadores. </w:t>
      </w:r>
      <w:r w:rsidR="003637BB" w:rsidRPr="003637BB">
        <w:rPr>
          <w:rFonts w:ascii="Arial" w:hAnsi="Arial" w:cs="Arial"/>
          <w:sz w:val="18"/>
          <w:szCs w:val="18"/>
        </w:rPr>
        <w:t>Los Operadores deberán de entregar información conforme a lo siguiente:</w:t>
      </w:r>
    </w:p>
    <w:p w14:paraId="1677603B" w14:textId="77777777" w:rsidR="003637BB" w:rsidRPr="003637BB" w:rsidRDefault="003637BB" w:rsidP="00AE30C2">
      <w:pPr>
        <w:spacing w:after="0"/>
        <w:jc w:val="both"/>
        <w:rPr>
          <w:rFonts w:ascii="Arial" w:hAnsi="Arial" w:cs="Arial"/>
          <w:sz w:val="18"/>
          <w:szCs w:val="18"/>
        </w:rPr>
      </w:pPr>
    </w:p>
    <w:p w14:paraId="7CB36C08" w14:textId="16C88DD4" w:rsidR="003637BB" w:rsidRPr="003637BB" w:rsidRDefault="003637BB" w:rsidP="00AE30C2">
      <w:pPr>
        <w:pStyle w:val="Prrafodelista"/>
        <w:numPr>
          <w:ilvl w:val="0"/>
          <w:numId w:val="19"/>
        </w:numPr>
        <w:spacing w:line="276" w:lineRule="auto"/>
        <w:jc w:val="both"/>
        <w:rPr>
          <w:rFonts w:cs="Arial"/>
          <w:b/>
          <w:sz w:val="18"/>
          <w:szCs w:val="18"/>
          <w:u w:val="single"/>
        </w:rPr>
      </w:pPr>
      <w:r w:rsidRPr="003637BB">
        <w:rPr>
          <w:rFonts w:cs="Arial"/>
          <w:b/>
          <w:sz w:val="18"/>
          <w:szCs w:val="18"/>
          <w:u w:val="single"/>
        </w:rPr>
        <w:t xml:space="preserve">Obligaciones para Operadores que actualizan los </w:t>
      </w:r>
      <w:r w:rsidR="00626ED3">
        <w:rPr>
          <w:rFonts w:cs="Arial"/>
          <w:b/>
          <w:sz w:val="18"/>
          <w:szCs w:val="18"/>
          <w:u w:val="single"/>
        </w:rPr>
        <w:t>S</w:t>
      </w:r>
      <w:r w:rsidRPr="003637BB">
        <w:rPr>
          <w:rFonts w:cs="Arial"/>
          <w:b/>
          <w:sz w:val="18"/>
          <w:szCs w:val="18"/>
          <w:u w:val="single"/>
        </w:rPr>
        <w:t xml:space="preserve">upuestos </w:t>
      </w:r>
      <w:r w:rsidR="00626ED3">
        <w:rPr>
          <w:rFonts w:cs="Arial"/>
          <w:b/>
          <w:sz w:val="18"/>
          <w:szCs w:val="18"/>
          <w:u w:val="single"/>
        </w:rPr>
        <w:t xml:space="preserve">A </w:t>
      </w:r>
      <w:r w:rsidRPr="003637BB">
        <w:rPr>
          <w:rFonts w:cs="Arial"/>
          <w:b/>
          <w:sz w:val="18"/>
          <w:szCs w:val="18"/>
          <w:u w:val="single"/>
        </w:rPr>
        <w:t>determinados con base en su volumen de comercialización de servicios:</w:t>
      </w:r>
    </w:p>
    <w:p w14:paraId="0A445C61" w14:textId="77777777" w:rsidR="003637BB" w:rsidRPr="003637BB" w:rsidRDefault="003637BB" w:rsidP="00AE30C2">
      <w:pPr>
        <w:spacing w:after="0"/>
        <w:jc w:val="both"/>
        <w:rPr>
          <w:rFonts w:ascii="Arial" w:hAnsi="Arial" w:cs="Arial"/>
          <w:sz w:val="18"/>
          <w:szCs w:val="18"/>
        </w:rPr>
      </w:pPr>
      <w:r w:rsidRPr="003637BB">
        <w:rPr>
          <w:rFonts w:ascii="Arial" w:hAnsi="Arial" w:cs="Arial"/>
          <w:sz w:val="18"/>
          <w:szCs w:val="18"/>
        </w:rPr>
        <w:t xml:space="preserve"> </w:t>
      </w:r>
    </w:p>
    <w:p w14:paraId="7B98B73F" w14:textId="7722FD3F" w:rsidR="003637BB" w:rsidRPr="003637BB" w:rsidRDefault="0039731A" w:rsidP="00AE30C2">
      <w:pPr>
        <w:spacing w:after="0"/>
        <w:jc w:val="both"/>
        <w:rPr>
          <w:rFonts w:ascii="Arial" w:hAnsi="Arial" w:cs="Arial"/>
          <w:sz w:val="18"/>
          <w:szCs w:val="18"/>
        </w:rPr>
      </w:pPr>
      <w:r w:rsidRPr="0039731A">
        <w:rPr>
          <w:rFonts w:ascii="Arial" w:hAnsi="Arial" w:cs="Arial"/>
          <w:sz w:val="18"/>
          <w:szCs w:val="18"/>
        </w:rPr>
        <w:t xml:space="preserve">Los Operadores de </w:t>
      </w:r>
      <w:r w:rsidR="00A748B3">
        <w:rPr>
          <w:rFonts w:ascii="Arial" w:hAnsi="Arial" w:cs="Arial"/>
          <w:sz w:val="18"/>
          <w:szCs w:val="18"/>
        </w:rPr>
        <w:t>T</w:t>
      </w:r>
      <w:r w:rsidRPr="0039731A">
        <w:rPr>
          <w:rFonts w:ascii="Arial" w:hAnsi="Arial" w:cs="Arial"/>
          <w:sz w:val="18"/>
          <w:szCs w:val="18"/>
        </w:rPr>
        <w:t>elecomunicaciones que posean títulos habilitantes</w:t>
      </w:r>
      <w:r w:rsidRPr="0039731A" w:rsidDel="00A4546E">
        <w:rPr>
          <w:rFonts w:ascii="Arial" w:hAnsi="Arial" w:cs="Arial"/>
          <w:sz w:val="18"/>
          <w:szCs w:val="18"/>
        </w:rPr>
        <w:t xml:space="preserve"> </w:t>
      </w:r>
      <w:r w:rsidRPr="0039731A">
        <w:rPr>
          <w:rFonts w:ascii="Arial" w:hAnsi="Arial" w:cs="Arial"/>
          <w:sz w:val="18"/>
          <w:szCs w:val="18"/>
        </w:rPr>
        <w:t>para uso comercial, y que hayan actualizado los supuestos</w:t>
      </w:r>
      <w:r w:rsidR="00D977DD">
        <w:rPr>
          <w:rFonts w:ascii="Arial" w:hAnsi="Arial" w:cs="Arial"/>
          <w:sz w:val="18"/>
          <w:szCs w:val="18"/>
        </w:rPr>
        <w:t xml:space="preserve"> A</w:t>
      </w:r>
      <w:r w:rsidRPr="0039731A">
        <w:rPr>
          <w:rFonts w:ascii="Arial" w:hAnsi="Arial" w:cs="Arial"/>
          <w:sz w:val="18"/>
          <w:szCs w:val="18"/>
        </w:rPr>
        <w:t xml:space="preserve"> determinados en el presente numeral </w:t>
      </w:r>
      <w:r w:rsidR="00D977DD">
        <w:rPr>
          <w:rFonts w:ascii="Arial" w:hAnsi="Arial" w:cs="Arial"/>
          <w:sz w:val="18"/>
          <w:szCs w:val="18"/>
        </w:rPr>
        <w:t>para al menos un servicio de telecomunicaciones que comercialicen</w:t>
      </w:r>
      <w:r w:rsidRPr="0039731A">
        <w:rPr>
          <w:rFonts w:ascii="Arial" w:hAnsi="Arial" w:cs="Arial"/>
          <w:sz w:val="18"/>
          <w:szCs w:val="18"/>
        </w:rPr>
        <w:t xml:space="preserve"> de los definidos en el Anexo A, numerales 6 y 7 de los presentes Lineamientos, deberán entregar trimestralmente lo siguiente:</w:t>
      </w:r>
    </w:p>
    <w:p w14:paraId="2CBAED11" w14:textId="2A27E5B4" w:rsidR="003637BB" w:rsidRPr="003637BB" w:rsidRDefault="003637BB" w:rsidP="00AE30C2">
      <w:pPr>
        <w:spacing w:after="0"/>
        <w:jc w:val="both"/>
        <w:rPr>
          <w:rFonts w:ascii="Arial" w:hAnsi="Arial" w:cs="Arial"/>
          <w:sz w:val="18"/>
          <w:szCs w:val="18"/>
        </w:rPr>
      </w:pPr>
    </w:p>
    <w:p w14:paraId="1A255E59" w14:textId="218F08D3" w:rsidR="003637BB" w:rsidRPr="003637BB" w:rsidRDefault="003637BB" w:rsidP="00AE30C2">
      <w:pPr>
        <w:pStyle w:val="Prrafodelista"/>
        <w:numPr>
          <w:ilvl w:val="0"/>
          <w:numId w:val="17"/>
        </w:numPr>
        <w:spacing w:line="276" w:lineRule="auto"/>
        <w:jc w:val="both"/>
        <w:rPr>
          <w:rFonts w:cs="Arial"/>
          <w:sz w:val="18"/>
          <w:szCs w:val="18"/>
        </w:rPr>
      </w:pPr>
      <w:r w:rsidRPr="003637BB">
        <w:rPr>
          <w:rFonts w:cs="Arial"/>
          <w:sz w:val="18"/>
          <w:szCs w:val="18"/>
        </w:rPr>
        <w:t>El eFormato R001.</w:t>
      </w:r>
    </w:p>
    <w:p w14:paraId="047502BD" w14:textId="6A1F2C03" w:rsidR="009C2C21" w:rsidRPr="00771778" w:rsidRDefault="003637BB" w:rsidP="003D085B">
      <w:pPr>
        <w:pStyle w:val="Prrafodelista"/>
        <w:numPr>
          <w:ilvl w:val="0"/>
          <w:numId w:val="17"/>
        </w:numPr>
        <w:spacing w:line="276" w:lineRule="auto"/>
        <w:jc w:val="both"/>
        <w:rPr>
          <w:rFonts w:cs="Arial"/>
          <w:b/>
          <w:sz w:val="18"/>
          <w:szCs w:val="18"/>
        </w:rPr>
      </w:pPr>
      <w:r w:rsidRPr="003637BB">
        <w:rPr>
          <w:rFonts w:cs="Arial"/>
          <w:sz w:val="18"/>
          <w:szCs w:val="18"/>
        </w:rPr>
        <w:lastRenderedPageBreak/>
        <w:t>En los casos donde actualice el supuesto, los Operadores deberán de entregar el eFormato correspondiente a</w:t>
      </w:r>
      <w:r w:rsidR="00805FB9">
        <w:rPr>
          <w:rFonts w:cs="Arial"/>
          <w:sz w:val="18"/>
          <w:szCs w:val="18"/>
        </w:rPr>
        <w:t>l</w:t>
      </w:r>
      <w:r w:rsidRPr="003637BB">
        <w:rPr>
          <w:rFonts w:cs="Arial"/>
          <w:sz w:val="18"/>
          <w:szCs w:val="18"/>
        </w:rPr>
        <w:t>/a los servicio/s listado/s a continuación:</w:t>
      </w:r>
    </w:p>
    <w:p w14:paraId="7F995502" w14:textId="77777777" w:rsidR="00771778" w:rsidRPr="003D085B" w:rsidRDefault="00771778" w:rsidP="00771778">
      <w:pPr>
        <w:pStyle w:val="Prrafodelista"/>
        <w:spacing w:line="276" w:lineRule="auto"/>
        <w:ind w:left="720"/>
        <w:jc w:val="both"/>
        <w:rPr>
          <w:rFonts w:cs="Arial"/>
          <w:b/>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4A0" w:firstRow="1" w:lastRow="0" w:firstColumn="1" w:lastColumn="0" w:noHBand="0" w:noVBand="1"/>
      </w:tblPr>
      <w:tblGrid>
        <w:gridCol w:w="1835"/>
        <w:gridCol w:w="5245"/>
        <w:gridCol w:w="2308"/>
      </w:tblGrid>
      <w:tr w:rsidR="002D53F5" w:rsidRPr="00F82565" w14:paraId="20E50F96" w14:textId="4E8878A4" w:rsidTr="00414ADB">
        <w:tc>
          <w:tcPr>
            <w:tcW w:w="977" w:type="pct"/>
            <w:tcBorders>
              <w:top w:val="single" w:sz="6" w:space="0" w:color="C0C0C0"/>
              <w:left w:val="single" w:sz="6" w:space="0" w:color="C0C0C0"/>
              <w:bottom w:val="single" w:sz="6" w:space="0" w:color="C0C0C0"/>
              <w:right w:val="single" w:sz="6" w:space="0" w:color="C0C0C0"/>
            </w:tcBorders>
            <w:shd w:val="clear" w:color="auto" w:fill="CCCCCC"/>
            <w:vAlign w:val="center"/>
            <w:hideMark/>
          </w:tcPr>
          <w:p w14:paraId="1D58335D"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b/>
                <w:bCs/>
                <w:sz w:val="18"/>
                <w:szCs w:val="18"/>
                <w:lang w:eastAsia="es-MX"/>
              </w:rPr>
              <w:t>Servicio de telecomunicaciones</w:t>
            </w:r>
          </w:p>
        </w:tc>
        <w:tc>
          <w:tcPr>
            <w:tcW w:w="2793" w:type="pct"/>
            <w:tcBorders>
              <w:top w:val="single" w:sz="6" w:space="0" w:color="C0C0C0"/>
              <w:left w:val="single" w:sz="6" w:space="0" w:color="C0C0C0"/>
              <w:bottom w:val="single" w:sz="6" w:space="0" w:color="C0C0C0"/>
              <w:right w:val="single" w:sz="6" w:space="0" w:color="C0C0C0"/>
            </w:tcBorders>
            <w:shd w:val="clear" w:color="auto" w:fill="CCCCCC"/>
            <w:vAlign w:val="center"/>
            <w:hideMark/>
          </w:tcPr>
          <w:p w14:paraId="5BB74529" w14:textId="6F27389D"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b/>
                <w:bCs/>
                <w:sz w:val="18"/>
                <w:szCs w:val="18"/>
                <w:lang w:eastAsia="es-MX"/>
              </w:rPr>
              <w:t xml:space="preserve">Supuestos </w:t>
            </w:r>
            <w:r>
              <w:rPr>
                <w:rFonts w:ascii="Arial" w:eastAsia="Times New Roman" w:hAnsi="Arial" w:cs="Arial"/>
                <w:b/>
                <w:bCs/>
                <w:sz w:val="18"/>
                <w:szCs w:val="18"/>
                <w:lang w:eastAsia="es-MX"/>
              </w:rPr>
              <w:t>A</w:t>
            </w:r>
            <w:r w:rsidRPr="00F82565">
              <w:rPr>
                <w:rFonts w:ascii="Arial" w:eastAsia="Times New Roman" w:hAnsi="Arial" w:cs="Arial"/>
                <w:b/>
                <w:bCs/>
                <w:sz w:val="18"/>
                <w:szCs w:val="18"/>
                <w:lang w:eastAsia="es-MX"/>
              </w:rPr>
              <w:t xml:space="preserve"> determinados para cada Servicio de telecomunicaciones </w:t>
            </w:r>
          </w:p>
        </w:tc>
        <w:tc>
          <w:tcPr>
            <w:tcW w:w="1229" w:type="pct"/>
            <w:tcBorders>
              <w:top w:val="single" w:sz="6" w:space="0" w:color="C0C0C0"/>
              <w:left w:val="single" w:sz="6" w:space="0" w:color="C0C0C0"/>
              <w:bottom w:val="single" w:sz="6" w:space="0" w:color="C0C0C0"/>
              <w:right w:val="single" w:sz="6" w:space="0" w:color="C0C0C0"/>
            </w:tcBorders>
            <w:shd w:val="clear" w:color="auto" w:fill="CCCCCC"/>
          </w:tcPr>
          <w:p w14:paraId="459D906E" w14:textId="74D1D213" w:rsidR="00EF241D" w:rsidRDefault="00EF241D" w:rsidP="00DA41C8">
            <w:pPr>
              <w:spacing w:after="0" w:line="240" w:lineRule="auto"/>
              <w:jc w:val="center"/>
              <w:textAlignment w:val="baseline"/>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Código del eFormato a entregar si actualiza el Supuesto </w:t>
            </w:r>
            <w:r w:rsidR="009E439F">
              <w:rPr>
                <w:rFonts w:ascii="Arial" w:eastAsia="Times New Roman" w:hAnsi="Arial" w:cs="Arial"/>
                <w:b/>
                <w:bCs/>
                <w:sz w:val="18"/>
                <w:szCs w:val="18"/>
                <w:lang w:eastAsia="es-MX"/>
              </w:rPr>
              <w:t>A</w:t>
            </w:r>
          </w:p>
        </w:tc>
      </w:tr>
      <w:tr w:rsidR="002D53F5" w:rsidRPr="00F82565" w14:paraId="304CC9DE" w14:textId="0EEB298D" w:rsidTr="00414ADB">
        <w:tc>
          <w:tcPr>
            <w:tcW w:w="97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0E93B13B"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Telefonía </w:t>
            </w:r>
          </w:p>
        </w:tc>
        <w:tc>
          <w:tcPr>
            <w:tcW w:w="279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302DFB3" w14:textId="0B712627" w:rsidR="002D53F5" w:rsidRPr="00F82565" w:rsidRDefault="002D53F5" w:rsidP="003034E1">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w:t>
            </w:r>
            <w:r>
              <w:rPr>
                <w:rFonts w:ascii="Arial" w:eastAsia="Times New Roman" w:hAnsi="Arial" w:cs="Arial"/>
                <w:sz w:val="18"/>
                <w:szCs w:val="18"/>
                <w:lang w:eastAsia="es-MX"/>
              </w:rPr>
              <w:t xml:space="preserve"> </w:t>
            </w:r>
            <w:r w:rsidRPr="00F82565">
              <w:rPr>
                <w:rFonts w:ascii="Arial" w:eastAsia="Times New Roman" w:hAnsi="Arial" w:cs="Arial"/>
                <w:sz w:val="18"/>
                <w:szCs w:val="18"/>
                <w:lang w:eastAsia="es-MX"/>
              </w:rPr>
              <w:t>200,000 líneas activas de telefonía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FDFDF"/>
            <w:vAlign w:val="center"/>
          </w:tcPr>
          <w:p w14:paraId="502CAEF9" w14:textId="69A3F6CD" w:rsidR="00EF241D" w:rsidRPr="00F82565" w:rsidRDefault="009E439F"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R003</w:t>
            </w:r>
          </w:p>
        </w:tc>
      </w:tr>
      <w:tr w:rsidR="002D53F5" w:rsidRPr="00F82565" w14:paraId="057CD14D" w14:textId="056D046B" w:rsidTr="00414ADB">
        <w:tc>
          <w:tcPr>
            <w:tcW w:w="97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CE91C73"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Telefonía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5F5103D" w14:textId="0ED1559A"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1,000,000 de líneas activas de telefonía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003EDB06" w14:textId="573E7920" w:rsidR="00EF241D" w:rsidRPr="00F82565" w:rsidRDefault="00AB0788"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R004</w:t>
            </w:r>
          </w:p>
        </w:tc>
      </w:tr>
      <w:tr w:rsidR="002D53F5" w:rsidRPr="00F82565" w14:paraId="4DAB0A85" w14:textId="57B8193F" w:rsidTr="00414ADB">
        <w:tc>
          <w:tcPr>
            <w:tcW w:w="97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07621FC"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Telefonía bajo esquema OMV </w:t>
            </w:r>
          </w:p>
        </w:tc>
        <w:tc>
          <w:tcPr>
            <w:tcW w:w="279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6F027E0F" w14:textId="6BF19B27"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10,000 líneas activas de telefonía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FDFDF"/>
            <w:vAlign w:val="center"/>
          </w:tcPr>
          <w:p w14:paraId="3EE269C9" w14:textId="5255FA82" w:rsidR="00EF241D" w:rsidRPr="00F82565" w:rsidRDefault="00AB0788"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R005</w:t>
            </w:r>
          </w:p>
        </w:tc>
      </w:tr>
      <w:tr w:rsidR="002D53F5" w:rsidRPr="00F82565" w14:paraId="49F42D0B" w14:textId="4CE4FA70" w:rsidTr="00414ADB">
        <w:tc>
          <w:tcPr>
            <w:tcW w:w="97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5BF80EF"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de Telefonía Pública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EC22AE4" w14:textId="2EDA05A7"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10,000 líneas activas de telefonía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2B84A4C0" w14:textId="2A574885" w:rsidR="00EF241D" w:rsidRPr="00F82565" w:rsidRDefault="00AB0788"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R006</w:t>
            </w:r>
          </w:p>
        </w:tc>
      </w:tr>
      <w:tr w:rsidR="002D53F5" w:rsidRPr="00F82565" w14:paraId="7A260F97" w14:textId="413F78A1" w:rsidTr="00414ADB">
        <w:tc>
          <w:tcPr>
            <w:tcW w:w="97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3770CC06"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Satelital </w:t>
            </w:r>
          </w:p>
        </w:tc>
        <w:tc>
          <w:tcPr>
            <w:tcW w:w="279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7D4FD186" w14:textId="7D17B374"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accesos activos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FDFDF"/>
            <w:vAlign w:val="center"/>
          </w:tcPr>
          <w:p w14:paraId="296859FE" w14:textId="2BB27068" w:rsidR="00EF241D" w:rsidRPr="00F82565" w:rsidRDefault="00AB0788"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R007</w:t>
            </w:r>
          </w:p>
        </w:tc>
      </w:tr>
      <w:tr w:rsidR="002D53F5" w:rsidRPr="00F82565" w14:paraId="47C6DDC6" w14:textId="431478D9" w:rsidTr="00414ADB">
        <w:tc>
          <w:tcPr>
            <w:tcW w:w="97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21311542"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Acceso a Internet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3095320" w14:textId="114C568A"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200,000 accesos activos a Internet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1C9FFF6F" w14:textId="2EE6748C" w:rsidR="00EF241D" w:rsidRPr="00F82565" w:rsidRDefault="00AB0788"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R008</w:t>
            </w:r>
          </w:p>
        </w:tc>
      </w:tr>
      <w:tr w:rsidR="002D53F5" w:rsidRPr="00F82565" w14:paraId="7D4A648B" w14:textId="2C0D11FD" w:rsidTr="00414ADB">
        <w:tc>
          <w:tcPr>
            <w:tcW w:w="97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3336C52E"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Acceso a Internet </w:t>
            </w:r>
          </w:p>
        </w:tc>
        <w:tc>
          <w:tcPr>
            <w:tcW w:w="279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7373DCA" w14:textId="38A0A71A"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1,000,000 accesos activos a Internet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FDFDF"/>
            <w:vAlign w:val="center"/>
          </w:tcPr>
          <w:p w14:paraId="1DE8A5B1" w14:textId="44F5E2AC" w:rsidR="00EF241D" w:rsidRPr="00F82565" w:rsidRDefault="006E5F0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R009</w:t>
            </w:r>
          </w:p>
        </w:tc>
      </w:tr>
      <w:tr w:rsidR="002D53F5" w:rsidRPr="00F82565" w14:paraId="62B6995B" w14:textId="065CCDB7" w:rsidTr="00414ADB">
        <w:tc>
          <w:tcPr>
            <w:tcW w:w="97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A00137F"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Acceso a Internet bajo esquema OMV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FF8B14C" w14:textId="1064F507"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10,000 accesos activos a Internet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5588C8D2" w14:textId="1EC14863" w:rsidR="00EF241D" w:rsidRPr="00F82565" w:rsidRDefault="006E5F0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R010</w:t>
            </w:r>
          </w:p>
        </w:tc>
      </w:tr>
      <w:tr w:rsidR="002D53F5" w:rsidRPr="00F82565" w14:paraId="71032032" w14:textId="1FC4544A" w:rsidTr="00414ADB">
        <w:tc>
          <w:tcPr>
            <w:tcW w:w="97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122635B7"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Acceso Satelital a Internet </w:t>
            </w:r>
          </w:p>
        </w:tc>
        <w:tc>
          <w:tcPr>
            <w:tcW w:w="279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EE77868" w14:textId="0C18C059"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accesos activos a Internet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FDFDF"/>
            <w:vAlign w:val="center"/>
          </w:tcPr>
          <w:p w14:paraId="01EBE982" w14:textId="5FFB0270" w:rsidR="00EF241D" w:rsidRPr="00F82565" w:rsidRDefault="006E5F0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R011</w:t>
            </w:r>
          </w:p>
        </w:tc>
      </w:tr>
      <w:tr w:rsidR="002D53F5" w:rsidRPr="00F82565" w14:paraId="5F0A1BF4" w14:textId="286EFE89" w:rsidTr="00414ADB">
        <w:tc>
          <w:tcPr>
            <w:tcW w:w="97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FF70604"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Televisión y Audio Restringidos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2AE9800" w14:textId="2C97CFA7"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200,000 accesos activos de televisión y audio restringido mediante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4DAFC1C9" w14:textId="453A85A0" w:rsidR="00EF241D" w:rsidRPr="00F82565" w:rsidRDefault="006E5F0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R012</w:t>
            </w:r>
          </w:p>
        </w:tc>
      </w:tr>
      <w:tr w:rsidR="002D53F5" w:rsidRPr="00F82565" w14:paraId="14C2D82D" w14:textId="5D80A384" w:rsidTr="00414ADB">
        <w:tc>
          <w:tcPr>
            <w:tcW w:w="97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1DF4552"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de Enlaces Dedicados </w:t>
            </w:r>
          </w:p>
        </w:tc>
        <w:tc>
          <w:tcPr>
            <w:tcW w:w="279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0D7320ED" w14:textId="509889DB"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enlaces dedicados activos mediante la comercialización de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FDFDF"/>
            <w:vAlign w:val="center"/>
          </w:tcPr>
          <w:p w14:paraId="5AD98411" w14:textId="33CE5A70" w:rsidR="00EF241D" w:rsidRPr="00F82565" w:rsidRDefault="006B4FB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R013</w:t>
            </w:r>
          </w:p>
        </w:tc>
      </w:tr>
      <w:tr w:rsidR="002D53F5" w:rsidRPr="00F82565" w14:paraId="22F1CB18" w14:textId="1B638BD4" w:rsidTr="00414ADB">
        <w:tc>
          <w:tcPr>
            <w:tcW w:w="97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11EBF30B"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de Provisión de Capacidad Satelital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3D7A56B" w14:textId="112FCA46"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12,000,000 MXN, mediante la comercialización de este servicio a usuarios finales,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1170008F" w14:textId="5D0141F1" w:rsidR="00EF241D" w:rsidRPr="00F82565" w:rsidRDefault="006B4FB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R014</w:t>
            </w:r>
          </w:p>
        </w:tc>
      </w:tr>
      <w:tr w:rsidR="002D53F5" w:rsidRPr="00F82565" w14:paraId="7E0686D5" w14:textId="13B32AFC" w:rsidTr="00414ADB">
        <w:tc>
          <w:tcPr>
            <w:tcW w:w="97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31092DAA"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Provisión de Servicios Fijos para Reventa </w:t>
            </w:r>
          </w:p>
        </w:tc>
        <w:tc>
          <w:tcPr>
            <w:tcW w:w="279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48299359" w14:textId="716FAA35"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9D9D9"/>
            <w:vAlign w:val="center"/>
          </w:tcPr>
          <w:p w14:paraId="7562FA81" w14:textId="1CB07F4D" w:rsidR="00EF241D" w:rsidRPr="00F82565" w:rsidRDefault="006B4FB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R15</w:t>
            </w:r>
          </w:p>
        </w:tc>
      </w:tr>
      <w:tr w:rsidR="002D53F5" w:rsidRPr="00F82565" w14:paraId="4CB04342" w14:textId="3A0C65DF" w:rsidTr="00414ADB">
        <w:tc>
          <w:tcPr>
            <w:tcW w:w="97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B6FA0D9"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Provisión de Servicios Móviles para Reventa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47A8E41" w14:textId="63E197BB"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2,500,000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3860CE43" w14:textId="6BB95170" w:rsidR="00EF241D" w:rsidRPr="00F82565" w:rsidRDefault="006B4FB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R016</w:t>
            </w:r>
          </w:p>
        </w:tc>
      </w:tr>
      <w:tr w:rsidR="002D53F5" w:rsidRPr="00F82565" w14:paraId="1F7BE9E0" w14:textId="4CB12D97" w:rsidTr="00414ADB">
        <w:tc>
          <w:tcPr>
            <w:tcW w:w="97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2111072E"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lastRenderedPageBreak/>
              <w:t>Servicio Mayorista de Interconexión </w:t>
            </w:r>
          </w:p>
        </w:tc>
        <w:tc>
          <w:tcPr>
            <w:tcW w:w="279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254D3F23" w14:textId="6086D119"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3,000,000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9D9D9"/>
            <w:vAlign w:val="center"/>
          </w:tcPr>
          <w:p w14:paraId="4E4588C9" w14:textId="3642A217" w:rsidR="00EF241D" w:rsidRPr="00F82565" w:rsidRDefault="006B4FB9"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R017</w:t>
            </w:r>
          </w:p>
        </w:tc>
      </w:tr>
      <w:tr w:rsidR="002D53F5" w:rsidRPr="00F82565" w14:paraId="43D02599" w14:textId="0EB87380" w:rsidTr="00414ADB">
        <w:tc>
          <w:tcPr>
            <w:tcW w:w="97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6FC7E6C7"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Intercambio de Tráfico de Internet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2ED472B" w14:textId="42C0824A"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4F89017B" w14:textId="1F8B2CDE" w:rsidR="00EF241D" w:rsidRPr="00F82565" w:rsidRDefault="00216E8F"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R018</w:t>
            </w:r>
          </w:p>
        </w:tc>
      </w:tr>
      <w:tr w:rsidR="002D53F5" w:rsidRPr="00F82565" w14:paraId="604324DD" w14:textId="12237C8F" w:rsidTr="00414ADB">
        <w:tc>
          <w:tcPr>
            <w:tcW w:w="97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233F246B"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Usuario Visitante </w:t>
            </w:r>
          </w:p>
        </w:tc>
        <w:tc>
          <w:tcPr>
            <w:tcW w:w="279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4864DB70" w14:textId="685D6BFF"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55,000,000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9D9D9"/>
            <w:vAlign w:val="center"/>
          </w:tcPr>
          <w:p w14:paraId="328DB110" w14:textId="03A697BB" w:rsidR="00EF241D" w:rsidRPr="00F82565" w:rsidRDefault="00216E8F"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R019</w:t>
            </w:r>
          </w:p>
        </w:tc>
      </w:tr>
      <w:tr w:rsidR="002D53F5" w:rsidRPr="00F82565" w14:paraId="2F12B8F8" w14:textId="2CF28E8C" w:rsidTr="00414ADB">
        <w:tc>
          <w:tcPr>
            <w:tcW w:w="97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0AEA0F93"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Coubicación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0643359" w14:textId="63051756"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25,000,000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5822246D" w14:textId="5D32122F" w:rsidR="00EF241D" w:rsidRPr="00F82565" w:rsidRDefault="00216E8F"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R020</w:t>
            </w:r>
          </w:p>
        </w:tc>
      </w:tr>
      <w:tr w:rsidR="002D53F5" w:rsidRPr="00F82565" w14:paraId="3910B467" w14:textId="45CE1153" w:rsidTr="00414ADB">
        <w:tc>
          <w:tcPr>
            <w:tcW w:w="97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7C4EE18D"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Acceso y Uso Compartido de Infraestructura </w:t>
            </w:r>
          </w:p>
        </w:tc>
        <w:tc>
          <w:tcPr>
            <w:tcW w:w="279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792FC7CB" w14:textId="555D2831"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50,000,000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9D9D9"/>
            <w:vAlign w:val="center"/>
          </w:tcPr>
          <w:p w14:paraId="1F171512" w14:textId="7F947CDC" w:rsidR="00EF241D" w:rsidRPr="00F82565" w:rsidRDefault="00216E8F"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R021</w:t>
            </w:r>
          </w:p>
        </w:tc>
      </w:tr>
      <w:tr w:rsidR="002D53F5" w:rsidRPr="00F82565" w14:paraId="2EDB6958" w14:textId="3ABA9A98" w:rsidTr="00414ADB">
        <w:tc>
          <w:tcPr>
            <w:tcW w:w="97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0E59E6C"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Enlaces Dedicados </w:t>
            </w:r>
          </w:p>
        </w:tc>
        <w:tc>
          <w:tcPr>
            <w:tcW w:w="279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3FB6842" w14:textId="764DBCC8"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200,000,000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vAlign w:val="center"/>
          </w:tcPr>
          <w:p w14:paraId="76D9B5D4" w14:textId="0C2D934F" w:rsidR="00EF241D" w:rsidRPr="00F82565" w:rsidRDefault="00216E8F"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R022</w:t>
            </w:r>
          </w:p>
        </w:tc>
      </w:tr>
      <w:tr w:rsidR="002D53F5" w:rsidRPr="00F82565" w14:paraId="72FE13A1" w14:textId="1D9769B4" w:rsidTr="00414ADB">
        <w:tc>
          <w:tcPr>
            <w:tcW w:w="97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326525BE" w14:textId="77777777" w:rsidR="002D53F5" w:rsidRPr="00F82565" w:rsidRDefault="002D53F5" w:rsidP="00DA41C8">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Provisión de Capacidad Satelital </w:t>
            </w:r>
          </w:p>
        </w:tc>
        <w:tc>
          <w:tcPr>
            <w:tcW w:w="279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6D65BC84" w14:textId="1F503CFE" w:rsidR="002D53F5" w:rsidRPr="00F82565" w:rsidRDefault="002D53F5" w:rsidP="00DA41C8">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70,000,000 MXN, mediante la provisión de este servicio a otros Operadores, al 31 de diciembre del año calendario previo </w:t>
            </w:r>
          </w:p>
        </w:tc>
        <w:tc>
          <w:tcPr>
            <w:tcW w:w="1229" w:type="pct"/>
            <w:tcBorders>
              <w:top w:val="single" w:sz="6" w:space="0" w:color="C0C0C0"/>
              <w:left w:val="single" w:sz="6" w:space="0" w:color="C0C0C0"/>
              <w:bottom w:val="single" w:sz="6" w:space="0" w:color="C0C0C0"/>
              <w:right w:val="single" w:sz="6" w:space="0" w:color="C0C0C0"/>
            </w:tcBorders>
            <w:shd w:val="clear" w:color="auto" w:fill="D9D9D9"/>
            <w:vAlign w:val="center"/>
          </w:tcPr>
          <w:p w14:paraId="7BD921B5" w14:textId="4656DA67" w:rsidR="00EF241D" w:rsidRPr="00F82565" w:rsidRDefault="00216E8F" w:rsidP="006E3DF0">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R023</w:t>
            </w:r>
          </w:p>
        </w:tc>
      </w:tr>
    </w:tbl>
    <w:p w14:paraId="1347EA07" w14:textId="6FCDF4CB" w:rsidR="00CE0B10" w:rsidRDefault="00CE0B10" w:rsidP="00AE30C2">
      <w:pPr>
        <w:spacing w:after="0"/>
        <w:jc w:val="both"/>
        <w:rPr>
          <w:rFonts w:ascii="Arial" w:hAnsi="Arial" w:cs="Arial"/>
          <w:sz w:val="18"/>
          <w:szCs w:val="18"/>
        </w:rPr>
      </w:pPr>
    </w:p>
    <w:p w14:paraId="6E41CDBF" w14:textId="5683A46E" w:rsidR="003637BB" w:rsidRPr="003637BB" w:rsidRDefault="003D085B" w:rsidP="00AE30C2">
      <w:pPr>
        <w:spacing w:after="0"/>
        <w:jc w:val="both"/>
        <w:rPr>
          <w:rFonts w:ascii="Arial" w:hAnsi="Arial" w:cs="Arial"/>
          <w:sz w:val="18"/>
          <w:szCs w:val="18"/>
        </w:rPr>
      </w:pPr>
      <w:r w:rsidRPr="003D085B">
        <w:rPr>
          <w:rFonts w:ascii="Arial" w:hAnsi="Arial" w:cs="Arial"/>
          <w:sz w:val="18"/>
          <w:szCs w:val="18"/>
        </w:rPr>
        <w:t>Se exceptúa de lo anterior el AEPT, el cual no deberá entregar en ningún caso los eFormatos R015, R016, R017, R019, R020, R021 y R022.</w:t>
      </w:r>
    </w:p>
    <w:p w14:paraId="6D7F1178" w14:textId="77777777" w:rsidR="003637BB" w:rsidRPr="003637BB" w:rsidRDefault="003637BB" w:rsidP="00AE30C2">
      <w:pPr>
        <w:spacing w:after="0"/>
        <w:jc w:val="both"/>
        <w:rPr>
          <w:rFonts w:ascii="Arial" w:hAnsi="Arial" w:cs="Arial"/>
          <w:sz w:val="18"/>
          <w:szCs w:val="18"/>
        </w:rPr>
      </w:pPr>
    </w:p>
    <w:p w14:paraId="3ECE16D0" w14:textId="34A03880" w:rsidR="003637BB" w:rsidRPr="003637BB" w:rsidRDefault="003637BB" w:rsidP="00AE30C2">
      <w:pPr>
        <w:pStyle w:val="Prrafodelista"/>
        <w:numPr>
          <w:ilvl w:val="0"/>
          <w:numId w:val="19"/>
        </w:numPr>
        <w:spacing w:line="276" w:lineRule="auto"/>
        <w:jc w:val="both"/>
        <w:rPr>
          <w:rFonts w:cs="Arial"/>
          <w:b/>
          <w:sz w:val="18"/>
          <w:szCs w:val="18"/>
          <w:u w:val="single"/>
        </w:rPr>
      </w:pPr>
      <w:r w:rsidRPr="003637BB">
        <w:rPr>
          <w:rFonts w:cs="Arial"/>
          <w:b/>
          <w:sz w:val="18"/>
          <w:szCs w:val="18"/>
          <w:u w:val="single"/>
        </w:rPr>
        <w:t xml:space="preserve">Obligaciones para Operadores que actualizan los </w:t>
      </w:r>
      <w:r w:rsidR="00414ADB">
        <w:rPr>
          <w:rFonts w:cs="Arial"/>
          <w:b/>
          <w:sz w:val="18"/>
          <w:szCs w:val="18"/>
          <w:u w:val="single"/>
        </w:rPr>
        <w:t>S</w:t>
      </w:r>
      <w:r w:rsidR="00414ADB" w:rsidRPr="003637BB">
        <w:rPr>
          <w:rFonts w:cs="Arial"/>
          <w:b/>
          <w:sz w:val="18"/>
          <w:szCs w:val="18"/>
          <w:u w:val="single"/>
        </w:rPr>
        <w:t xml:space="preserve">upuestos </w:t>
      </w:r>
      <w:r w:rsidR="00414ADB">
        <w:rPr>
          <w:rFonts w:cs="Arial"/>
          <w:b/>
          <w:sz w:val="18"/>
          <w:szCs w:val="18"/>
          <w:u w:val="single"/>
        </w:rPr>
        <w:t>B</w:t>
      </w:r>
      <w:r w:rsidR="00626ED3">
        <w:rPr>
          <w:rFonts w:cs="Arial"/>
          <w:b/>
          <w:sz w:val="18"/>
          <w:szCs w:val="18"/>
          <w:u w:val="single"/>
        </w:rPr>
        <w:t xml:space="preserve"> </w:t>
      </w:r>
      <w:r w:rsidRPr="003637BB">
        <w:rPr>
          <w:rFonts w:cs="Arial"/>
          <w:b/>
          <w:sz w:val="18"/>
          <w:szCs w:val="18"/>
          <w:u w:val="single"/>
        </w:rPr>
        <w:t>determinados, con base en su volumen de comercialización de servicios:</w:t>
      </w:r>
    </w:p>
    <w:p w14:paraId="034E0AE6" w14:textId="77777777" w:rsidR="003637BB" w:rsidRPr="003637BB" w:rsidRDefault="003637BB" w:rsidP="00AE30C2">
      <w:pPr>
        <w:spacing w:after="0"/>
        <w:jc w:val="both"/>
        <w:rPr>
          <w:rFonts w:ascii="Arial" w:hAnsi="Arial" w:cs="Arial"/>
          <w:sz w:val="18"/>
          <w:szCs w:val="18"/>
        </w:rPr>
      </w:pPr>
    </w:p>
    <w:p w14:paraId="6404CB28" w14:textId="4DE56B2C" w:rsidR="003637BB" w:rsidRDefault="003D085B" w:rsidP="00AE30C2">
      <w:pPr>
        <w:spacing w:after="0"/>
        <w:jc w:val="both"/>
        <w:rPr>
          <w:rFonts w:ascii="Arial" w:hAnsi="Arial" w:cs="Arial"/>
          <w:sz w:val="18"/>
          <w:szCs w:val="18"/>
        </w:rPr>
      </w:pPr>
      <w:r w:rsidRPr="003D085B">
        <w:rPr>
          <w:rFonts w:ascii="Arial" w:hAnsi="Arial" w:cs="Arial"/>
          <w:sz w:val="18"/>
          <w:szCs w:val="18"/>
        </w:rPr>
        <w:t xml:space="preserve">Los Operadores de </w:t>
      </w:r>
      <w:r w:rsidR="002455D5">
        <w:rPr>
          <w:rFonts w:ascii="Arial" w:hAnsi="Arial" w:cs="Arial"/>
          <w:sz w:val="18"/>
          <w:szCs w:val="18"/>
        </w:rPr>
        <w:t>T</w:t>
      </w:r>
      <w:r w:rsidRPr="003D085B">
        <w:rPr>
          <w:rFonts w:ascii="Arial" w:hAnsi="Arial" w:cs="Arial"/>
          <w:sz w:val="18"/>
          <w:szCs w:val="18"/>
        </w:rPr>
        <w:t xml:space="preserve">elecomunicaciones que posean títulos habilitantes para uso comercial, que </w:t>
      </w:r>
      <w:r w:rsidR="00F82565">
        <w:rPr>
          <w:rFonts w:ascii="Arial" w:hAnsi="Arial" w:cs="Arial"/>
          <w:sz w:val="18"/>
          <w:szCs w:val="18"/>
        </w:rPr>
        <w:t xml:space="preserve">para al menos un servicio de telecomunicaciones que comercialicen </w:t>
      </w:r>
      <w:r w:rsidRPr="003D085B">
        <w:rPr>
          <w:rFonts w:ascii="Arial" w:hAnsi="Arial" w:cs="Arial"/>
          <w:sz w:val="18"/>
          <w:szCs w:val="18"/>
        </w:rPr>
        <w:t xml:space="preserve">hayan actualizado los supuestos </w:t>
      </w:r>
      <w:r w:rsidR="00F82565">
        <w:rPr>
          <w:rFonts w:ascii="Arial" w:hAnsi="Arial" w:cs="Arial"/>
          <w:sz w:val="18"/>
          <w:szCs w:val="18"/>
        </w:rPr>
        <w:t>B determinados en el presente numeral, y que para ningún servicio hayan actualizado los supuestos A determinados en el numeral 1 del presente Lineamiento,</w:t>
      </w:r>
      <w:r w:rsidRPr="003D085B">
        <w:rPr>
          <w:rFonts w:ascii="Arial" w:hAnsi="Arial" w:cs="Arial"/>
          <w:sz w:val="18"/>
          <w:szCs w:val="18"/>
        </w:rPr>
        <w:t xml:space="preserve"> deberán entregar anualmente el </w:t>
      </w:r>
      <w:r w:rsidRPr="004960E7">
        <w:rPr>
          <w:rFonts w:ascii="Arial" w:hAnsi="Arial" w:cs="Arial"/>
          <w:sz w:val="18"/>
          <w:szCs w:val="18"/>
        </w:rPr>
        <w:t>eFormato R002</w:t>
      </w:r>
      <w:r w:rsidRPr="00F82565">
        <w:rPr>
          <w:rFonts w:ascii="Arial" w:hAnsi="Arial" w:cs="Arial"/>
          <w:sz w:val="18"/>
          <w:szCs w:val="18"/>
        </w:rPr>
        <w:t>.</w:t>
      </w:r>
      <w:r w:rsidR="00F82565">
        <w:rPr>
          <w:rFonts w:ascii="Arial" w:hAnsi="Arial" w:cs="Arial"/>
          <w:sz w:val="18"/>
          <w:szCs w:val="18"/>
        </w:rPr>
        <w:t xml:space="preserve"> Para esto se deberán considerar los servicios de telecomunicaciones definidos en el Anexo A, numerales 6 y 7 de los presentes Lineamientos.</w:t>
      </w:r>
    </w:p>
    <w:p w14:paraId="548EAAFC" w14:textId="00425AF8" w:rsidR="00F82565" w:rsidRDefault="00F82565" w:rsidP="00AE30C2">
      <w:pPr>
        <w:spacing w:after="0"/>
        <w:jc w:val="both"/>
        <w:rPr>
          <w:rFonts w:ascii="Arial" w:hAnsi="Arial" w:cs="Arial"/>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4A0" w:firstRow="1" w:lastRow="0" w:firstColumn="1" w:lastColumn="0" w:noHBand="0" w:noVBand="1"/>
      </w:tblPr>
      <w:tblGrid>
        <w:gridCol w:w="2604"/>
        <w:gridCol w:w="6784"/>
      </w:tblGrid>
      <w:tr w:rsidR="00F82565" w:rsidRPr="00F82565" w14:paraId="6BDAEBE8"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CCCCCC"/>
            <w:vAlign w:val="center"/>
            <w:hideMark/>
          </w:tcPr>
          <w:p w14:paraId="3A00210F"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b/>
                <w:bCs/>
                <w:sz w:val="18"/>
                <w:szCs w:val="18"/>
                <w:lang w:eastAsia="es-MX"/>
              </w:rPr>
              <w:t>Servicio de telecomunicaciones</w:t>
            </w:r>
          </w:p>
        </w:tc>
        <w:tc>
          <w:tcPr>
            <w:tcW w:w="3613" w:type="pct"/>
            <w:tcBorders>
              <w:top w:val="single" w:sz="6" w:space="0" w:color="C0C0C0"/>
              <w:left w:val="single" w:sz="6" w:space="0" w:color="C0C0C0"/>
              <w:bottom w:val="single" w:sz="6" w:space="0" w:color="C0C0C0"/>
              <w:right w:val="single" w:sz="6" w:space="0" w:color="C0C0C0"/>
            </w:tcBorders>
            <w:shd w:val="clear" w:color="auto" w:fill="CCCCCC"/>
            <w:vAlign w:val="center"/>
            <w:hideMark/>
          </w:tcPr>
          <w:p w14:paraId="320102F3"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b/>
                <w:bCs/>
                <w:sz w:val="18"/>
                <w:szCs w:val="18"/>
                <w:lang w:eastAsia="es-MX"/>
              </w:rPr>
              <w:t xml:space="preserve">Supuestos B determinados para cada Servicio de telecomunicaciones </w:t>
            </w:r>
          </w:p>
        </w:tc>
      </w:tr>
      <w:tr w:rsidR="00F82565" w:rsidRPr="00F82565" w14:paraId="414860C9"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489915FF"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Telefonía </w:t>
            </w:r>
          </w:p>
        </w:tc>
        <w:tc>
          <w:tcPr>
            <w:tcW w:w="361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33EDB513"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líneas activas de telefonía y menor de 200,000 líneas activas de telefonía mediante este servicio a usuarios finales, al 31 de diciembre del año calendario previo  </w:t>
            </w:r>
          </w:p>
        </w:tc>
      </w:tr>
      <w:tr w:rsidR="00F82565" w:rsidRPr="00F82565" w14:paraId="4232AB03"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0B5D26B"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Telefonía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A560CB8"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10,000 líneas activas de telefonía y menor de 1,000,000 de líneas activas de telefonía mediante este servicio a usuarios finales, al 31 de diciembre del año calendario previo </w:t>
            </w:r>
          </w:p>
        </w:tc>
      </w:tr>
      <w:tr w:rsidR="00F82565" w:rsidRPr="00F82565" w14:paraId="5024CEB9"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CD76676"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Telefonía bajo esquema OMV </w:t>
            </w:r>
          </w:p>
        </w:tc>
        <w:tc>
          <w:tcPr>
            <w:tcW w:w="361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E828492"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líneas activas de telefonía y menor de 10,000 líneas activas de telefonía mediante este servicio a usuarios finales, al 31 de diciembre del año calendario previo </w:t>
            </w:r>
          </w:p>
        </w:tc>
      </w:tr>
      <w:tr w:rsidR="00F82565" w:rsidRPr="00F82565" w14:paraId="38A8942C"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F1B6873"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de Telefonía Pública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982C411"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líneas activas de telefonía y menor de 10,000 líneas activas de telefonía mediante este servicio a usuarios finales, al 31 de diciembre del año calendario previo </w:t>
            </w:r>
          </w:p>
        </w:tc>
      </w:tr>
      <w:tr w:rsidR="00F82565" w:rsidRPr="00F82565" w14:paraId="49D6EDDD"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36492737"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lastRenderedPageBreak/>
              <w:t>Servicio Minorista Móvil Satelital </w:t>
            </w:r>
          </w:p>
        </w:tc>
        <w:tc>
          <w:tcPr>
            <w:tcW w:w="361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2F722A8B"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500 accesos activos y menor de 1,000 accesos activos mediante este servicio a usuarios finales, al 31 de diciembre del año calendario previo </w:t>
            </w:r>
          </w:p>
        </w:tc>
      </w:tr>
      <w:tr w:rsidR="00F82565" w:rsidRPr="00F82565" w14:paraId="652EC696"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570092E"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Acceso a Internet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61D1801"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accesos activos a Internet y menor de 200,000 accesos activos a Internet mediante este servicio a usuarios finales, al 31 de diciembre del año calendario previo </w:t>
            </w:r>
          </w:p>
        </w:tc>
      </w:tr>
      <w:tr w:rsidR="00F82565" w:rsidRPr="00F82565" w14:paraId="0C179B8D"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4E855BBB"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Acceso a Internet </w:t>
            </w:r>
          </w:p>
        </w:tc>
        <w:tc>
          <w:tcPr>
            <w:tcW w:w="361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6D1CFCB5"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10,000 accesos activos a Internet y menor de 1,000,000 accesos activos a Internet mediante este servicio a usuarios finales, al 31 de diciembre del año calendario previo </w:t>
            </w:r>
          </w:p>
        </w:tc>
      </w:tr>
      <w:tr w:rsidR="00F82565" w:rsidRPr="00F82565" w14:paraId="75A162FA"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0B72401"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Móvil de Acceso a Internet bajo esquema OMV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CECDB2F"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1,000 accesos activos a Internet y menor de 10,000 accesos activos a Internet mediante este servicio a usuarios finales, al 31 de diciembre del año calendario previo </w:t>
            </w:r>
          </w:p>
        </w:tc>
      </w:tr>
      <w:tr w:rsidR="00F82565" w:rsidRPr="00F82565" w14:paraId="7C9C6F7E"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4B5F1269"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Acceso Satelital a Internet </w:t>
            </w:r>
          </w:p>
        </w:tc>
        <w:tc>
          <w:tcPr>
            <w:tcW w:w="361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19521280"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500 accesos activos a Internet y menor de 1,000 accesos activos a Internet mediante este servicio a usuarios finales, al 31 de diciembre del año calendario previo </w:t>
            </w:r>
          </w:p>
        </w:tc>
      </w:tr>
      <w:tr w:rsidR="00F82565" w:rsidRPr="00F82565" w14:paraId="4BAA40E2"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86E416B"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Fijo de Televisión y Audio Restringidos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8D05719"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30,000 accesos activos de televisión y audio restringido y menor de 200,000 accesos activos de televisión y audio restringido mediante este servicio a usuarios finales, al 31 de diciembre del año calendario previo </w:t>
            </w:r>
          </w:p>
        </w:tc>
      </w:tr>
      <w:tr w:rsidR="00F82565" w:rsidRPr="00F82565" w14:paraId="5F26D249"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5D880008"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de Enlaces Dedicados </w:t>
            </w:r>
          </w:p>
        </w:tc>
        <w:tc>
          <w:tcPr>
            <w:tcW w:w="3613" w:type="pct"/>
            <w:tcBorders>
              <w:top w:val="single" w:sz="6" w:space="0" w:color="C0C0C0"/>
              <w:left w:val="single" w:sz="6" w:space="0" w:color="C0C0C0"/>
              <w:bottom w:val="single" w:sz="6" w:space="0" w:color="C0C0C0"/>
              <w:right w:val="single" w:sz="6" w:space="0" w:color="C0C0C0"/>
            </w:tcBorders>
            <w:shd w:val="clear" w:color="auto" w:fill="DFDFDF"/>
            <w:vAlign w:val="center"/>
            <w:hideMark/>
          </w:tcPr>
          <w:p w14:paraId="45761C41"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Comercializar un número igual o mayor de 500 enlaces dedicados activos y menor a 1,000 enlaces dedicados activos mediante la comercialización de este servicio a usuarios finales, al 31 de diciembre del año calendario previo </w:t>
            </w:r>
          </w:p>
        </w:tc>
      </w:tr>
      <w:tr w:rsidR="00F82565" w:rsidRPr="00F82565" w14:paraId="1043B517"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6F5E3134"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Minorista de Provisión de Capacidad Satelital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B928D4F"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2,000,000 MXN y menor de 12,000,000 MXN, mediante la comercialización de este servicio a usuarios finales, al 31 de diciembre del año calendario previo </w:t>
            </w:r>
          </w:p>
        </w:tc>
      </w:tr>
      <w:tr w:rsidR="00F82565" w:rsidRPr="00F82565" w14:paraId="26074D5C"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1086FF56"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Provisión de Servicios Fijos para Reventa </w:t>
            </w:r>
          </w:p>
        </w:tc>
        <w:tc>
          <w:tcPr>
            <w:tcW w:w="361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25FE40C3"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 MXN y menor de 10,000,000 MXN, mediante la provisión de este servicio a otros Operadores, al 31 de diciembre del año calendario previo </w:t>
            </w:r>
          </w:p>
        </w:tc>
      </w:tr>
      <w:tr w:rsidR="00F82565" w:rsidRPr="00F82565" w14:paraId="30298A9B"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12F9812"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Provisión de Servicios Móviles para Reventa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9E98F42"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 MXN y menor de 2,500,000 MXN, mediante la provisión de este servicio a otros Operadores, al 31 de diciembre del año calendario previo </w:t>
            </w:r>
          </w:p>
        </w:tc>
      </w:tr>
      <w:tr w:rsidR="00F82565" w:rsidRPr="00F82565" w14:paraId="6E94AE86"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44B7210E"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Interconexión </w:t>
            </w:r>
          </w:p>
        </w:tc>
        <w:tc>
          <w:tcPr>
            <w:tcW w:w="361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407BF5E2"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 y menor de 3,000,000 MXN, mediante la provisión de este servicio a otros Operadores, al 31 de diciembre del año calendario previo </w:t>
            </w:r>
          </w:p>
        </w:tc>
      </w:tr>
      <w:tr w:rsidR="00F82565" w:rsidRPr="00F82565" w14:paraId="1FC773FF"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8F83933"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Intercambio de Tráfico de Internet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5B7305F"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4,000,000 MXN y menor de 10,000,000 MXN, mediante la provisión de este servicio a otros Operadores, al 31 de diciembre del año calendario previo </w:t>
            </w:r>
          </w:p>
        </w:tc>
      </w:tr>
      <w:tr w:rsidR="00F82565" w:rsidRPr="00F82565" w14:paraId="222E69AF"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41B9BC0D"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Usuario Visitante </w:t>
            </w:r>
          </w:p>
        </w:tc>
        <w:tc>
          <w:tcPr>
            <w:tcW w:w="361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0D702454"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10,000,000 y menor de 55,000,000 MXN, mediante la provisión de este servicio a otros Operadores, al 31 de diciembre del año calendario previo </w:t>
            </w:r>
          </w:p>
        </w:tc>
      </w:tr>
      <w:tr w:rsidR="00F82565" w:rsidRPr="00F82565" w14:paraId="1D5E6132"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699916C5"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Coubicación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10B6640"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 MXN y menor de 25,000,000 MXN, mediante la provisión de este servicio a otros Operadores, al 31 de diciembre del año calendario previo </w:t>
            </w:r>
          </w:p>
        </w:tc>
      </w:tr>
      <w:tr w:rsidR="00F82565" w:rsidRPr="00F82565" w14:paraId="6C53AE25"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48C37AA1"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Acceso y Uso Compartido de Infraestructura </w:t>
            </w:r>
          </w:p>
        </w:tc>
        <w:tc>
          <w:tcPr>
            <w:tcW w:w="361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0E444690"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10,000,000 y menor de 50,000,000 MXN, mediante la provisión de este servicio a otros Operadores, al 31 de diciembre del año calendario previo </w:t>
            </w:r>
          </w:p>
        </w:tc>
      </w:tr>
      <w:tr w:rsidR="00F82565" w:rsidRPr="00F82565" w14:paraId="56EBA3DD"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614CA53F"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Enlaces Dedicados </w:t>
            </w:r>
          </w:p>
        </w:tc>
        <w:tc>
          <w:tcPr>
            <w:tcW w:w="3613" w:type="pc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46C39A0"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10,000,000 MXN y menor de 200,000,000 MXN, mediante la provisión de este servicio a otros Operadores, al 31 de diciembre del año calendario previo </w:t>
            </w:r>
          </w:p>
        </w:tc>
      </w:tr>
      <w:tr w:rsidR="00F82565" w:rsidRPr="00F82565" w14:paraId="23615938" w14:textId="77777777" w:rsidTr="00FD1D43">
        <w:tc>
          <w:tcPr>
            <w:tcW w:w="1387"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28FA2EFA" w14:textId="77777777" w:rsidR="00F82565" w:rsidRPr="00F82565" w:rsidRDefault="00F82565" w:rsidP="00A748B3">
            <w:pPr>
              <w:spacing w:after="0" w:line="240" w:lineRule="auto"/>
              <w:jc w:val="center"/>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Servicio Mayorista de Provisión de Capacidad Satelital </w:t>
            </w:r>
          </w:p>
        </w:tc>
        <w:tc>
          <w:tcPr>
            <w:tcW w:w="3613" w:type="pct"/>
            <w:tcBorders>
              <w:top w:val="single" w:sz="6" w:space="0" w:color="C0C0C0"/>
              <w:left w:val="single" w:sz="6" w:space="0" w:color="C0C0C0"/>
              <w:bottom w:val="single" w:sz="6" w:space="0" w:color="C0C0C0"/>
              <w:right w:val="single" w:sz="6" w:space="0" w:color="C0C0C0"/>
            </w:tcBorders>
            <w:shd w:val="clear" w:color="auto" w:fill="D9D9D9"/>
            <w:vAlign w:val="center"/>
            <w:hideMark/>
          </w:tcPr>
          <w:p w14:paraId="20E8F08F" w14:textId="77777777" w:rsidR="00F82565" w:rsidRPr="00F82565" w:rsidRDefault="00F82565" w:rsidP="00A748B3">
            <w:pPr>
              <w:spacing w:after="0" w:line="240" w:lineRule="auto"/>
              <w:jc w:val="both"/>
              <w:textAlignment w:val="baseline"/>
              <w:rPr>
                <w:rFonts w:ascii="Arial" w:eastAsia="Times New Roman" w:hAnsi="Arial" w:cs="Arial"/>
                <w:sz w:val="18"/>
                <w:szCs w:val="18"/>
                <w:lang w:eastAsia="es-MX"/>
              </w:rPr>
            </w:pPr>
            <w:r w:rsidRPr="00F82565">
              <w:rPr>
                <w:rFonts w:ascii="Arial" w:eastAsia="Times New Roman" w:hAnsi="Arial" w:cs="Arial"/>
                <w:sz w:val="18"/>
                <w:szCs w:val="18"/>
                <w:lang w:eastAsia="es-MX"/>
              </w:rPr>
              <w:t>Haber obtenido una suma anual de ingresos facturados igual o mayor de 20,000,000 MXN y menor de 70,000,000 MXN, mediante la provisión de este servicio a otros Operadores, al 31 de diciembre del año calendario previo </w:t>
            </w:r>
          </w:p>
        </w:tc>
      </w:tr>
    </w:tbl>
    <w:p w14:paraId="3A68AD09" w14:textId="77777777" w:rsidR="00626ED3" w:rsidRDefault="00626ED3" w:rsidP="00626ED3">
      <w:pPr>
        <w:pStyle w:val="Prrafodelista"/>
        <w:spacing w:line="276" w:lineRule="auto"/>
        <w:ind w:left="720"/>
        <w:jc w:val="both"/>
        <w:rPr>
          <w:rFonts w:cs="Arial"/>
          <w:b/>
          <w:sz w:val="18"/>
          <w:szCs w:val="18"/>
          <w:u w:val="single"/>
        </w:rPr>
      </w:pPr>
    </w:p>
    <w:p w14:paraId="6FCC8F55" w14:textId="5847D48D" w:rsidR="0086384C" w:rsidRDefault="00626ED3" w:rsidP="00771778">
      <w:pPr>
        <w:pStyle w:val="Prrafodelista"/>
        <w:numPr>
          <w:ilvl w:val="0"/>
          <w:numId w:val="19"/>
        </w:numPr>
        <w:spacing w:line="276" w:lineRule="auto"/>
        <w:jc w:val="both"/>
        <w:rPr>
          <w:rFonts w:cs="Arial"/>
          <w:b/>
          <w:sz w:val="18"/>
          <w:szCs w:val="18"/>
          <w:u w:val="single"/>
        </w:rPr>
      </w:pPr>
      <w:r w:rsidRPr="003637BB">
        <w:rPr>
          <w:rFonts w:cs="Arial"/>
          <w:b/>
          <w:sz w:val="18"/>
          <w:szCs w:val="18"/>
          <w:u w:val="single"/>
        </w:rPr>
        <w:lastRenderedPageBreak/>
        <w:t xml:space="preserve">Obligaciones para Operadores que actualizan los </w:t>
      </w:r>
      <w:r>
        <w:rPr>
          <w:rFonts w:cs="Arial"/>
          <w:b/>
          <w:sz w:val="18"/>
          <w:szCs w:val="18"/>
          <w:u w:val="single"/>
        </w:rPr>
        <w:t>S</w:t>
      </w:r>
      <w:r w:rsidRPr="003637BB">
        <w:rPr>
          <w:rFonts w:cs="Arial"/>
          <w:b/>
          <w:sz w:val="18"/>
          <w:szCs w:val="18"/>
          <w:u w:val="single"/>
        </w:rPr>
        <w:t>upuestos</w:t>
      </w:r>
      <w:r>
        <w:rPr>
          <w:rFonts w:cs="Arial"/>
          <w:b/>
          <w:sz w:val="18"/>
          <w:szCs w:val="18"/>
          <w:u w:val="single"/>
        </w:rPr>
        <w:t xml:space="preserve"> C </w:t>
      </w:r>
      <w:r w:rsidRPr="003637BB">
        <w:rPr>
          <w:rFonts w:cs="Arial"/>
          <w:b/>
          <w:sz w:val="18"/>
          <w:szCs w:val="18"/>
          <w:u w:val="single"/>
        </w:rPr>
        <w:t>determinados, con base en su volumen de comercialización de servicios:</w:t>
      </w:r>
    </w:p>
    <w:p w14:paraId="06C74444" w14:textId="1FF57406" w:rsidR="00626ED3" w:rsidRDefault="00626ED3" w:rsidP="00AC09A4">
      <w:pPr>
        <w:spacing w:after="0"/>
        <w:jc w:val="both"/>
      </w:pPr>
    </w:p>
    <w:p w14:paraId="41C8E07D" w14:textId="19DCCF1E" w:rsidR="00626ED3" w:rsidRPr="00626ED3" w:rsidRDefault="00626ED3" w:rsidP="00626ED3">
      <w:pPr>
        <w:jc w:val="both"/>
        <w:rPr>
          <w:rFonts w:ascii="Arial" w:hAnsi="Arial" w:cs="Arial"/>
          <w:sz w:val="18"/>
          <w:szCs w:val="18"/>
        </w:rPr>
      </w:pPr>
      <w:r>
        <w:rPr>
          <w:rFonts w:ascii="Arial" w:hAnsi="Arial" w:cs="Arial"/>
          <w:sz w:val="18"/>
          <w:szCs w:val="18"/>
        </w:rPr>
        <w:t xml:space="preserve">Los Operadores de </w:t>
      </w:r>
      <w:r w:rsidR="002455D5">
        <w:rPr>
          <w:rFonts w:ascii="Arial" w:hAnsi="Arial" w:cs="Arial"/>
          <w:sz w:val="18"/>
          <w:szCs w:val="18"/>
        </w:rPr>
        <w:t>T</w:t>
      </w:r>
      <w:r>
        <w:rPr>
          <w:rFonts w:ascii="Arial" w:hAnsi="Arial" w:cs="Arial"/>
          <w:sz w:val="18"/>
          <w:szCs w:val="18"/>
        </w:rPr>
        <w:t>elecomunicaciones que posean título</w:t>
      </w:r>
      <w:r w:rsidR="001563EA">
        <w:rPr>
          <w:rFonts w:ascii="Arial" w:hAnsi="Arial" w:cs="Arial"/>
          <w:sz w:val="18"/>
          <w:szCs w:val="18"/>
        </w:rPr>
        <w:t>s</w:t>
      </w:r>
      <w:r>
        <w:rPr>
          <w:rFonts w:ascii="Arial" w:hAnsi="Arial" w:cs="Arial"/>
          <w:sz w:val="18"/>
          <w:szCs w:val="18"/>
        </w:rPr>
        <w:t xml:space="preserve"> habilitante</w:t>
      </w:r>
      <w:r w:rsidR="001563EA">
        <w:rPr>
          <w:rFonts w:ascii="Arial" w:hAnsi="Arial" w:cs="Arial"/>
          <w:sz w:val="18"/>
          <w:szCs w:val="18"/>
        </w:rPr>
        <w:t>s</w:t>
      </w:r>
      <w:r>
        <w:rPr>
          <w:rFonts w:ascii="Arial" w:hAnsi="Arial" w:cs="Arial"/>
          <w:sz w:val="18"/>
          <w:szCs w:val="18"/>
        </w:rPr>
        <w:t xml:space="preserve"> para uso comercial, y que</w:t>
      </w:r>
      <w:r w:rsidR="006D6915">
        <w:rPr>
          <w:rFonts w:ascii="Arial" w:hAnsi="Arial" w:cs="Arial"/>
          <w:sz w:val="18"/>
          <w:szCs w:val="18"/>
        </w:rPr>
        <w:t xml:space="preserve"> </w:t>
      </w:r>
      <w:r>
        <w:rPr>
          <w:rFonts w:ascii="Arial" w:hAnsi="Arial" w:cs="Arial"/>
          <w:sz w:val="18"/>
          <w:szCs w:val="18"/>
        </w:rPr>
        <w:t xml:space="preserve">ninguno de los servicios que comercialicen hayan actualizado los Supuestos A </w:t>
      </w:r>
      <w:r w:rsidR="001F77D9">
        <w:rPr>
          <w:rFonts w:ascii="Arial" w:hAnsi="Arial" w:cs="Arial"/>
          <w:sz w:val="18"/>
          <w:szCs w:val="18"/>
        </w:rPr>
        <w:t>o</w:t>
      </w:r>
      <w:r w:rsidR="00845041">
        <w:rPr>
          <w:rFonts w:ascii="Arial" w:hAnsi="Arial" w:cs="Arial"/>
          <w:sz w:val="18"/>
          <w:szCs w:val="18"/>
        </w:rPr>
        <w:t xml:space="preserve"> los</w:t>
      </w:r>
      <w:r>
        <w:rPr>
          <w:rFonts w:ascii="Arial" w:hAnsi="Arial" w:cs="Arial"/>
          <w:sz w:val="18"/>
          <w:szCs w:val="18"/>
        </w:rPr>
        <w:t xml:space="preserve"> </w:t>
      </w:r>
      <w:r w:rsidR="00414ADB">
        <w:rPr>
          <w:rFonts w:ascii="Arial" w:hAnsi="Arial" w:cs="Arial"/>
          <w:sz w:val="18"/>
          <w:szCs w:val="18"/>
        </w:rPr>
        <w:t>s</w:t>
      </w:r>
      <w:r>
        <w:rPr>
          <w:rFonts w:ascii="Arial" w:hAnsi="Arial" w:cs="Arial"/>
          <w:sz w:val="18"/>
          <w:szCs w:val="18"/>
        </w:rPr>
        <w:t>upuestos B determinamos en el presente Lineamiento,</w:t>
      </w:r>
      <w:r w:rsidR="000A18C3">
        <w:rPr>
          <w:rFonts w:ascii="Arial" w:hAnsi="Arial" w:cs="Arial"/>
          <w:sz w:val="18"/>
          <w:szCs w:val="18"/>
        </w:rPr>
        <w:t xml:space="preserve"> numerales 1 y 2, respectivamente,</w:t>
      </w:r>
      <w:r>
        <w:rPr>
          <w:rFonts w:ascii="Arial" w:hAnsi="Arial" w:cs="Arial"/>
          <w:sz w:val="18"/>
          <w:szCs w:val="18"/>
        </w:rPr>
        <w:t xml:space="preserve"> deberán entregar anualmente el eFormato </w:t>
      </w:r>
      <w:r w:rsidR="00C84559">
        <w:rPr>
          <w:rFonts w:ascii="Arial" w:hAnsi="Arial" w:cs="Arial"/>
          <w:sz w:val="18"/>
          <w:szCs w:val="18"/>
        </w:rPr>
        <w:t xml:space="preserve">R025. Para esto se deberán considerar los servicios de telecomunicaciones definidos en el Anexo A, numerales 6 y 7 de los presentes Lineamientos. </w:t>
      </w:r>
    </w:p>
    <w:p w14:paraId="45102FE4" w14:textId="303E99AA" w:rsidR="003637BB" w:rsidRPr="00B27019" w:rsidRDefault="003637BB" w:rsidP="00B27019">
      <w:pPr>
        <w:pStyle w:val="Prrafodelista"/>
        <w:numPr>
          <w:ilvl w:val="0"/>
          <w:numId w:val="46"/>
        </w:numPr>
        <w:jc w:val="both"/>
        <w:rPr>
          <w:rFonts w:cs="Arial"/>
          <w:b/>
          <w:sz w:val="18"/>
          <w:szCs w:val="18"/>
          <w:u w:val="single"/>
        </w:rPr>
      </w:pPr>
      <w:r w:rsidRPr="00B27019">
        <w:rPr>
          <w:rFonts w:cs="Arial"/>
          <w:b/>
          <w:sz w:val="18"/>
          <w:szCs w:val="18"/>
          <w:u w:val="single"/>
        </w:rPr>
        <w:t>Obligaciones para Operadores que no comercializan servicios:</w:t>
      </w:r>
    </w:p>
    <w:p w14:paraId="190A1FFD" w14:textId="77777777" w:rsidR="003637BB" w:rsidRPr="003637BB" w:rsidRDefault="003637BB" w:rsidP="00AE30C2">
      <w:pPr>
        <w:spacing w:after="0"/>
        <w:jc w:val="both"/>
        <w:rPr>
          <w:rFonts w:ascii="Arial" w:hAnsi="Arial" w:cs="Arial"/>
          <w:sz w:val="18"/>
          <w:szCs w:val="18"/>
        </w:rPr>
      </w:pPr>
    </w:p>
    <w:p w14:paraId="29F67739" w14:textId="4111EFE5"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 xml:space="preserve">Los Operadores de </w:t>
      </w:r>
      <w:r w:rsidR="002455D5">
        <w:rPr>
          <w:rFonts w:ascii="Arial" w:hAnsi="Arial" w:cs="Arial"/>
          <w:sz w:val="18"/>
          <w:szCs w:val="18"/>
        </w:rPr>
        <w:t>T</w:t>
      </w:r>
      <w:r w:rsidRPr="003D085B">
        <w:rPr>
          <w:rFonts w:ascii="Arial" w:hAnsi="Arial" w:cs="Arial"/>
          <w:sz w:val="18"/>
          <w:szCs w:val="18"/>
        </w:rPr>
        <w:t xml:space="preserve">elecomunicaciones que posean títulos habilitantes de o para uso comercial, y que al 31 de diciembre del año inmediato anterior aún no hayan comercializado ninguno de los servicios de telecomunicaciones definidos en el Anexo A, numerales 6 y 7 de los presentes Lineamientos, no deberán realizar la entrega de ningún eFormato. </w:t>
      </w:r>
    </w:p>
    <w:p w14:paraId="6F487C67" w14:textId="77777777" w:rsidR="003D085B" w:rsidRPr="003D085B" w:rsidRDefault="003D085B" w:rsidP="003D085B">
      <w:pPr>
        <w:spacing w:after="0"/>
        <w:jc w:val="both"/>
        <w:rPr>
          <w:rFonts w:ascii="Arial" w:hAnsi="Arial" w:cs="Arial"/>
          <w:sz w:val="18"/>
          <w:szCs w:val="18"/>
        </w:rPr>
      </w:pPr>
    </w:p>
    <w:p w14:paraId="49E30DB9" w14:textId="682CEDFE" w:rsidR="003637BB" w:rsidRPr="003637BB" w:rsidRDefault="003D085B" w:rsidP="003D0554">
      <w:pPr>
        <w:spacing w:after="0"/>
        <w:jc w:val="both"/>
        <w:rPr>
          <w:rFonts w:ascii="Arial" w:hAnsi="Arial" w:cs="Arial"/>
          <w:sz w:val="18"/>
          <w:szCs w:val="18"/>
        </w:rPr>
      </w:pPr>
      <w:r w:rsidRPr="003D085B">
        <w:rPr>
          <w:rFonts w:ascii="Arial" w:hAnsi="Arial" w:cs="Arial"/>
          <w:sz w:val="18"/>
          <w:szCs w:val="18"/>
        </w:rPr>
        <w:t xml:space="preserve">En cuanto los Operadores inicien con la comercialización de servicios, deberán realizar la </w:t>
      </w:r>
      <w:r w:rsidR="00D424C3">
        <w:rPr>
          <w:rFonts w:ascii="Arial" w:hAnsi="Arial" w:cs="Arial"/>
          <w:sz w:val="18"/>
          <w:szCs w:val="18"/>
        </w:rPr>
        <w:t>A</w:t>
      </w:r>
      <w:r w:rsidRPr="003D085B">
        <w:rPr>
          <w:rFonts w:ascii="Arial" w:hAnsi="Arial" w:cs="Arial"/>
          <w:sz w:val="18"/>
          <w:szCs w:val="18"/>
        </w:rPr>
        <w:t>ctualización del Registro de Servicios de Telecomunicaciones Comercializados conforme a lo establecido en el Lineamiento Noveno de los presentes Lineamientos, así como realizar la entrega de los eFormatos correspondientes de acuerdo con lo establecido en los Lineamientos Décimo cuarto, Décimo quinto y Décimo séptimo de los presentes Lineamientos.</w:t>
      </w:r>
    </w:p>
    <w:p w14:paraId="2D231A4C" w14:textId="36B4A449" w:rsidR="008F7680" w:rsidRDefault="008F7680" w:rsidP="00AE30C2">
      <w:pPr>
        <w:spacing w:after="0"/>
        <w:jc w:val="both"/>
        <w:rPr>
          <w:rFonts w:ascii="Arial" w:hAnsi="Arial" w:cs="Arial"/>
          <w:b/>
          <w:sz w:val="18"/>
          <w:szCs w:val="18"/>
        </w:rPr>
      </w:pPr>
    </w:p>
    <w:p w14:paraId="4B0F53B8" w14:textId="5D6DB5F9" w:rsidR="008F7680" w:rsidRDefault="008F7680" w:rsidP="00AE30C2">
      <w:pPr>
        <w:spacing w:after="0"/>
        <w:jc w:val="both"/>
        <w:rPr>
          <w:rFonts w:ascii="Arial" w:hAnsi="Arial" w:cs="Arial"/>
          <w:b/>
          <w:sz w:val="18"/>
          <w:szCs w:val="18"/>
        </w:rPr>
      </w:pPr>
      <w:r>
        <w:rPr>
          <w:rFonts w:ascii="Arial" w:hAnsi="Arial" w:cs="Arial"/>
          <w:b/>
          <w:sz w:val="18"/>
          <w:szCs w:val="18"/>
        </w:rPr>
        <w:t xml:space="preserve">Décimo </w:t>
      </w:r>
      <w:r w:rsidR="008E638B">
        <w:rPr>
          <w:rFonts w:ascii="Arial" w:hAnsi="Arial" w:cs="Arial"/>
          <w:b/>
          <w:sz w:val="18"/>
          <w:szCs w:val="18"/>
        </w:rPr>
        <w:t>sexto. -</w:t>
      </w:r>
      <w:r w:rsidR="003637BB">
        <w:rPr>
          <w:rFonts w:ascii="Arial" w:hAnsi="Arial" w:cs="Arial"/>
          <w:b/>
          <w:sz w:val="18"/>
          <w:szCs w:val="18"/>
        </w:rPr>
        <w:t xml:space="preserve"> </w:t>
      </w:r>
      <w:r w:rsidR="003637BB" w:rsidRPr="003637BB">
        <w:rPr>
          <w:rFonts w:ascii="Arial" w:hAnsi="Arial" w:cs="Arial"/>
          <w:b/>
          <w:sz w:val="18"/>
          <w:szCs w:val="18"/>
        </w:rPr>
        <w:t xml:space="preserve">Responsabilidad de los Operadores. </w:t>
      </w:r>
      <w:r w:rsidR="003D085B" w:rsidRPr="003D085B">
        <w:rPr>
          <w:rFonts w:ascii="Arial" w:hAnsi="Arial" w:cs="Arial"/>
          <w:sz w:val="18"/>
          <w:szCs w:val="18"/>
        </w:rPr>
        <w:t>Los Operadores deberán entregar los eFormatos que les correspondan en función de los Lineamientos Décimo cuarto, Décimo quinto y Décimo séptimo de los presentes Lineamientos. Es de su entera responsabilidad que la información que entreguen en dichos términos para integrar el Acervo Estadístico del Instituto y para su correspondiente publicación en términos del Lineamiento Quinto sea verídica y confiable, por lo cual, los Operadores deberán responder correctamente a los Campos del eFormato R02</w:t>
      </w:r>
      <w:r w:rsidR="0000798E">
        <w:rPr>
          <w:rFonts w:ascii="Arial" w:hAnsi="Arial" w:cs="Arial"/>
          <w:sz w:val="18"/>
          <w:szCs w:val="18"/>
        </w:rPr>
        <w:t>6</w:t>
      </w:r>
      <w:r w:rsidR="003D085B" w:rsidRPr="003D085B">
        <w:rPr>
          <w:rFonts w:ascii="Arial" w:hAnsi="Arial" w:cs="Arial"/>
          <w:sz w:val="18"/>
          <w:szCs w:val="18"/>
        </w:rPr>
        <w:t xml:space="preserve">, y en caso de presentarse cualquiera de las causales del Lineamiento Noveno, podrán realizar el proceso de </w:t>
      </w:r>
      <w:r w:rsidR="00D424C3">
        <w:rPr>
          <w:rFonts w:ascii="Arial" w:hAnsi="Arial" w:cs="Arial"/>
          <w:sz w:val="18"/>
          <w:szCs w:val="18"/>
        </w:rPr>
        <w:t>A</w:t>
      </w:r>
      <w:r w:rsidR="003D085B" w:rsidRPr="003D085B">
        <w:rPr>
          <w:rFonts w:ascii="Arial" w:hAnsi="Arial" w:cs="Arial"/>
          <w:sz w:val="18"/>
          <w:szCs w:val="18"/>
        </w:rPr>
        <w:t>ctualización del Registro de Servicios de Telecomunicaciones Comercializados.</w:t>
      </w:r>
    </w:p>
    <w:p w14:paraId="61A058FD" w14:textId="5F82D18D" w:rsidR="008F7680" w:rsidRDefault="008F7680" w:rsidP="00AE30C2">
      <w:pPr>
        <w:spacing w:after="0"/>
        <w:jc w:val="both"/>
        <w:rPr>
          <w:rFonts w:ascii="Arial" w:hAnsi="Arial" w:cs="Arial"/>
          <w:b/>
          <w:sz w:val="18"/>
          <w:szCs w:val="18"/>
        </w:rPr>
      </w:pPr>
    </w:p>
    <w:p w14:paraId="1B074AFF" w14:textId="19A85066" w:rsidR="00040DEF" w:rsidRDefault="00040DEF" w:rsidP="00AE30C2">
      <w:pPr>
        <w:spacing w:after="0"/>
        <w:jc w:val="center"/>
        <w:rPr>
          <w:rFonts w:ascii="Arial" w:hAnsi="Arial" w:cs="Arial"/>
          <w:b/>
          <w:sz w:val="18"/>
          <w:szCs w:val="18"/>
        </w:rPr>
      </w:pPr>
      <w:r>
        <w:rPr>
          <w:rFonts w:ascii="Arial" w:hAnsi="Arial" w:cs="Arial"/>
          <w:b/>
          <w:sz w:val="18"/>
          <w:szCs w:val="18"/>
        </w:rPr>
        <w:t>Capítulo V</w:t>
      </w:r>
    </w:p>
    <w:p w14:paraId="6921245B" w14:textId="03AF9478" w:rsidR="00040DEF" w:rsidRDefault="00040DEF" w:rsidP="00AE30C2">
      <w:pPr>
        <w:spacing w:after="0"/>
        <w:jc w:val="center"/>
        <w:rPr>
          <w:rFonts w:ascii="Arial" w:hAnsi="Arial" w:cs="Arial"/>
          <w:b/>
          <w:sz w:val="18"/>
          <w:szCs w:val="18"/>
        </w:rPr>
      </w:pPr>
      <w:r>
        <w:rPr>
          <w:rFonts w:ascii="Arial" w:hAnsi="Arial" w:cs="Arial"/>
          <w:b/>
          <w:sz w:val="18"/>
          <w:szCs w:val="18"/>
        </w:rPr>
        <w:t>De los plazos y forma de entrega de la información para integrar el Acervo Estadístico del Instituto</w:t>
      </w:r>
    </w:p>
    <w:p w14:paraId="01DF5F38" w14:textId="77777777" w:rsidR="003637BB" w:rsidRDefault="003637BB" w:rsidP="00AE30C2">
      <w:pPr>
        <w:spacing w:after="0"/>
        <w:jc w:val="center"/>
        <w:rPr>
          <w:rFonts w:ascii="Arial" w:hAnsi="Arial" w:cs="Arial"/>
          <w:b/>
          <w:sz w:val="18"/>
          <w:szCs w:val="18"/>
        </w:rPr>
      </w:pPr>
    </w:p>
    <w:p w14:paraId="38AE00CA" w14:textId="140CACCE" w:rsidR="008F7680" w:rsidRDefault="008F7680" w:rsidP="00AE30C2">
      <w:pPr>
        <w:spacing w:after="0"/>
        <w:jc w:val="both"/>
        <w:rPr>
          <w:rFonts w:ascii="Arial" w:hAnsi="Arial" w:cs="Arial"/>
          <w:sz w:val="18"/>
          <w:szCs w:val="18"/>
        </w:rPr>
      </w:pPr>
      <w:r>
        <w:rPr>
          <w:rFonts w:ascii="Arial" w:hAnsi="Arial" w:cs="Arial"/>
          <w:b/>
          <w:sz w:val="18"/>
          <w:szCs w:val="18"/>
        </w:rPr>
        <w:t xml:space="preserve">Décimo </w:t>
      </w:r>
      <w:r w:rsidR="008E638B">
        <w:rPr>
          <w:rFonts w:ascii="Arial" w:hAnsi="Arial" w:cs="Arial"/>
          <w:b/>
          <w:sz w:val="18"/>
          <w:szCs w:val="18"/>
        </w:rPr>
        <w:t>séptimo. -</w:t>
      </w:r>
      <w:r w:rsidR="003637BB">
        <w:rPr>
          <w:rFonts w:ascii="Arial" w:hAnsi="Arial" w:cs="Arial"/>
          <w:b/>
          <w:sz w:val="18"/>
          <w:szCs w:val="18"/>
        </w:rPr>
        <w:t xml:space="preserve"> </w:t>
      </w:r>
      <w:r w:rsidR="003637BB" w:rsidRPr="003637BB">
        <w:rPr>
          <w:rFonts w:ascii="Arial" w:hAnsi="Arial" w:cs="Arial"/>
          <w:b/>
          <w:sz w:val="18"/>
          <w:szCs w:val="18"/>
        </w:rPr>
        <w:t xml:space="preserve">Plazos de entrega de la información. </w:t>
      </w:r>
      <w:r w:rsidR="003D085B" w:rsidRPr="003D085B">
        <w:rPr>
          <w:rFonts w:ascii="Arial" w:hAnsi="Arial" w:cs="Arial"/>
          <w:sz w:val="18"/>
          <w:szCs w:val="18"/>
        </w:rPr>
        <w:t>Los eFormatos establecidos en el Lineamiento Cuarto de los presentes Lineamientos serán entregados por los Operadores de conformidad con lo determinado en el Lineamiento Décimo cuarto y Décimo quinto de la siguiente forma:</w:t>
      </w:r>
    </w:p>
    <w:p w14:paraId="28BAD541" w14:textId="7B1325A9" w:rsidR="003637BB" w:rsidRDefault="003637BB" w:rsidP="00AE30C2">
      <w:pPr>
        <w:spacing w:after="0"/>
        <w:jc w:val="both"/>
        <w:rPr>
          <w:rFonts w:ascii="Arial" w:hAnsi="Arial" w:cs="Arial"/>
          <w:b/>
          <w:sz w:val="18"/>
          <w:szCs w:val="18"/>
        </w:rPr>
      </w:pPr>
    </w:p>
    <w:p w14:paraId="2898CEF0" w14:textId="0D96B9E6" w:rsidR="00E45065" w:rsidRPr="00E45065" w:rsidRDefault="00E45065" w:rsidP="00AE30C2">
      <w:pPr>
        <w:pStyle w:val="Prrafodelista"/>
        <w:numPr>
          <w:ilvl w:val="0"/>
          <w:numId w:val="20"/>
        </w:numPr>
        <w:spacing w:line="276" w:lineRule="auto"/>
        <w:jc w:val="both"/>
        <w:rPr>
          <w:rFonts w:cs="Arial"/>
          <w:sz w:val="18"/>
          <w:szCs w:val="18"/>
        </w:rPr>
      </w:pPr>
      <w:r>
        <w:rPr>
          <w:rFonts w:cs="Arial"/>
          <w:b/>
          <w:sz w:val="18"/>
          <w:szCs w:val="18"/>
        </w:rPr>
        <w:t>eFormato con periodicidad trimestral.</w:t>
      </w:r>
      <w:r w:rsidRPr="00E45065">
        <w:t xml:space="preserve"> </w:t>
      </w:r>
      <w:r w:rsidRPr="00E45065">
        <w:rPr>
          <w:rFonts w:cs="Arial"/>
          <w:sz w:val="18"/>
          <w:szCs w:val="18"/>
        </w:rPr>
        <w:t>Los Operadores deberán entregar la información correspondiente al trimestre inmediato anterior, de acuerdo con los siguientes plazos:</w:t>
      </w:r>
    </w:p>
    <w:p w14:paraId="69DB5C36" w14:textId="77777777" w:rsidR="00E45065" w:rsidRPr="00E45065" w:rsidRDefault="00E45065" w:rsidP="00AE30C2">
      <w:pPr>
        <w:spacing w:after="0"/>
        <w:jc w:val="both"/>
        <w:rPr>
          <w:rFonts w:ascii="Arial" w:hAnsi="Arial" w:cs="Arial"/>
          <w:b/>
          <w:sz w:val="18"/>
          <w:szCs w:val="18"/>
        </w:rPr>
      </w:pPr>
    </w:p>
    <w:p w14:paraId="7B00E3BC" w14:textId="77777777" w:rsidR="00E45065" w:rsidRDefault="00E45065" w:rsidP="00AE30C2">
      <w:pPr>
        <w:pStyle w:val="Prrafodelista"/>
        <w:numPr>
          <w:ilvl w:val="0"/>
          <w:numId w:val="21"/>
        </w:numPr>
        <w:spacing w:line="276" w:lineRule="auto"/>
        <w:jc w:val="both"/>
        <w:rPr>
          <w:rFonts w:cs="Arial"/>
          <w:sz w:val="18"/>
          <w:szCs w:val="18"/>
        </w:rPr>
      </w:pPr>
      <w:r w:rsidRPr="00E45065">
        <w:rPr>
          <w:rFonts w:cs="Arial"/>
          <w:sz w:val="18"/>
          <w:szCs w:val="18"/>
        </w:rPr>
        <w:t>Entrega correspondiente al primer trimestre calendario:</w:t>
      </w:r>
    </w:p>
    <w:p w14:paraId="2E0B957E" w14:textId="77777777" w:rsidR="00E45065" w:rsidRDefault="00E45065" w:rsidP="00AE30C2">
      <w:pPr>
        <w:pStyle w:val="Prrafodelista"/>
        <w:spacing w:line="276" w:lineRule="auto"/>
        <w:ind w:left="720"/>
        <w:jc w:val="both"/>
        <w:rPr>
          <w:rFonts w:cs="Arial"/>
          <w:sz w:val="18"/>
          <w:szCs w:val="18"/>
        </w:rPr>
      </w:pPr>
    </w:p>
    <w:p w14:paraId="691924CE" w14:textId="3202DD72" w:rsidR="00E45065" w:rsidRPr="00E45065" w:rsidRDefault="003D085B" w:rsidP="00AE30C2">
      <w:pPr>
        <w:pStyle w:val="Prrafodelista"/>
        <w:spacing w:line="276" w:lineRule="auto"/>
        <w:ind w:left="720"/>
        <w:jc w:val="both"/>
        <w:rPr>
          <w:rFonts w:cs="Arial"/>
          <w:sz w:val="18"/>
          <w:szCs w:val="18"/>
        </w:rPr>
      </w:pPr>
      <w:r w:rsidRPr="003D085B">
        <w:rPr>
          <w:rFonts w:cs="Arial"/>
          <w:sz w:val="18"/>
          <w:szCs w:val="18"/>
        </w:rPr>
        <w:t>Se deberá entregar, dentro de los 30 días hábiles posteriores al día 31 de marzo, la información que corresponda al periodo comprendido del día 1 de enero al día 31 de marzo de cada año calendario.</w:t>
      </w:r>
    </w:p>
    <w:p w14:paraId="04A5D825" w14:textId="77777777" w:rsidR="00E45065" w:rsidRPr="00E45065" w:rsidRDefault="00E45065" w:rsidP="00AE30C2">
      <w:pPr>
        <w:spacing w:after="0"/>
        <w:jc w:val="both"/>
        <w:rPr>
          <w:rFonts w:ascii="Arial" w:hAnsi="Arial" w:cs="Arial"/>
          <w:sz w:val="18"/>
          <w:szCs w:val="18"/>
        </w:rPr>
      </w:pPr>
    </w:p>
    <w:p w14:paraId="48CE7B0D" w14:textId="77777777" w:rsidR="00E45065" w:rsidRDefault="00E45065" w:rsidP="00AE30C2">
      <w:pPr>
        <w:pStyle w:val="Prrafodelista"/>
        <w:numPr>
          <w:ilvl w:val="0"/>
          <w:numId w:val="21"/>
        </w:numPr>
        <w:spacing w:line="276" w:lineRule="auto"/>
        <w:jc w:val="both"/>
        <w:rPr>
          <w:rFonts w:cs="Arial"/>
          <w:sz w:val="18"/>
          <w:szCs w:val="18"/>
        </w:rPr>
      </w:pPr>
      <w:r w:rsidRPr="00E45065">
        <w:rPr>
          <w:rFonts w:cs="Arial"/>
          <w:sz w:val="18"/>
          <w:szCs w:val="18"/>
        </w:rPr>
        <w:t>Entrega correspondiente al segundo trimestre calendario:</w:t>
      </w:r>
    </w:p>
    <w:p w14:paraId="34537678" w14:textId="77777777" w:rsidR="00E45065" w:rsidRPr="00E45065" w:rsidRDefault="00E45065" w:rsidP="00AE30C2">
      <w:pPr>
        <w:pStyle w:val="Prrafodelista"/>
        <w:spacing w:line="276" w:lineRule="auto"/>
        <w:rPr>
          <w:rFonts w:cs="Arial"/>
          <w:sz w:val="18"/>
          <w:szCs w:val="18"/>
        </w:rPr>
      </w:pPr>
    </w:p>
    <w:p w14:paraId="3C845201" w14:textId="2FDA45F3" w:rsidR="00E45065" w:rsidRPr="00E45065" w:rsidRDefault="003D085B" w:rsidP="00AE30C2">
      <w:pPr>
        <w:pStyle w:val="Prrafodelista"/>
        <w:spacing w:line="276" w:lineRule="auto"/>
        <w:ind w:left="720"/>
        <w:jc w:val="both"/>
        <w:rPr>
          <w:rFonts w:cs="Arial"/>
          <w:sz w:val="18"/>
          <w:szCs w:val="18"/>
        </w:rPr>
      </w:pPr>
      <w:r w:rsidRPr="003D085B">
        <w:rPr>
          <w:rFonts w:cs="Arial"/>
          <w:sz w:val="18"/>
          <w:szCs w:val="18"/>
        </w:rPr>
        <w:t>Se deberá entregar, dentro de los 30 días hábiles posteriores al 30 de junio, la información que corresponda al periodo comprendido del día 1 de abril al día 30 de junio de cada año calendario.</w:t>
      </w:r>
    </w:p>
    <w:p w14:paraId="3B4ABA65" w14:textId="77777777" w:rsidR="00E45065" w:rsidRPr="00E45065" w:rsidRDefault="00E45065" w:rsidP="00AE30C2">
      <w:pPr>
        <w:spacing w:after="0"/>
        <w:jc w:val="both"/>
        <w:rPr>
          <w:rFonts w:ascii="Arial" w:hAnsi="Arial" w:cs="Arial"/>
          <w:sz w:val="18"/>
          <w:szCs w:val="18"/>
        </w:rPr>
      </w:pPr>
    </w:p>
    <w:p w14:paraId="30191CE2" w14:textId="77777777" w:rsidR="00E45065" w:rsidRDefault="00E45065" w:rsidP="00AE30C2">
      <w:pPr>
        <w:pStyle w:val="Prrafodelista"/>
        <w:numPr>
          <w:ilvl w:val="0"/>
          <w:numId w:val="21"/>
        </w:numPr>
        <w:spacing w:line="276" w:lineRule="auto"/>
        <w:jc w:val="both"/>
        <w:rPr>
          <w:rFonts w:cs="Arial"/>
          <w:sz w:val="18"/>
          <w:szCs w:val="18"/>
        </w:rPr>
      </w:pPr>
      <w:r w:rsidRPr="00E45065">
        <w:rPr>
          <w:rFonts w:cs="Arial"/>
          <w:sz w:val="18"/>
          <w:szCs w:val="18"/>
        </w:rPr>
        <w:t>Entrega correspondiente al tercer trimestre calendario:</w:t>
      </w:r>
    </w:p>
    <w:p w14:paraId="1A2C97F1" w14:textId="77777777" w:rsidR="00E45065" w:rsidRDefault="00E45065" w:rsidP="00AE30C2">
      <w:pPr>
        <w:pStyle w:val="Prrafodelista"/>
        <w:spacing w:line="276" w:lineRule="auto"/>
        <w:ind w:left="720"/>
        <w:jc w:val="both"/>
        <w:rPr>
          <w:rFonts w:cs="Arial"/>
          <w:sz w:val="18"/>
          <w:szCs w:val="18"/>
        </w:rPr>
      </w:pPr>
    </w:p>
    <w:p w14:paraId="4D91B3D5" w14:textId="17929654" w:rsidR="00E45065" w:rsidRPr="00E45065" w:rsidRDefault="003D085B" w:rsidP="00AE30C2">
      <w:pPr>
        <w:pStyle w:val="Prrafodelista"/>
        <w:spacing w:line="276" w:lineRule="auto"/>
        <w:ind w:left="720"/>
        <w:jc w:val="both"/>
        <w:rPr>
          <w:rFonts w:cs="Arial"/>
          <w:sz w:val="18"/>
          <w:szCs w:val="18"/>
        </w:rPr>
      </w:pPr>
      <w:r w:rsidRPr="003D085B">
        <w:rPr>
          <w:rFonts w:cs="Arial"/>
          <w:sz w:val="18"/>
          <w:szCs w:val="18"/>
        </w:rPr>
        <w:t>Se deberá entregar, dentro de los 30 días hábiles posteriores al día 30 de septiembre, la información que corresponda al periodo comprendido del día 1 de julio al día 30 de septiembre de cada año calendario.</w:t>
      </w:r>
    </w:p>
    <w:p w14:paraId="69ACCC4A" w14:textId="77777777" w:rsidR="00E45065" w:rsidRPr="00E45065" w:rsidRDefault="00E45065" w:rsidP="00AE30C2">
      <w:pPr>
        <w:spacing w:after="0"/>
        <w:jc w:val="both"/>
        <w:rPr>
          <w:rFonts w:ascii="Arial" w:hAnsi="Arial" w:cs="Arial"/>
          <w:sz w:val="18"/>
          <w:szCs w:val="18"/>
        </w:rPr>
      </w:pPr>
    </w:p>
    <w:p w14:paraId="6888B0E5" w14:textId="77777777" w:rsidR="00E45065" w:rsidRDefault="00E45065" w:rsidP="00AE30C2">
      <w:pPr>
        <w:pStyle w:val="Prrafodelista"/>
        <w:numPr>
          <w:ilvl w:val="0"/>
          <w:numId w:val="21"/>
        </w:numPr>
        <w:spacing w:line="276" w:lineRule="auto"/>
        <w:jc w:val="both"/>
        <w:rPr>
          <w:rFonts w:cs="Arial"/>
          <w:sz w:val="18"/>
          <w:szCs w:val="18"/>
        </w:rPr>
      </w:pPr>
      <w:r w:rsidRPr="00E45065">
        <w:rPr>
          <w:rFonts w:cs="Arial"/>
          <w:sz w:val="18"/>
          <w:szCs w:val="18"/>
        </w:rPr>
        <w:lastRenderedPageBreak/>
        <w:t>Entrega correspondiente al cuarto trimestre calendario:</w:t>
      </w:r>
    </w:p>
    <w:p w14:paraId="4B6715F6" w14:textId="77777777" w:rsidR="00E45065" w:rsidRDefault="00E45065" w:rsidP="00AE30C2">
      <w:pPr>
        <w:pStyle w:val="Prrafodelista"/>
        <w:spacing w:line="276" w:lineRule="auto"/>
        <w:ind w:left="720"/>
        <w:jc w:val="both"/>
        <w:rPr>
          <w:rFonts w:cs="Arial"/>
          <w:sz w:val="18"/>
          <w:szCs w:val="18"/>
        </w:rPr>
      </w:pPr>
    </w:p>
    <w:p w14:paraId="5B8D48E5" w14:textId="6A3EBF13" w:rsidR="00E45065" w:rsidRDefault="003D085B" w:rsidP="00AE30C2">
      <w:pPr>
        <w:pStyle w:val="Prrafodelista"/>
        <w:spacing w:line="276" w:lineRule="auto"/>
        <w:ind w:left="720"/>
        <w:jc w:val="both"/>
        <w:rPr>
          <w:rFonts w:cs="Arial"/>
          <w:sz w:val="18"/>
          <w:szCs w:val="18"/>
        </w:rPr>
      </w:pPr>
      <w:r w:rsidRPr="003D085B">
        <w:rPr>
          <w:rFonts w:cs="Arial"/>
          <w:sz w:val="18"/>
          <w:szCs w:val="18"/>
        </w:rPr>
        <w:t>Se deberá entregar, dentro de los 50 días hábiles posteriores al día 31 de diciembre, la información que corresponda al periodo comprendido del día 1 de octubre al día 31 de diciembre de cada año calendario.</w:t>
      </w:r>
    </w:p>
    <w:p w14:paraId="336E14BC" w14:textId="77777777" w:rsidR="00E45065" w:rsidRDefault="00E45065" w:rsidP="00AE30C2">
      <w:pPr>
        <w:pStyle w:val="Prrafodelista"/>
        <w:spacing w:line="276" w:lineRule="auto"/>
        <w:ind w:left="720"/>
        <w:jc w:val="both"/>
        <w:rPr>
          <w:rFonts w:cs="Arial"/>
          <w:sz w:val="18"/>
          <w:szCs w:val="18"/>
        </w:rPr>
      </w:pPr>
    </w:p>
    <w:p w14:paraId="084F06DA" w14:textId="0B6D4D04" w:rsidR="00E45065" w:rsidRDefault="00E45065" w:rsidP="00AE30C2">
      <w:pPr>
        <w:pStyle w:val="Prrafodelista"/>
        <w:numPr>
          <w:ilvl w:val="0"/>
          <w:numId w:val="20"/>
        </w:numPr>
        <w:spacing w:line="276" w:lineRule="auto"/>
        <w:jc w:val="both"/>
        <w:rPr>
          <w:rFonts w:cs="Arial"/>
          <w:sz w:val="18"/>
          <w:szCs w:val="18"/>
        </w:rPr>
      </w:pPr>
      <w:r w:rsidRPr="00E45065">
        <w:rPr>
          <w:rFonts w:cs="Arial"/>
          <w:b/>
          <w:sz w:val="18"/>
          <w:szCs w:val="18"/>
        </w:rPr>
        <w:t>eFormato con periodicidad anual:</w:t>
      </w:r>
      <w:r w:rsidRPr="00E45065">
        <w:t xml:space="preserve"> </w:t>
      </w:r>
      <w:r w:rsidR="003D085B" w:rsidRPr="003D085B">
        <w:rPr>
          <w:rFonts w:cs="Arial"/>
          <w:sz w:val="18"/>
          <w:szCs w:val="18"/>
        </w:rPr>
        <w:t>Los Operadores deberán entregar dentro de los 50 días hábiles posteriores al 31 de diciembre la información que corresponda al periodo comprendido del día 1 de enero al 31 de diciembre de cada año calendario previo.</w:t>
      </w:r>
    </w:p>
    <w:p w14:paraId="5F4541D9" w14:textId="77777777" w:rsidR="003D085B" w:rsidRDefault="003D085B" w:rsidP="00AE30C2">
      <w:pPr>
        <w:spacing w:after="0"/>
        <w:jc w:val="both"/>
        <w:rPr>
          <w:rFonts w:ascii="Arial" w:hAnsi="Arial" w:cs="Arial"/>
          <w:sz w:val="18"/>
          <w:szCs w:val="18"/>
        </w:rPr>
      </w:pPr>
    </w:p>
    <w:p w14:paraId="58FAC130" w14:textId="454E289D" w:rsidR="00E45065" w:rsidRPr="00E45065" w:rsidRDefault="003D085B" w:rsidP="00AE30C2">
      <w:pPr>
        <w:spacing w:after="0"/>
        <w:jc w:val="both"/>
        <w:rPr>
          <w:rFonts w:ascii="Arial" w:hAnsi="Arial" w:cs="Arial"/>
          <w:sz w:val="18"/>
          <w:szCs w:val="18"/>
        </w:rPr>
      </w:pPr>
      <w:r w:rsidRPr="003D085B">
        <w:rPr>
          <w:rFonts w:ascii="Arial" w:hAnsi="Arial" w:cs="Arial"/>
          <w:sz w:val="18"/>
          <w:szCs w:val="18"/>
        </w:rPr>
        <w:t xml:space="preserve">Los </w:t>
      </w:r>
      <w:r w:rsidR="008E309C">
        <w:rPr>
          <w:rFonts w:ascii="Arial" w:hAnsi="Arial" w:cs="Arial"/>
          <w:sz w:val="18"/>
          <w:szCs w:val="18"/>
        </w:rPr>
        <w:t>O</w:t>
      </w:r>
      <w:r w:rsidRPr="003D085B">
        <w:rPr>
          <w:rFonts w:ascii="Arial" w:hAnsi="Arial" w:cs="Arial"/>
          <w:sz w:val="18"/>
          <w:szCs w:val="18"/>
        </w:rPr>
        <w:t>peradores deberán realizar la entrega de información dentro de los plazos establecidos en el presente Lineamiento en los numerales 1 y 2 atendiendo a sus obligaciones indicadas en el Lineamiento Décimo cuarto y Décimo quinto.</w:t>
      </w:r>
    </w:p>
    <w:p w14:paraId="1C0AD2CA" w14:textId="77777777" w:rsidR="00E45065" w:rsidRDefault="00E45065" w:rsidP="00AE30C2">
      <w:pPr>
        <w:spacing w:after="0"/>
        <w:jc w:val="both"/>
        <w:rPr>
          <w:rFonts w:ascii="Arial" w:hAnsi="Arial" w:cs="Arial"/>
          <w:b/>
          <w:sz w:val="18"/>
          <w:szCs w:val="18"/>
        </w:rPr>
      </w:pPr>
    </w:p>
    <w:p w14:paraId="59DC54F3" w14:textId="16BCC49A" w:rsidR="008F7680" w:rsidRDefault="008F7680" w:rsidP="00AE30C2">
      <w:pPr>
        <w:spacing w:after="0"/>
        <w:jc w:val="both"/>
        <w:rPr>
          <w:rFonts w:ascii="Arial" w:hAnsi="Arial" w:cs="Arial"/>
          <w:b/>
          <w:sz w:val="18"/>
          <w:szCs w:val="18"/>
        </w:rPr>
      </w:pPr>
      <w:r>
        <w:rPr>
          <w:rFonts w:ascii="Arial" w:hAnsi="Arial" w:cs="Arial"/>
          <w:b/>
          <w:sz w:val="18"/>
          <w:szCs w:val="18"/>
        </w:rPr>
        <w:t xml:space="preserve">Décimo </w:t>
      </w:r>
      <w:r w:rsidR="008E638B">
        <w:rPr>
          <w:rFonts w:ascii="Arial" w:hAnsi="Arial" w:cs="Arial"/>
          <w:b/>
          <w:sz w:val="18"/>
          <w:szCs w:val="18"/>
        </w:rPr>
        <w:t>octavo. -</w:t>
      </w:r>
      <w:r w:rsidR="00E45065">
        <w:rPr>
          <w:rFonts w:ascii="Arial" w:hAnsi="Arial" w:cs="Arial"/>
          <w:b/>
          <w:sz w:val="18"/>
          <w:szCs w:val="18"/>
        </w:rPr>
        <w:t xml:space="preserve"> </w:t>
      </w:r>
      <w:r w:rsidR="00E45065" w:rsidRPr="00E45065">
        <w:rPr>
          <w:rFonts w:ascii="Arial" w:hAnsi="Arial" w:cs="Arial"/>
          <w:b/>
          <w:sz w:val="18"/>
          <w:szCs w:val="18"/>
        </w:rPr>
        <w:t xml:space="preserve">Tipo de archivo para la entrega de información. </w:t>
      </w:r>
      <w:r w:rsidR="003D085B" w:rsidRPr="003D085B">
        <w:rPr>
          <w:rFonts w:ascii="Arial" w:hAnsi="Arial" w:cs="Arial"/>
          <w:sz w:val="18"/>
          <w:szCs w:val="18"/>
        </w:rPr>
        <w:t>Para efectos de los presentes Lineamientos la información que se requiere en los Archivos de Presentación de los distintos eFormatos deberá cumplir con los criterios previstos en el Anexo B de estos Lineamientos y deberá entregarse mediante archivos electrónicos con extensión .CSV, atendiendo a los presentes Lineamientos, y considerando los instructivos y los listados de claves autorizados del CCI del Anexo C.</w:t>
      </w:r>
    </w:p>
    <w:p w14:paraId="75D25A29" w14:textId="21D9BEBF" w:rsidR="008F7680" w:rsidRDefault="008F7680" w:rsidP="00AE30C2">
      <w:pPr>
        <w:spacing w:after="0"/>
        <w:jc w:val="both"/>
        <w:rPr>
          <w:rFonts w:ascii="Arial" w:hAnsi="Arial" w:cs="Arial"/>
          <w:b/>
          <w:sz w:val="18"/>
          <w:szCs w:val="18"/>
        </w:rPr>
      </w:pPr>
    </w:p>
    <w:p w14:paraId="397775EF" w14:textId="70D4E78C" w:rsidR="008F7680" w:rsidRDefault="008F7680" w:rsidP="00AE30C2">
      <w:pPr>
        <w:spacing w:after="0"/>
        <w:jc w:val="both"/>
        <w:rPr>
          <w:rFonts w:ascii="Arial" w:hAnsi="Arial" w:cs="Arial"/>
          <w:b/>
          <w:sz w:val="18"/>
          <w:szCs w:val="18"/>
        </w:rPr>
      </w:pPr>
      <w:r>
        <w:rPr>
          <w:rFonts w:ascii="Arial" w:hAnsi="Arial" w:cs="Arial"/>
          <w:b/>
          <w:sz w:val="18"/>
          <w:szCs w:val="18"/>
        </w:rPr>
        <w:t xml:space="preserve">Décimo </w:t>
      </w:r>
      <w:r w:rsidR="008E638B">
        <w:rPr>
          <w:rFonts w:ascii="Arial" w:hAnsi="Arial" w:cs="Arial"/>
          <w:b/>
          <w:sz w:val="18"/>
          <w:szCs w:val="18"/>
        </w:rPr>
        <w:t>noveno. -</w:t>
      </w:r>
      <w:r w:rsidR="00E45065">
        <w:rPr>
          <w:rFonts w:ascii="Arial" w:hAnsi="Arial" w:cs="Arial"/>
          <w:b/>
          <w:sz w:val="18"/>
          <w:szCs w:val="18"/>
        </w:rPr>
        <w:t xml:space="preserve"> </w:t>
      </w:r>
      <w:r w:rsidR="00E45065" w:rsidRPr="00E45065">
        <w:rPr>
          <w:rFonts w:ascii="Arial" w:hAnsi="Arial" w:cs="Arial"/>
          <w:b/>
          <w:sz w:val="18"/>
          <w:szCs w:val="18"/>
        </w:rPr>
        <w:t xml:space="preserve">Medio de presentación. </w:t>
      </w:r>
      <w:r w:rsidR="003D085B" w:rsidRPr="003D085B">
        <w:rPr>
          <w:rFonts w:ascii="Arial" w:hAnsi="Arial" w:cs="Arial"/>
          <w:sz w:val="18"/>
          <w:szCs w:val="18"/>
        </w:rPr>
        <w:t xml:space="preserve">Los eFormatos correspondientes </w:t>
      </w:r>
      <w:r w:rsidR="00244004">
        <w:rPr>
          <w:rFonts w:ascii="Arial" w:hAnsi="Arial" w:cs="Arial"/>
          <w:sz w:val="18"/>
          <w:szCs w:val="18"/>
        </w:rPr>
        <w:t xml:space="preserve">y, en su caso, solicitud de prórroga, </w:t>
      </w:r>
      <w:r w:rsidR="003D085B" w:rsidRPr="003D085B">
        <w:rPr>
          <w:rFonts w:ascii="Arial" w:hAnsi="Arial" w:cs="Arial"/>
          <w:sz w:val="18"/>
          <w:szCs w:val="18"/>
        </w:rPr>
        <w:t>se presentarán al Instituto a través de Oficialía de Partes Común o de la Ventanilla Electrónica conforme a lo dispuesto en los Lineamientos para la sustanciación de los trámites y servicios que se realicen ante el Instituto</w:t>
      </w:r>
      <w:r w:rsidR="00DF3E81">
        <w:rPr>
          <w:rFonts w:ascii="Arial" w:hAnsi="Arial" w:cs="Arial"/>
          <w:sz w:val="18"/>
          <w:szCs w:val="18"/>
        </w:rPr>
        <w:t xml:space="preserve"> Federal de Telecomunicaciones</w:t>
      </w:r>
      <w:r w:rsidR="003D085B" w:rsidRPr="003D085B">
        <w:rPr>
          <w:rFonts w:ascii="Arial" w:hAnsi="Arial" w:cs="Arial"/>
          <w:sz w:val="18"/>
          <w:szCs w:val="18"/>
        </w:rPr>
        <w:t>, a través de la Ventanilla Electrónica.</w:t>
      </w:r>
    </w:p>
    <w:p w14:paraId="592AAB07" w14:textId="54F01D5C" w:rsidR="008F7680" w:rsidRDefault="008F7680" w:rsidP="00AE30C2">
      <w:pPr>
        <w:spacing w:after="0"/>
        <w:jc w:val="both"/>
        <w:rPr>
          <w:rFonts w:ascii="Arial" w:hAnsi="Arial" w:cs="Arial"/>
          <w:b/>
          <w:sz w:val="18"/>
          <w:szCs w:val="18"/>
        </w:rPr>
      </w:pPr>
    </w:p>
    <w:p w14:paraId="1AA328E4" w14:textId="663BA07C" w:rsidR="008F7680" w:rsidRPr="00E45065" w:rsidRDefault="008E638B" w:rsidP="00AE30C2">
      <w:pPr>
        <w:spacing w:after="0"/>
        <w:jc w:val="both"/>
        <w:rPr>
          <w:rFonts w:ascii="Arial" w:hAnsi="Arial" w:cs="Arial"/>
          <w:sz w:val="18"/>
          <w:szCs w:val="18"/>
        </w:rPr>
      </w:pPr>
      <w:r>
        <w:rPr>
          <w:rFonts w:ascii="Arial" w:hAnsi="Arial" w:cs="Arial"/>
          <w:b/>
          <w:sz w:val="18"/>
          <w:szCs w:val="18"/>
        </w:rPr>
        <w:t>Vigésimo. -</w:t>
      </w:r>
      <w:r w:rsidR="00E45065">
        <w:rPr>
          <w:rFonts w:ascii="Arial" w:hAnsi="Arial" w:cs="Arial"/>
          <w:b/>
          <w:sz w:val="18"/>
          <w:szCs w:val="18"/>
        </w:rPr>
        <w:t xml:space="preserve"> </w:t>
      </w:r>
      <w:r w:rsidR="00E45065" w:rsidRPr="00E45065">
        <w:rPr>
          <w:rFonts w:ascii="Arial" w:hAnsi="Arial" w:cs="Arial"/>
          <w:b/>
          <w:sz w:val="18"/>
          <w:szCs w:val="18"/>
        </w:rPr>
        <w:t xml:space="preserve">Entrega de información. </w:t>
      </w:r>
      <w:r w:rsidR="003D085B" w:rsidRPr="003D085B">
        <w:rPr>
          <w:rFonts w:ascii="Arial" w:hAnsi="Arial" w:cs="Arial"/>
          <w:sz w:val="18"/>
          <w:szCs w:val="18"/>
        </w:rPr>
        <w:t>Con el objeto de integrar el Acervo Estadístico del Instituto los Operadores deberán entregar periódicamente la información que les corresponda de acuerdo con los Lineamientos Décimo cuarto y Décimo quinto, a través de los eFormatos establecidos en el Lineamiento Cuarto y considerando los plazos de entrega determinados en el Lineamiento Décimo séptimo.</w:t>
      </w:r>
    </w:p>
    <w:p w14:paraId="23BEDCDB" w14:textId="6C2B7381" w:rsidR="008F7680" w:rsidRDefault="008F7680" w:rsidP="00AE30C2">
      <w:pPr>
        <w:spacing w:after="0"/>
        <w:jc w:val="both"/>
        <w:rPr>
          <w:rFonts w:ascii="Arial" w:hAnsi="Arial" w:cs="Arial"/>
          <w:b/>
          <w:sz w:val="18"/>
          <w:szCs w:val="18"/>
        </w:rPr>
      </w:pPr>
    </w:p>
    <w:p w14:paraId="1924C204" w14:textId="32C17A67" w:rsidR="003D085B" w:rsidRDefault="008F7680" w:rsidP="003D085B">
      <w:pPr>
        <w:spacing w:after="0"/>
        <w:jc w:val="both"/>
        <w:rPr>
          <w:rFonts w:ascii="Arial" w:hAnsi="Arial" w:cs="Arial"/>
          <w:sz w:val="18"/>
          <w:szCs w:val="18"/>
        </w:rPr>
      </w:pPr>
      <w:r>
        <w:rPr>
          <w:rFonts w:ascii="Arial" w:hAnsi="Arial" w:cs="Arial"/>
          <w:b/>
          <w:sz w:val="18"/>
          <w:szCs w:val="18"/>
        </w:rPr>
        <w:t xml:space="preserve">Vigésimo </w:t>
      </w:r>
      <w:r w:rsidR="008E638B">
        <w:rPr>
          <w:rFonts w:ascii="Arial" w:hAnsi="Arial" w:cs="Arial"/>
          <w:b/>
          <w:sz w:val="18"/>
          <w:szCs w:val="18"/>
        </w:rPr>
        <w:t>primero. -</w:t>
      </w:r>
      <w:r w:rsidR="00E45065">
        <w:rPr>
          <w:rFonts w:ascii="Arial" w:hAnsi="Arial" w:cs="Arial"/>
          <w:b/>
          <w:sz w:val="18"/>
          <w:szCs w:val="18"/>
        </w:rPr>
        <w:t xml:space="preserve"> </w:t>
      </w:r>
      <w:r w:rsidR="003D085B" w:rsidRPr="003D085B">
        <w:rPr>
          <w:rFonts w:ascii="Arial" w:hAnsi="Arial" w:cs="Arial"/>
          <w:sz w:val="18"/>
          <w:szCs w:val="18"/>
        </w:rPr>
        <w:t>Para efectos de los presentes Lineamientos se establecen los siguientes criterios generales para la entrega de información a través de los correspondientes eFormatos, que serán verificados a partir de que los Operadores los presenten:</w:t>
      </w:r>
    </w:p>
    <w:p w14:paraId="26CF2613" w14:textId="77777777" w:rsidR="003D085B" w:rsidRPr="003D085B" w:rsidRDefault="003D085B" w:rsidP="003D085B">
      <w:pPr>
        <w:spacing w:after="0"/>
        <w:jc w:val="both"/>
        <w:rPr>
          <w:rFonts w:ascii="Arial" w:hAnsi="Arial" w:cs="Arial"/>
          <w:sz w:val="18"/>
          <w:szCs w:val="18"/>
        </w:rPr>
      </w:pPr>
    </w:p>
    <w:p w14:paraId="3233C595" w14:textId="0115A281" w:rsidR="003D085B" w:rsidRPr="003D085B" w:rsidRDefault="003D085B" w:rsidP="00FC06B9">
      <w:pPr>
        <w:pStyle w:val="Prrafodelista"/>
        <w:numPr>
          <w:ilvl w:val="0"/>
          <w:numId w:val="36"/>
        </w:numPr>
        <w:spacing w:line="276" w:lineRule="auto"/>
        <w:jc w:val="both"/>
        <w:rPr>
          <w:rFonts w:cs="Arial"/>
          <w:sz w:val="18"/>
          <w:szCs w:val="18"/>
        </w:rPr>
      </w:pPr>
      <w:r w:rsidRPr="003D085B">
        <w:rPr>
          <w:rFonts w:cs="Arial"/>
          <w:sz w:val="18"/>
          <w:szCs w:val="18"/>
        </w:rPr>
        <w:t>La información que los Operadores entreguen no puede ser contraria a los volúmenes de comercialización indicados en el Registro de Servicios de Telecomunicaciones Comercializados definido en el Lineamiento Octavo, o bien en las actualizaciones que posteriormente se realicen a dicho Registro, las cuales están definidas en el Lineamiento Noveno.</w:t>
      </w:r>
    </w:p>
    <w:p w14:paraId="072FAC77" w14:textId="77777777" w:rsidR="003D085B" w:rsidRPr="003D085B" w:rsidRDefault="003D085B" w:rsidP="00BC663C">
      <w:pPr>
        <w:spacing w:after="0"/>
        <w:jc w:val="both"/>
        <w:rPr>
          <w:rFonts w:ascii="Arial" w:hAnsi="Arial" w:cs="Arial"/>
          <w:sz w:val="18"/>
          <w:szCs w:val="18"/>
        </w:rPr>
      </w:pPr>
    </w:p>
    <w:p w14:paraId="4AF801B5" w14:textId="3607D1C8" w:rsidR="003D085B" w:rsidRPr="003D085B" w:rsidRDefault="003D085B" w:rsidP="00FC06B9">
      <w:pPr>
        <w:pStyle w:val="Prrafodelista"/>
        <w:numPr>
          <w:ilvl w:val="0"/>
          <w:numId w:val="36"/>
        </w:numPr>
        <w:spacing w:line="276" w:lineRule="auto"/>
        <w:jc w:val="both"/>
        <w:rPr>
          <w:rFonts w:cs="Arial"/>
          <w:sz w:val="18"/>
          <w:szCs w:val="18"/>
        </w:rPr>
      </w:pPr>
      <w:r w:rsidRPr="003D085B">
        <w:rPr>
          <w:rFonts w:cs="Arial"/>
          <w:sz w:val="18"/>
          <w:szCs w:val="18"/>
        </w:rPr>
        <w:t>La información presentada en un eFormato no puede contradecir o ser inconsistente con respecto de lo presentado en otro eFormato. Esto incluye también la información de contacto y el Registro de Servicios de Telecomunicaciones Comercializados.</w:t>
      </w:r>
    </w:p>
    <w:p w14:paraId="27666A9A" w14:textId="77777777" w:rsidR="003D085B" w:rsidRPr="003D085B" w:rsidRDefault="003D085B" w:rsidP="00BC663C">
      <w:pPr>
        <w:spacing w:after="0"/>
        <w:jc w:val="both"/>
        <w:rPr>
          <w:rFonts w:ascii="Arial" w:hAnsi="Arial" w:cs="Arial"/>
          <w:sz w:val="18"/>
          <w:szCs w:val="18"/>
        </w:rPr>
      </w:pPr>
    </w:p>
    <w:p w14:paraId="1F14545D" w14:textId="6507BD5B" w:rsidR="003D085B" w:rsidRPr="003D085B" w:rsidRDefault="003D085B" w:rsidP="00FC06B9">
      <w:pPr>
        <w:pStyle w:val="Prrafodelista"/>
        <w:numPr>
          <w:ilvl w:val="0"/>
          <w:numId w:val="36"/>
        </w:numPr>
        <w:spacing w:line="276" w:lineRule="auto"/>
        <w:jc w:val="both"/>
        <w:rPr>
          <w:rFonts w:cs="Arial"/>
          <w:sz w:val="18"/>
          <w:szCs w:val="18"/>
        </w:rPr>
      </w:pPr>
      <w:r w:rsidRPr="003D085B">
        <w:rPr>
          <w:rFonts w:cs="Arial"/>
          <w:sz w:val="18"/>
          <w:szCs w:val="18"/>
        </w:rPr>
        <w:t>Los valores de la información que los Operadores entreguen deben cumplir con las Reglas de Validación determinadas en los Instructivos de cada eFormato.</w:t>
      </w:r>
    </w:p>
    <w:p w14:paraId="69F53306" w14:textId="77777777" w:rsidR="003D085B" w:rsidRPr="003D085B" w:rsidRDefault="003D085B" w:rsidP="00BC663C">
      <w:pPr>
        <w:spacing w:after="0"/>
        <w:jc w:val="both"/>
        <w:rPr>
          <w:rFonts w:ascii="Arial" w:hAnsi="Arial" w:cs="Arial"/>
          <w:sz w:val="18"/>
          <w:szCs w:val="18"/>
        </w:rPr>
      </w:pPr>
    </w:p>
    <w:p w14:paraId="0A4A9FDF" w14:textId="74F83987" w:rsidR="00E45065" w:rsidRPr="003D085B" w:rsidRDefault="003D085B" w:rsidP="00FC06B9">
      <w:pPr>
        <w:pStyle w:val="Prrafodelista"/>
        <w:numPr>
          <w:ilvl w:val="0"/>
          <w:numId w:val="36"/>
        </w:numPr>
        <w:spacing w:line="276" w:lineRule="auto"/>
        <w:jc w:val="both"/>
        <w:rPr>
          <w:rFonts w:cs="Arial"/>
          <w:sz w:val="18"/>
          <w:szCs w:val="18"/>
        </w:rPr>
      </w:pPr>
      <w:r w:rsidRPr="003D085B">
        <w:rPr>
          <w:rFonts w:cs="Arial"/>
          <w:sz w:val="18"/>
          <w:szCs w:val="18"/>
        </w:rPr>
        <w:t>Los Archivos de Presentación entregados deben pertenecer a sus correspondientes eFormatos.</w:t>
      </w:r>
    </w:p>
    <w:p w14:paraId="51EAC579" w14:textId="77777777" w:rsidR="00E45065" w:rsidRPr="00E45065" w:rsidRDefault="00E45065" w:rsidP="00AE30C2">
      <w:pPr>
        <w:spacing w:after="0"/>
        <w:jc w:val="both"/>
        <w:rPr>
          <w:rFonts w:ascii="Arial" w:hAnsi="Arial" w:cs="Arial"/>
          <w:sz w:val="18"/>
          <w:szCs w:val="18"/>
        </w:rPr>
      </w:pPr>
    </w:p>
    <w:p w14:paraId="59FB13AC" w14:textId="43819C88" w:rsidR="008F7680" w:rsidRPr="00E45065" w:rsidRDefault="003D085B" w:rsidP="00AE30C2">
      <w:pPr>
        <w:spacing w:after="0"/>
        <w:jc w:val="both"/>
        <w:rPr>
          <w:rFonts w:ascii="Arial" w:hAnsi="Arial" w:cs="Arial"/>
          <w:sz w:val="18"/>
          <w:szCs w:val="18"/>
        </w:rPr>
      </w:pPr>
      <w:r w:rsidRPr="003D085B">
        <w:rPr>
          <w:rFonts w:ascii="Arial" w:hAnsi="Arial" w:cs="Arial"/>
          <w:sz w:val="18"/>
          <w:szCs w:val="18"/>
        </w:rPr>
        <w:t>Los Operadores tienen la obligación de entregar información verídica y confiable, cumpliendo con cada una de las Reglas de Validación señalad</w:t>
      </w:r>
      <w:r w:rsidR="00831E1E">
        <w:rPr>
          <w:rFonts w:ascii="Arial" w:hAnsi="Arial" w:cs="Arial"/>
          <w:sz w:val="18"/>
          <w:szCs w:val="18"/>
        </w:rPr>
        <w:t>a</w:t>
      </w:r>
      <w:r w:rsidRPr="003D085B">
        <w:rPr>
          <w:rFonts w:ascii="Arial" w:hAnsi="Arial" w:cs="Arial"/>
          <w:sz w:val="18"/>
          <w:szCs w:val="18"/>
        </w:rPr>
        <w:t>s en cada eFormato. En caso de no cumplir con los criterios antes señalados, que la información entregada presente contradicciones, esté incompleta, sea inconsistente o contenga errores, el Instituto prevendrá al Operador de acuerdo con lo dispuesto por el Lineamiento Vigésimo segundo.</w:t>
      </w:r>
    </w:p>
    <w:p w14:paraId="496214EF" w14:textId="52C9F435" w:rsidR="008F7680" w:rsidRDefault="008F7680" w:rsidP="00AE30C2">
      <w:pPr>
        <w:spacing w:after="0"/>
        <w:jc w:val="both"/>
        <w:rPr>
          <w:rFonts w:ascii="Arial" w:hAnsi="Arial" w:cs="Arial"/>
          <w:b/>
          <w:sz w:val="18"/>
          <w:szCs w:val="18"/>
        </w:rPr>
      </w:pPr>
    </w:p>
    <w:p w14:paraId="20945D17" w14:textId="596CC3C1" w:rsidR="00040DEF" w:rsidRDefault="00040DEF" w:rsidP="00AE30C2">
      <w:pPr>
        <w:spacing w:after="0"/>
        <w:jc w:val="center"/>
        <w:rPr>
          <w:rFonts w:ascii="Arial" w:hAnsi="Arial" w:cs="Arial"/>
          <w:b/>
          <w:sz w:val="18"/>
          <w:szCs w:val="18"/>
        </w:rPr>
      </w:pPr>
      <w:r>
        <w:rPr>
          <w:rFonts w:ascii="Arial" w:hAnsi="Arial" w:cs="Arial"/>
          <w:b/>
          <w:sz w:val="18"/>
          <w:szCs w:val="18"/>
        </w:rPr>
        <w:t>Capítulo VI</w:t>
      </w:r>
    </w:p>
    <w:p w14:paraId="3C9EA7D1" w14:textId="22067A63" w:rsidR="00040DEF" w:rsidRDefault="00040DEF" w:rsidP="00AE30C2">
      <w:pPr>
        <w:spacing w:after="0"/>
        <w:jc w:val="center"/>
        <w:rPr>
          <w:rFonts w:ascii="Arial" w:hAnsi="Arial" w:cs="Arial"/>
          <w:b/>
          <w:sz w:val="18"/>
          <w:szCs w:val="18"/>
        </w:rPr>
      </w:pPr>
      <w:r>
        <w:rPr>
          <w:rFonts w:ascii="Arial" w:hAnsi="Arial" w:cs="Arial"/>
          <w:b/>
          <w:sz w:val="18"/>
          <w:szCs w:val="18"/>
        </w:rPr>
        <w:lastRenderedPageBreak/>
        <w:t xml:space="preserve">Del procedimiento de la prevención, desahogo y rectificación de la información presentada por los </w:t>
      </w:r>
      <w:r w:rsidR="008E309C">
        <w:rPr>
          <w:rFonts w:ascii="Arial" w:hAnsi="Arial" w:cs="Arial"/>
          <w:b/>
          <w:sz w:val="18"/>
          <w:szCs w:val="18"/>
        </w:rPr>
        <w:t>O</w:t>
      </w:r>
      <w:r>
        <w:rPr>
          <w:rFonts w:ascii="Arial" w:hAnsi="Arial" w:cs="Arial"/>
          <w:b/>
          <w:sz w:val="18"/>
          <w:szCs w:val="18"/>
        </w:rPr>
        <w:t>peradores</w:t>
      </w:r>
    </w:p>
    <w:p w14:paraId="3EA3579F" w14:textId="77777777" w:rsidR="00E45065" w:rsidRDefault="00E45065" w:rsidP="00AE30C2">
      <w:pPr>
        <w:spacing w:after="0"/>
        <w:jc w:val="center"/>
        <w:rPr>
          <w:rFonts w:ascii="Arial" w:hAnsi="Arial" w:cs="Arial"/>
          <w:b/>
          <w:sz w:val="18"/>
          <w:szCs w:val="18"/>
        </w:rPr>
      </w:pPr>
    </w:p>
    <w:p w14:paraId="48CFBA07" w14:textId="0C89EAEF" w:rsidR="00E45065" w:rsidRPr="00E45065" w:rsidRDefault="008F7680" w:rsidP="00AE30C2">
      <w:pPr>
        <w:spacing w:after="0"/>
        <w:jc w:val="both"/>
        <w:rPr>
          <w:rFonts w:ascii="Arial" w:hAnsi="Arial" w:cs="Arial"/>
          <w:sz w:val="18"/>
          <w:szCs w:val="18"/>
        </w:rPr>
      </w:pPr>
      <w:r>
        <w:rPr>
          <w:rFonts w:ascii="Arial" w:hAnsi="Arial" w:cs="Arial"/>
          <w:b/>
          <w:sz w:val="18"/>
          <w:szCs w:val="18"/>
        </w:rPr>
        <w:t xml:space="preserve">Vigésimo </w:t>
      </w:r>
      <w:r w:rsidR="008E638B">
        <w:rPr>
          <w:rFonts w:ascii="Arial" w:hAnsi="Arial" w:cs="Arial"/>
          <w:b/>
          <w:sz w:val="18"/>
          <w:szCs w:val="18"/>
        </w:rPr>
        <w:t>segundo. -</w:t>
      </w:r>
      <w:r w:rsidR="00E45065">
        <w:rPr>
          <w:rFonts w:ascii="Arial" w:hAnsi="Arial" w:cs="Arial"/>
          <w:b/>
          <w:sz w:val="18"/>
          <w:szCs w:val="18"/>
        </w:rPr>
        <w:t xml:space="preserve"> </w:t>
      </w:r>
      <w:r w:rsidR="00E45065" w:rsidRPr="00E45065">
        <w:rPr>
          <w:rFonts w:ascii="Arial" w:hAnsi="Arial" w:cs="Arial"/>
          <w:b/>
          <w:sz w:val="18"/>
          <w:szCs w:val="18"/>
        </w:rPr>
        <w:t xml:space="preserve">Periodos de prevención y plazos de desahogo. </w:t>
      </w:r>
      <w:r w:rsidR="003D085B" w:rsidRPr="003D085B">
        <w:rPr>
          <w:rFonts w:ascii="Arial" w:hAnsi="Arial" w:cs="Arial"/>
          <w:sz w:val="18"/>
          <w:szCs w:val="18"/>
        </w:rPr>
        <w:t>Una vez que los Operadores entreguen los correspondientes eFormatos según los plazos establecidos en el Lineamiento Décimo séptimo, el Instituto procederá a revisar dicha información de acuerdo con lo siguiente:</w:t>
      </w:r>
    </w:p>
    <w:p w14:paraId="64207190" w14:textId="77777777" w:rsidR="00E45065" w:rsidRPr="00E45065" w:rsidRDefault="00E45065" w:rsidP="00AE30C2">
      <w:pPr>
        <w:spacing w:after="0"/>
        <w:jc w:val="both"/>
        <w:rPr>
          <w:rFonts w:ascii="Arial" w:hAnsi="Arial" w:cs="Arial"/>
          <w:sz w:val="18"/>
          <w:szCs w:val="18"/>
        </w:rPr>
      </w:pPr>
    </w:p>
    <w:p w14:paraId="4BB1850B" w14:textId="6F6AE559" w:rsidR="00E45065" w:rsidRPr="00E45065" w:rsidRDefault="00E45065" w:rsidP="00AE30C2">
      <w:pPr>
        <w:pStyle w:val="Prrafodelista"/>
        <w:numPr>
          <w:ilvl w:val="0"/>
          <w:numId w:val="23"/>
        </w:numPr>
        <w:spacing w:line="276" w:lineRule="auto"/>
        <w:jc w:val="both"/>
        <w:rPr>
          <w:rFonts w:cs="Arial"/>
          <w:sz w:val="18"/>
          <w:szCs w:val="18"/>
        </w:rPr>
      </w:pPr>
      <w:r w:rsidRPr="00E45065">
        <w:rPr>
          <w:rFonts w:cs="Arial"/>
          <w:sz w:val="18"/>
          <w:szCs w:val="18"/>
        </w:rPr>
        <w:t>Para la entrega correspondiente al primer, segundo y tercer trimestre calendario al que hace referencia el numeral 1, incisos a, b y c del Lineamiento Décimo séptimo, la información será revisada por el Instituto dentro del plazo máximo de 65 días hábiles siguientes a su presentación.</w:t>
      </w:r>
    </w:p>
    <w:p w14:paraId="7449C7C4" w14:textId="77777777" w:rsidR="00E45065" w:rsidRPr="00E45065" w:rsidRDefault="00E45065" w:rsidP="00AE30C2">
      <w:pPr>
        <w:spacing w:after="0"/>
        <w:jc w:val="both"/>
        <w:rPr>
          <w:rFonts w:ascii="Arial" w:hAnsi="Arial" w:cs="Arial"/>
          <w:sz w:val="18"/>
          <w:szCs w:val="18"/>
        </w:rPr>
      </w:pPr>
    </w:p>
    <w:p w14:paraId="4D81A310" w14:textId="72ED78FF" w:rsidR="00E45065" w:rsidRPr="00E45065" w:rsidRDefault="00E45065" w:rsidP="00AE30C2">
      <w:pPr>
        <w:pStyle w:val="Prrafodelista"/>
        <w:numPr>
          <w:ilvl w:val="0"/>
          <w:numId w:val="23"/>
        </w:numPr>
        <w:spacing w:line="276" w:lineRule="auto"/>
        <w:jc w:val="both"/>
        <w:rPr>
          <w:rFonts w:cs="Arial"/>
          <w:sz w:val="18"/>
          <w:szCs w:val="18"/>
        </w:rPr>
      </w:pPr>
      <w:r w:rsidRPr="00E45065">
        <w:rPr>
          <w:rFonts w:cs="Arial"/>
          <w:sz w:val="18"/>
          <w:szCs w:val="18"/>
        </w:rPr>
        <w:t>Para el caso del cuarto trimestre al que hace referencia el numeral 1, inciso d, así como la entrega anual descrita en el numeral 2 del Lineamiento Décimo séptimo, la información será revisada por el Instituto dentro del plazo máximo de 80 días hábiles siguientes a su presentación.</w:t>
      </w:r>
    </w:p>
    <w:p w14:paraId="01597635" w14:textId="77777777" w:rsidR="00E45065" w:rsidRPr="00E45065" w:rsidRDefault="00E45065" w:rsidP="00AE30C2">
      <w:pPr>
        <w:spacing w:after="0"/>
        <w:jc w:val="both"/>
        <w:rPr>
          <w:rFonts w:ascii="Arial" w:hAnsi="Arial" w:cs="Arial"/>
          <w:sz w:val="18"/>
          <w:szCs w:val="18"/>
        </w:rPr>
      </w:pPr>
    </w:p>
    <w:p w14:paraId="764AAD2A" w14:textId="77777777"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Transcurrido el plazo antes mencionado, sin que el Instituto efectúe alguna prevención al Operador, se tendrá por cumplida la obligación de entrega de la información respectiva, de lo contrario, se estará a lo siguiente:</w:t>
      </w:r>
    </w:p>
    <w:p w14:paraId="29E22B48" w14:textId="77777777" w:rsidR="003D085B" w:rsidRPr="003D085B" w:rsidRDefault="003D085B" w:rsidP="003D085B">
      <w:pPr>
        <w:spacing w:after="0"/>
        <w:jc w:val="both"/>
        <w:rPr>
          <w:rFonts w:ascii="Arial" w:hAnsi="Arial" w:cs="Arial"/>
          <w:sz w:val="18"/>
          <w:szCs w:val="18"/>
        </w:rPr>
      </w:pPr>
    </w:p>
    <w:p w14:paraId="64A328EB" w14:textId="77777777"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En caso de que la información entregada presente contradicciones, esté incompleta, sea inconsistente o contenga errores, el Instituto prevendrá al Operador dentro del plazo referido en el párrafo anterior para que presente la información respectiva. Los Operadores deberán desahogar la prevención y responder a cada uno de los puntos requeridos en ésta por el Instituto, dentro de un plazo máximo de 15 días hábiles contados a partir del día siguiente a aquel en el que surta efectos la notificación de la prevención. Dicho plazo podrá ser prorrogado, por única ocasión, a solicitud del Operador, siempre que se realice dentro del plazo originalmente otorgado. La prórroga será de 8 días hábiles. Para lo relativo a la presentación de desahogos de las prevenciones se estará a lo dispuesto en el Lineamiento Vigésimo Tercero de los presente Lineamientos.</w:t>
      </w:r>
    </w:p>
    <w:p w14:paraId="6265AF50" w14:textId="77777777" w:rsidR="003D085B" w:rsidRPr="003D085B" w:rsidRDefault="003D085B" w:rsidP="003D085B">
      <w:pPr>
        <w:spacing w:after="0"/>
        <w:jc w:val="both"/>
        <w:rPr>
          <w:rFonts w:ascii="Arial" w:hAnsi="Arial" w:cs="Arial"/>
          <w:sz w:val="18"/>
          <w:szCs w:val="18"/>
        </w:rPr>
      </w:pPr>
    </w:p>
    <w:p w14:paraId="72037823" w14:textId="76788FC4"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 xml:space="preserve">En caso de que el Operador no desahogue </w:t>
      </w:r>
      <w:r w:rsidR="00C4436C">
        <w:rPr>
          <w:rFonts w:ascii="Arial" w:hAnsi="Arial" w:cs="Arial"/>
          <w:sz w:val="18"/>
          <w:szCs w:val="18"/>
        </w:rPr>
        <w:t xml:space="preserve">ninguno de los puntos </w:t>
      </w:r>
      <w:r w:rsidR="00631733">
        <w:rPr>
          <w:rFonts w:ascii="Arial" w:hAnsi="Arial" w:cs="Arial"/>
          <w:sz w:val="18"/>
          <w:szCs w:val="18"/>
        </w:rPr>
        <w:t xml:space="preserve">de </w:t>
      </w:r>
      <w:r w:rsidRPr="003D085B">
        <w:rPr>
          <w:rFonts w:ascii="Arial" w:hAnsi="Arial" w:cs="Arial"/>
          <w:sz w:val="18"/>
          <w:szCs w:val="18"/>
        </w:rPr>
        <w:t>la prevención señalada en el párrafo anterior, se procederá de conformidad con lo dispuesto en el capítulo VII de estos Lineamientos.</w:t>
      </w:r>
    </w:p>
    <w:p w14:paraId="0A24BC06" w14:textId="77777777" w:rsidR="003D085B" w:rsidRPr="003D085B" w:rsidRDefault="003D085B" w:rsidP="003D085B">
      <w:pPr>
        <w:spacing w:after="0"/>
        <w:jc w:val="both"/>
        <w:rPr>
          <w:rFonts w:ascii="Arial" w:hAnsi="Arial" w:cs="Arial"/>
          <w:sz w:val="18"/>
          <w:szCs w:val="18"/>
        </w:rPr>
      </w:pPr>
    </w:p>
    <w:p w14:paraId="44978EEA" w14:textId="14D213B8" w:rsidR="003D085B" w:rsidRPr="00E45065" w:rsidRDefault="003D085B" w:rsidP="003D085B">
      <w:pPr>
        <w:spacing w:after="0"/>
        <w:jc w:val="both"/>
        <w:rPr>
          <w:rFonts w:ascii="Arial" w:hAnsi="Arial" w:cs="Arial"/>
          <w:sz w:val="18"/>
          <w:szCs w:val="18"/>
        </w:rPr>
      </w:pPr>
      <w:r w:rsidRPr="003D085B">
        <w:rPr>
          <w:rFonts w:ascii="Arial" w:hAnsi="Arial" w:cs="Arial"/>
          <w:sz w:val="18"/>
          <w:szCs w:val="18"/>
        </w:rPr>
        <w:t>En caso de que el Operador no dé respuesta a todos los puntos de la prevención en los que se identifiquen contradicciones, información incompleta, inconsistencias o errores en la información entregada, o bien, estos persisten, el Instituto realizará requerimiento al Operador a efecto de que este último lo atienda con la finalidad de que se entregue la información relativa a subsanar las contradicciones, información incompleta, inconsistencias o errores detectados en la información entregada. El Operador deberá desahogar el requerimiento dentro de un plazo máximo de 10 días hábiles contados a partir del día siguiente a aquel en el que surta efectos la notificación del requerimiento. Dicho plazo podrá ser prorrogado, por única ocasión, a solicitud del Operador, siempre que se realice dentro del plazo originalmente otorgado. La prórroga será de 5 días hábiles. Si el Operador no desahoga el requerimiento o el desahogo a dicho requerimiento no subsana los puntos señalados, se procederá de conformidad con lo dispuesto en el capítulo VII de estos Lineamientos.</w:t>
      </w:r>
    </w:p>
    <w:p w14:paraId="10A32AE5" w14:textId="5EB15A5F" w:rsidR="008F7680" w:rsidRDefault="008F7680" w:rsidP="00AE30C2">
      <w:pPr>
        <w:spacing w:after="0"/>
        <w:jc w:val="both"/>
        <w:rPr>
          <w:rFonts w:ascii="Arial" w:hAnsi="Arial" w:cs="Arial"/>
          <w:b/>
          <w:sz w:val="18"/>
          <w:szCs w:val="18"/>
        </w:rPr>
      </w:pPr>
    </w:p>
    <w:p w14:paraId="36BE1EC1" w14:textId="024AFD9E" w:rsidR="003D085B" w:rsidRPr="003D085B" w:rsidRDefault="008F7680" w:rsidP="003D085B">
      <w:pPr>
        <w:spacing w:after="0"/>
        <w:jc w:val="both"/>
        <w:rPr>
          <w:rFonts w:ascii="Arial" w:hAnsi="Arial" w:cs="Arial"/>
          <w:sz w:val="18"/>
          <w:szCs w:val="18"/>
        </w:rPr>
      </w:pPr>
      <w:r>
        <w:rPr>
          <w:rFonts w:ascii="Arial" w:hAnsi="Arial" w:cs="Arial"/>
          <w:b/>
          <w:sz w:val="18"/>
          <w:szCs w:val="18"/>
        </w:rPr>
        <w:t xml:space="preserve">Vigésimo </w:t>
      </w:r>
      <w:r w:rsidR="008E638B">
        <w:rPr>
          <w:rFonts w:ascii="Arial" w:hAnsi="Arial" w:cs="Arial"/>
          <w:b/>
          <w:sz w:val="18"/>
          <w:szCs w:val="18"/>
        </w:rPr>
        <w:t>tercero. -</w:t>
      </w:r>
      <w:r w:rsidR="00E45065">
        <w:rPr>
          <w:rFonts w:ascii="Arial" w:hAnsi="Arial" w:cs="Arial"/>
          <w:b/>
          <w:sz w:val="18"/>
          <w:szCs w:val="18"/>
        </w:rPr>
        <w:t xml:space="preserve"> </w:t>
      </w:r>
      <w:r w:rsidR="00E45065" w:rsidRPr="00E45065">
        <w:rPr>
          <w:rFonts w:ascii="Arial" w:hAnsi="Arial" w:cs="Arial"/>
          <w:b/>
          <w:sz w:val="18"/>
          <w:szCs w:val="18"/>
        </w:rPr>
        <w:t xml:space="preserve">Presentación de desahogos. </w:t>
      </w:r>
      <w:r w:rsidR="003D085B" w:rsidRPr="003D085B">
        <w:rPr>
          <w:rFonts w:ascii="Arial" w:hAnsi="Arial" w:cs="Arial"/>
          <w:sz w:val="18"/>
          <w:szCs w:val="18"/>
        </w:rPr>
        <w:t>Los Operadores deberán presentar el desahogo de la prevención formulada por el Instituto y, en su caso, del requerimiento, dentro de los plazos establecidos en el Lineamiento Vigésimo segundo.</w:t>
      </w:r>
    </w:p>
    <w:p w14:paraId="36AE9793" w14:textId="77777777" w:rsidR="003D085B" w:rsidRPr="003D085B" w:rsidRDefault="003D085B" w:rsidP="003D085B">
      <w:pPr>
        <w:spacing w:after="0"/>
        <w:jc w:val="both"/>
        <w:rPr>
          <w:rFonts w:ascii="Arial" w:hAnsi="Arial" w:cs="Arial"/>
          <w:sz w:val="18"/>
          <w:szCs w:val="18"/>
        </w:rPr>
      </w:pPr>
    </w:p>
    <w:p w14:paraId="54E4DDC7" w14:textId="13F2258C" w:rsidR="008F7680" w:rsidRPr="00E45065" w:rsidRDefault="003D085B" w:rsidP="003D085B">
      <w:pPr>
        <w:spacing w:after="0"/>
        <w:jc w:val="both"/>
        <w:rPr>
          <w:rFonts w:ascii="Arial" w:hAnsi="Arial" w:cs="Arial"/>
          <w:sz w:val="18"/>
          <w:szCs w:val="18"/>
        </w:rPr>
      </w:pPr>
      <w:r w:rsidRPr="003D085B">
        <w:rPr>
          <w:rFonts w:ascii="Arial" w:hAnsi="Arial" w:cs="Arial"/>
          <w:sz w:val="18"/>
          <w:szCs w:val="18"/>
        </w:rPr>
        <w:t>Para ello, el Operador deberá presentar únicamente el o los eFormato/s y el o los Archivo/s de Presentación que derivado de la atención a la prevención o al requerimiento hayan sufrido modificaciones. Al momento de esta nueva presentación de información, el Instituto descartará la información previa correspondiente al o los eFormato/s y al o los Archivo/s de Presentación indicado/s previamente y revisará esta nueva información dentro del plazo máximo de 30 días hábiles siguientes a dicha presentación. En este caso, si la información presenta contradicciones, está incompleta, es inconsistente o contiene errores, se procederá conforme a lo establecido en el</w:t>
      </w:r>
      <w:r w:rsidR="001A13DD">
        <w:rPr>
          <w:rFonts w:ascii="Arial" w:hAnsi="Arial" w:cs="Arial"/>
          <w:sz w:val="18"/>
          <w:szCs w:val="18"/>
        </w:rPr>
        <w:t xml:space="preserve"> último párrafo del</w:t>
      </w:r>
      <w:r w:rsidRPr="003D085B">
        <w:rPr>
          <w:rFonts w:ascii="Arial" w:hAnsi="Arial" w:cs="Arial"/>
          <w:sz w:val="18"/>
          <w:szCs w:val="18"/>
        </w:rPr>
        <w:t xml:space="preserve"> Lineamiento Vigésimo segundo; de lo contrario, transcurrido el plazo de 30 días antes señalado sin que medie manifestación alguna del Instituto, se tendrá por cumplida la obligación de entrega de la información respectiva.</w:t>
      </w:r>
    </w:p>
    <w:p w14:paraId="5F15AF35" w14:textId="5DEF6A61" w:rsidR="008F7680" w:rsidRDefault="008F7680" w:rsidP="00AE30C2">
      <w:pPr>
        <w:spacing w:after="0"/>
        <w:jc w:val="both"/>
        <w:rPr>
          <w:rFonts w:ascii="Arial" w:hAnsi="Arial" w:cs="Arial"/>
          <w:b/>
          <w:sz w:val="18"/>
          <w:szCs w:val="18"/>
        </w:rPr>
      </w:pPr>
    </w:p>
    <w:p w14:paraId="69347828" w14:textId="0C310197" w:rsidR="003D085B" w:rsidRPr="003D085B" w:rsidRDefault="008F7680" w:rsidP="003D085B">
      <w:pPr>
        <w:spacing w:after="0"/>
        <w:jc w:val="both"/>
        <w:rPr>
          <w:rFonts w:ascii="Arial" w:hAnsi="Arial" w:cs="Arial"/>
          <w:sz w:val="18"/>
          <w:szCs w:val="18"/>
        </w:rPr>
      </w:pPr>
      <w:r>
        <w:rPr>
          <w:rFonts w:ascii="Arial" w:hAnsi="Arial" w:cs="Arial"/>
          <w:b/>
          <w:sz w:val="18"/>
          <w:szCs w:val="18"/>
        </w:rPr>
        <w:t xml:space="preserve">Vigésimo </w:t>
      </w:r>
      <w:r w:rsidR="008E638B">
        <w:rPr>
          <w:rFonts w:ascii="Arial" w:hAnsi="Arial" w:cs="Arial"/>
          <w:b/>
          <w:sz w:val="18"/>
          <w:szCs w:val="18"/>
        </w:rPr>
        <w:t>cuarto. -</w:t>
      </w:r>
      <w:r w:rsidR="00E45065">
        <w:rPr>
          <w:rFonts w:ascii="Arial" w:hAnsi="Arial" w:cs="Arial"/>
          <w:b/>
          <w:sz w:val="18"/>
          <w:szCs w:val="18"/>
        </w:rPr>
        <w:t xml:space="preserve"> </w:t>
      </w:r>
      <w:r w:rsidR="00E45065" w:rsidRPr="00E45065">
        <w:rPr>
          <w:rFonts w:ascii="Arial" w:hAnsi="Arial" w:cs="Arial"/>
          <w:b/>
          <w:sz w:val="18"/>
          <w:szCs w:val="18"/>
        </w:rPr>
        <w:t xml:space="preserve">Solicitud de rectificaciones. </w:t>
      </w:r>
      <w:r w:rsidR="003D085B" w:rsidRPr="003D085B">
        <w:rPr>
          <w:rFonts w:ascii="Arial" w:hAnsi="Arial" w:cs="Arial"/>
          <w:sz w:val="18"/>
          <w:szCs w:val="18"/>
        </w:rPr>
        <w:t>Los Operadores podrán solicitar la rectificación de la información en el momento en el que identifiquen la existencia de algún error en ésta. Solo se podrá solicitar la rectificación de información si la fecha de la solicitud se encuentra dentro del plazo de un año calendario contado a partir de la fecha de la última presentación de la información a rectificar.</w:t>
      </w:r>
    </w:p>
    <w:p w14:paraId="1CF28B7F" w14:textId="77777777" w:rsidR="003D085B" w:rsidRPr="003D085B" w:rsidRDefault="003D085B" w:rsidP="003D085B">
      <w:pPr>
        <w:spacing w:after="0"/>
        <w:jc w:val="both"/>
        <w:rPr>
          <w:rFonts w:ascii="Arial" w:hAnsi="Arial" w:cs="Arial"/>
          <w:sz w:val="18"/>
          <w:szCs w:val="18"/>
        </w:rPr>
      </w:pPr>
    </w:p>
    <w:p w14:paraId="1FDE4F5F" w14:textId="77777777"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Dicha solicitud procederá siempre y cuando haya concluido el plazo máximo con el que cuenta el Instituto para la revisión de la información previamente presentada y no se tenga en curso alguna prevención o algún requerimiento sobre la información que se solicita rectificar.</w:t>
      </w:r>
    </w:p>
    <w:p w14:paraId="2E97A6E3" w14:textId="77777777" w:rsidR="003D085B" w:rsidRPr="003D085B" w:rsidRDefault="003D085B" w:rsidP="003D085B">
      <w:pPr>
        <w:spacing w:after="0"/>
        <w:jc w:val="both"/>
        <w:rPr>
          <w:rFonts w:ascii="Arial" w:hAnsi="Arial" w:cs="Arial"/>
          <w:sz w:val="18"/>
          <w:szCs w:val="18"/>
        </w:rPr>
      </w:pPr>
    </w:p>
    <w:p w14:paraId="0AEA0EDC" w14:textId="28ED20E8"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Para ello, el Operador deberá elaborar un escrito en el que se solicite la rectificación de la información previamente entregada, en el que deberá indicar el período al que corresponde, así como explicar y motivar las causas que dieron origen a la necesidad de rectificar la información. La solicitud de rectificación deberá realizarse mediante Oficialía de Partes Común o Ventanilla Electrónica</w:t>
      </w:r>
      <w:r w:rsidR="00631733">
        <w:rPr>
          <w:rFonts w:ascii="Arial" w:hAnsi="Arial" w:cs="Arial"/>
          <w:sz w:val="18"/>
          <w:szCs w:val="18"/>
        </w:rPr>
        <w:t>, según corresponda</w:t>
      </w:r>
      <w:r w:rsidRPr="003D085B">
        <w:rPr>
          <w:rFonts w:ascii="Arial" w:hAnsi="Arial" w:cs="Arial"/>
          <w:sz w:val="18"/>
          <w:szCs w:val="18"/>
        </w:rPr>
        <w:t xml:space="preserve">. </w:t>
      </w:r>
    </w:p>
    <w:p w14:paraId="5048D0D5" w14:textId="77777777"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 xml:space="preserve"> </w:t>
      </w:r>
    </w:p>
    <w:p w14:paraId="14805D17" w14:textId="27D3CC8F"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Además, en términos del Anexo B de los presentes Lineamientos, el Operador deberá anexar al escrito los eFormatos y los Archivos de Presentación actualizados con la información correcta, conforme a lo establecido en el Lineamiento Décimo octavo</w:t>
      </w:r>
      <w:r w:rsidR="00434054">
        <w:rPr>
          <w:rFonts w:ascii="Arial" w:hAnsi="Arial" w:cs="Arial"/>
          <w:sz w:val="18"/>
          <w:szCs w:val="18"/>
        </w:rPr>
        <w:t>, así como</w:t>
      </w:r>
      <w:r w:rsidRPr="003D085B">
        <w:rPr>
          <w:rFonts w:ascii="Arial" w:hAnsi="Arial" w:cs="Arial"/>
          <w:sz w:val="18"/>
          <w:szCs w:val="18"/>
        </w:rPr>
        <w:t xml:space="preserve"> en la sección 3 del eFormato correspondiente deberá señalar los Archivos de Presentación que se anexan.</w:t>
      </w:r>
    </w:p>
    <w:p w14:paraId="1B7FE970" w14:textId="77777777" w:rsidR="003D085B" w:rsidRPr="003D085B" w:rsidRDefault="003D085B" w:rsidP="003D085B">
      <w:pPr>
        <w:spacing w:after="0"/>
        <w:jc w:val="both"/>
        <w:rPr>
          <w:rFonts w:ascii="Arial" w:hAnsi="Arial" w:cs="Arial"/>
          <w:sz w:val="18"/>
          <w:szCs w:val="18"/>
        </w:rPr>
      </w:pPr>
    </w:p>
    <w:p w14:paraId="152B3C5D" w14:textId="77777777"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 xml:space="preserve">El Instituto contará con un plazo de 50 días hábiles contados a partir del día hábil siguiente a la presentación de la solicitud de rectificación de la información para determinar la procedencia del trámite. </w:t>
      </w:r>
    </w:p>
    <w:p w14:paraId="36B78AFC" w14:textId="77777777" w:rsidR="003D085B" w:rsidRPr="003D085B" w:rsidRDefault="003D085B" w:rsidP="003D085B">
      <w:pPr>
        <w:spacing w:after="0"/>
        <w:jc w:val="both"/>
        <w:rPr>
          <w:rFonts w:ascii="Arial" w:hAnsi="Arial" w:cs="Arial"/>
          <w:sz w:val="18"/>
          <w:szCs w:val="18"/>
        </w:rPr>
      </w:pPr>
    </w:p>
    <w:p w14:paraId="3A5BBF29" w14:textId="77777777"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En caso de que el Instituto determine que la solicitud de rectificación no es procedente, se informará al Operador los motivos en que se sustenta dicha determinación con la finalidad de que pueda subsanarlos y solicitar nuevamente la rectificación de información.</w:t>
      </w:r>
    </w:p>
    <w:p w14:paraId="6CC16B06" w14:textId="77777777" w:rsidR="003D085B" w:rsidRPr="003D085B" w:rsidRDefault="003D085B" w:rsidP="003D085B">
      <w:pPr>
        <w:spacing w:after="0"/>
        <w:jc w:val="both"/>
        <w:rPr>
          <w:rFonts w:ascii="Arial" w:hAnsi="Arial" w:cs="Arial"/>
          <w:sz w:val="18"/>
          <w:szCs w:val="18"/>
        </w:rPr>
      </w:pPr>
      <w:r w:rsidRPr="003D085B">
        <w:rPr>
          <w:rFonts w:ascii="Arial" w:hAnsi="Arial" w:cs="Arial"/>
          <w:sz w:val="18"/>
          <w:szCs w:val="18"/>
        </w:rPr>
        <w:t xml:space="preserve"> </w:t>
      </w:r>
    </w:p>
    <w:p w14:paraId="069B276A" w14:textId="5333AAEE" w:rsidR="003D085B" w:rsidRPr="00E45065" w:rsidRDefault="003D085B" w:rsidP="003D085B">
      <w:pPr>
        <w:spacing w:after="0"/>
        <w:jc w:val="both"/>
        <w:rPr>
          <w:rFonts w:ascii="Arial" w:hAnsi="Arial" w:cs="Arial"/>
          <w:sz w:val="18"/>
          <w:szCs w:val="18"/>
        </w:rPr>
      </w:pPr>
      <w:r w:rsidRPr="003D085B">
        <w:rPr>
          <w:rFonts w:ascii="Arial" w:hAnsi="Arial" w:cs="Arial"/>
          <w:sz w:val="18"/>
          <w:szCs w:val="18"/>
        </w:rPr>
        <w:t>Si la rectificación de información es procedente, se le informará al Operador sobre dicha determinación y el Instituto realizará las correcciones y ajustes correspondientes.</w:t>
      </w:r>
    </w:p>
    <w:p w14:paraId="47A8B565" w14:textId="2E43AC26" w:rsidR="008F7680" w:rsidRDefault="008F7680" w:rsidP="00AE30C2">
      <w:pPr>
        <w:spacing w:after="0"/>
        <w:jc w:val="both"/>
        <w:rPr>
          <w:rFonts w:ascii="Arial" w:hAnsi="Arial" w:cs="Arial"/>
          <w:b/>
          <w:sz w:val="18"/>
          <w:szCs w:val="18"/>
        </w:rPr>
      </w:pPr>
    </w:p>
    <w:p w14:paraId="762F8ACC" w14:textId="57E9532C" w:rsidR="00040DEF" w:rsidRDefault="00040DEF" w:rsidP="00AE30C2">
      <w:pPr>
        <w:spacing w:after="0"/>
        <w:jc w:val="center"/>
        <w:rPr>
          <w:rFonts w:ascii="Arial" w:hAnsi="Arial" w:cs="Arial"/>
          <w:b/>
          <w:sz w:val="18"/>
          <w:szCs w:val="18"/>
        </w:rPr>
      </w:pPr>
      <w:r>
        <w:rPr>
          <w:rFonts w:ascii="Arial" w:hAnsi="Arial" w:cs="Arial"/>
          <w:b/>
          <w:sz w:val="18"/>
          <w:szCs w:val="18"/>
        </w:rPr>
        <w:t>Capítulo VII</w:t>
      </w:r>
    </w:p>
    <w:p w14:paraId="2D28A005" w14:textId="3A954CE0" w:rsidR="00040DEF" w:rsidRDefault="00040DEF" w:rsidP="00AE30C2">
      <w:pPr>
        <w:spacing w:after="0"/>
        <w:jc w:val="center"/>
        <w:rPr>
          <w:rFonts w:ascii="Arial" w:hAnsi="Arial" w:cs="Arial"/>
          <w:b/>
          <w:sz w:val="18"/>
          <w:szCs w:val="18"/>
        </w:rPr>
      </w:pPr>
      <w:r>
        <w:rPr>
          <w:rFonts w:ascii="Arial" w:hAnsi="Arial" w:cs="Arial"/>
          <w:b/>
          <w:sz w:val="18"/>
          <w:szCs w:val="18"/>
        </w:rPr>
        <w:t>De la supervisión, verificación y régimen sancionatorio</w:t>
      </w:r>
    </w:p>
    <w:p w14:paraId="0CB30D83" w14:textId="77777777" w:rsidR="00040DEF" w:rsidRDefault="00040DEF" w:rsidP="00AE30C2">
      <w:pPr>
        <w:spacing w:after="0"/>
        <w:jc w:val="center"/>
        <w:rPr>
          <w:rFonts w:ascii="Arial" w:hAnsi="Arial" w:cs="Arial"/>
          <w:b/>
          <w:sz w:val="18"/>
          <w:szCs w:val="18"/>
        </w:rPr>
      </w:pPr>
    </w:p>
    <w:p w14:paraId="752FFA14" w14:textId="0A805AB9" w:rsidR="008F7680" w:rsidRDefault="008F7680" w:rsidP="00AE30C2">
      <w:pPr>
        <w:spacing w:after="0"/>
        <w:jc w:val="both"/>
        <w:rPr>
          <w:rFonts w:ascii="Arial" w:hAnsi="Arial" w:cs="Arial"/>
          <w:b/>
          <w:sz w:val="18"/>
          <w:szCs w:val="18"/>
        </w:rPr>
      </w:pPr>
      <w:r>
        <w:rPr>
          <w:rFonts w:ascii="Arial" w:hAnsi="Arial" w:cs="Arial"/>
          <w:b/>
          <w:sz w:val="18"/>
          <w:szCs w:val="18"/>
        </w:rPr>
        <w:t xml:space="preserve">Vigésimo </w:t>
      </w:r>
      <w:r w:rsidR="008E638B">
        <w:rPr>
          <w:rFonts w:ascii="Arial" w:hAnsi="Arial" w:cs="Arial"/>
          <w:b/>
          <w:sz w:val="18"/>
          <w:szCs w:val="18"/>
        </w:rPr>
        <w:t>quinto. -</w:t>
      </w:r>
      <w:r w:rsidR="00E45065">
        <w:rPr>
          <w:rFonts w:ascii="Arial" w:hAnsi="Arial" w:cs="Arial"/>
          <w:b/>
          <w:sz w:val="18"/>
          <w:szCs w:val="18"/>
        </w:rPr>
        <w:t xml:space="preserve"> </w:t>
      </w:r>
      <w:r w:rsidR="00E45065" w:rsidRPr="00E45065">
        <w:rPr>
          <w:rFonts w:ascii="Arial" w:hAnsi="Arial" w:cs="Arial"/>
          <w:b/>
          <w:sz w:val="18"/>
          <w:szCs w:val="18"/>
        </w:rPr>
        <w:t xml:space="preserve">Supervisión y verificación. </w:t>
      </w:r>
      <w:r w:rsidR="003D085B" w:rsidRPr="003D085B">
        <w:rPr>
          <w:rFonts w:ascii="Arial" w:hAnsi="Arial" w:cs="Arial"/>
          <w:sz w:val="18"/>
          <w:szCs w:val="18"/>
        </w:rPr>
        <w:t>El Instituto tendrá en todo momento la facultad de exigir a los Operadores, la presentación de los elementos necesarios a fin de cerciorarse de la veracidad de los datos contenidos en los eFormatos, así como para verificar la información que en su caso se entregue por medio del desahogo de las prevenciones y requerimientos.</w:t>
      </w:r>
    </w:p>
    <w:p w14:paraId="5D2DE56C" w14:textId="44C73AC0" w:rsidR="008F7680" w:rsidRDefault="008F7680" w:rsidP="00AE30C2">
      <w:pPr>
        <w:spacing w:after="0"/>
        <w:jc w:val="both"/>
        <w:rPr>
          <w:rFonts w:ascii="Arial" w:hAnsi="Arial" w:cs="Arial"/>
          <w:b/>
          <w:sz w:val="18"/>
          <w:szCs w:val="18"/>
        </w:rPr>
      </w:pPr>
    </w:p>
    <w:p w14:paraId="5E097E24" w14:textId="79251BC2" w:rsidR="008F7680" w:rsidRDefault="008F7680" w:rsidP="00AE30C2">
      <w:pPr>
        <w:spacing w:after="0"/>
        <w:jc w:val="both"/>
        <w:rPr>
          <w:rFonts w:ascii="Arial" w:hAnsi="Arial" w:cs="Arial"/>
          <w:b/>
          <w:sz w:val="18"/>
          <w:szCs w:val="18"/>
        </w:rPr>
      </w:pPr>
      <w:r>
        <w:rPr>
          <w:rFonts w:ascii="Arial" w:hAnsi="Arial" w:cs="Arial"/>
          <w:b/>
          <w:sz w:val="18"/>
          <w:szCs w:val="18"/>
        </w:rPr>
        <w:t xml:space="preserve">Vigésimo </w:t>
      </w:r>
      <w:r w:rsidR="008E638B">
        <w:rPr>
          <w:rFonts w:ascii="Arial" w:hAnsi="Arial" w:cs="Arial"/>
          <w:b/>
          <w:sz w:val="18"/>
          <w:szCs w:val="18"/>
        </w:rPr>
        <w:t>sexto. -</w:t>
      </w:r>
      <w:r w:rsidR="00E45065">
        <w:rPr>
          <w:rFonts w:ascii="Arial" w:hAnsi="Arial" w:cs="Arial"/>
          <w:b/>
          <w:sz w:val="18"/>
          <w:szCs w:val="18"/>
        </w:rPr>
        <w:t xml:space="preserve"> </w:t>
      </w:r>
      <w:r w:rsidR="00E45065" w:rsidRPr="00E45065">
        <w:rPr>
          <w:rFonts w:ascii="Arial" w:hAnsi="Arial" w:cs="Arial"/>
          <w:b/>
          <w:sz w:val="18"/>
          <w:szCs w:val="18"/>
        </w:rPr>
        <w:t xml:space="preserve">Régimen sancionatorio. </w:t>
      </w:r>
      <w:r w:rsidR="003D085B" w:rsidRPr="003D085B">
        <w:rPr>
          <w:rFonts w:ascii="Arial" w:hAnsi="Arial" w:cs="Arial"/>
          <w:sz w:val="18"/>
          <w:szCs w:val="18"/>
        </w:rPr>
        <w:t>Las infracciones a lo dispuesto en los presentes Lineamientos serán sancionadas en términos del Título Décimo Quinto de la LFTR.</w:t>
      </w:r>
    </w:p>
    <w:p w14:paraId="1260A1E6" w14:textId="1199FBAB" w:rsidR="008F7680" w:rsidRDefault="008F7680" w:rsidP="00AE30C2">
      <w:pPr>
        <w:spacing w:after="0"/>
        <w:jc w:val="both"/>
        <w:rPr>
          <w:rFonts w:ascii="Arial" w:hAnsi="Arial" w:cs="Arial"/>
          <w:b/>
          <w:sz w:val="18"/>
          <w:szCs w:val="18"/>
        </w:rPr>
      </w:pPr>
    </w:p>
    <w:p w14:paraId="5B58849E" w14:textId="70329A95" w:rsidR="008F7680" w:rsidRDefault="008F7680" w:rsidP="00AE30C2">
      <w:pPr>
        <w:spacing w:after="0"/>
        <w:jc w:val="center"/>
        <w:rPr>
          <w:rFonts w:ascii="Arial" w:hAnsi="Arial" w:cs="Arial"/>
          <w:b/>
          <w:sz w:val="18"/>
          <w:szCs w:val="18"/>
        </w:rPr>
      </w:pPr>
      <w:r>
        <w:rPr>
          <w:rFonts w:ascii="Arial" w:hAnsi="Arial" w:cs="Arial"/>
          <w:b/>
          <w:sz w:val="18"/>
          <w:szCs w:val="18"/>
        </w:rPr>
        <w:t>Transitorios</w:t>
      </w:r>
    </w:p>
    <w:p w14:paraId="606129FD" w14:textId="0A94B57E" w:rsidR="008F7680" w:rsidRDefault="008F7680" w:rsidP="00AE30C2">
      <w:pPr>
        <w:spacing w:after="0"/>
        <w:jc w:val="center"/>
        <w:rPr>
          <w:rFonts w:ascii="Arial" w:hAnsi="Arial" w:cs="Arial"/>
          <w:b/>
          <w:sz w:val="18"/>
          <w:szCs w:val="18"/>
        </w:rPr>
      </w:pPr>
    </w:p>
    <w:p w14:paraId="06034971" w14:textId="78205F11" w:rsidR="008F7680" w:rsidRDefault="008E638B" w:rsidP="00AE30C2">
      <w:pPr>
        <w:spacing w:after="0"/>
        <w:jc w:val="both"/>
        <w:rPr>
          <w:rFonts w:ascii="Arial" w:hAnsi="Arial" w:cs="Arial"/>
          <w:b/>
          <w:sz w:val="18"/>
          <w:szCs w:val="18"/>
        </w:rPr>
      </w:pPr>
      <w:r>
        <w:rPr>
          <w:rFonts w:ascii="Arial" w:hAnsi="Arial" w:cs="Arial"/>
          <w:b/>
          <w:sz w:val="18"/>
          <w:szCs w:val="18"/>
        </w:rPr>
        <w:t>Primero. -</w:t>
      </w:r>
      <w:r w:rsidR="00C0573D">
        <w:rPr>
          <w:rFonts w:ascii="Arial" w:hAnsi="Arial" w:cs="Arial"/>
          <w:b/>
          <w:sz w:val="18"/>
          <w:szCs w:val="18"/>
        </w:rPr>
        <w:t xml:space="preserve"> </w:t>
      </w:r>
      <w:r w:rsidR="00E45065" w:rsidRPr="00E45065">
        <w:rPr>
          <w:rFonts w:ascii="Arial" w:hAnsi="Arial" w:cs="Arial"/>
          <w:sz w:val="18"/>
          <w:szCs w:val="18"/>
        </w:rPr>
        <w:t>Los presentes Lineamientos entrarán en vigor el 6 de enero de 2025.</w:t>
      </w:r>
    </w:p>
    <w:p w14:paraId="086A78E7" w14:textId="77ACFC7F" w:rsidR="008F7680" w:rsidRDefault="008F7680" w:rsidP="00AE30C2">
      <w:pPr>
        <w:spacing w:after="0"/>
        <w:jc w:val="both"/>
        <w:rPr>
          <w:rFonts w:ascii="Arial" w:hAnsi="Arial" w:cs="Arial"/>
          <w:b/>
          <w:sz w:val="18"/>
          <w:szCs w:val="18"/>
        </w:rPr>
      </w:pPr>
    </w:p>
    <w:p w14:paraId="425F9863" w14:textId="78D746E8" w:rsidR="008F7680" w:rsidRDefault="008F7680" w:rsidP="00AE30C2">
      <w:pPr>
        <w:spacing w:after="0"/>
        <w:jc w:val="both"/>
        <w:rPr>
          <w:rFonts w:ascii="Arial" w:hAnsi="Arial" w:cs="Arial"/>
          <w:b/>
          <w:sz w:val="18"/>
          <w:szCs w:val="18"/>
        </w:rPr>
      </w:pPr>
      <w:r>
        <w:rPr>
          <w:rFonts w:ascii="Arial" w:hAnsi="Arial" w:cs="Arial"/>
          <w:b/>
          <w:sz w:val="18"/>
          <w:szCs w:val="18"/>
        </w:rPr>
        <w:t>Segundo.-</w:t>
      </w:r>
      <w:r w:rsidR="00C0573D">
        <w:rPr>
          <w:rFonts w:ascii="Arial" w:hAnsi="Arial" w:cs="Arial"/>
          <w:b/>
          <w:sz w:val="18"/>
          <w:szCs w:val="18"/>
        </w:rPr>
        <w:t xml:space="preserve"> </w:t>
      </w:r>
      <w:r w:rsidR="003D085B" w:rsidRPr="003D085B">
        <w:rPr>
          <w:rFonts w:ascii="Arial" w:hAnsi="Arial" w:cs="Arial"/>
          <w:sz w:val="18"/>
          <w:szCs w:val="18"/>
        </w:rPr>
        <w:t>La entrega de información a través de eFormatos y Archivos de Presentación para integrar el acervo estadístico del Instituto correspondiente al año 2024, así como la sustanciación de los trámites y procedimientos que se hayan iniciado con anterioridad a la entrada en vigor de los presentes Lineamientos, se llevarán a cabo en los plazos y términos previstos en los Lineamientos que establecen la metodología, la periodicidad, el catálogo de claves de información y los formatos electrónicos para integrar el acervo estadístico del Instituto Federal de Telecomunicaciones, publicados en el Diario Oficial de la Federación el 24 de enero de 2020</w:t>
      </w:r>
      <w:r w:rsidR="00211884">
        <w:rPr>
          <w:rFonts w:ascii="Arial" w:hAnsi="Arial" w:cs="Arial"/>
          <w:sz w:val="18"/>
          <w:szCs w:val="18"/>
        </w:rPr>
        <w:t xml:space="preserve"> </w:t>
      </w:r>
      <w:r w:rsidR="00211884" w:rsidRPr="0047518E">
        <w:rPr>
          <w:rFonts w:ascii="Arial" w:hAnsi="Arial" w:cs="Arial"/>
          <w:sz w:val="18"/>
          <w:szCs w:val="18"/>
        </w:rPr>
        <w:t>y cuya última modificación fue publicada en el referido medio de difusión oficial, el 18 de noviembre de 2020</w:t>
      </w:r>
      <w:r w:rsidR="003D085B" w:rsidRPr="003D085B">
        <w:rPr>
          <w:rFonts w:ascii="Arial" w:hAnsi="Arial" w:cs="Arial"/>
          <w:sz w:val="18"/>
          <w:szCs w:val="18"/>
        </w:rPr>
        <w:t>, y continuarán su curso legal hasta su conclusión con base en lo que establecen dichos Lineamientos.</w:t>
      </w:r>
    </w:p>
    <w:p w14:paraId="55818615" w14:textId="6501A78C" w:rsidR="008F7680" w:rsidRDefault="008F7680" w:rsidP="00AE30C2">
      <w:pPr>
        <w:spacing w:after="0"/>
        <w:jc w:val="both"/>
        <w:rPr>
          <w:rFonts w:ascii="Arial" w:hAnsi="Arial" w:cs="Arial"/>
          <w:b/>
          <w:sz w:val="18"/>
          <w:szCs w:val="18"/>
        </w:rPr>
      </w:pPr>
    </w:p>
    <w:p w14:paraId="0B85907C" w14:textId="0CEBFFDF" w:rsidR="008F7680" w:rsidRDefault="008F7680" w:rsidP="00AE30C2">
      <w:pPr>
        <w:spacing w:after="0"/>
        <w:jc w:val="both"/>
        <w:rPr>
          <w:rFonts w:ascii="Arial" w:hAnsi="Arial" w:cs="Arial"/>
          <w:b/>
          <w:sz w:val="18"/>
          <w:szCs w:val="18"/>
        </w:rPr>
      </w:pPr>
      <w:r>
        <w:rPr>
          <w:rFonts w:ascii="Arial" w:hAnsi="Arial" w:cs="Arial"/>
          <w:b/>
          <w:sz w:val="18"/>
          <w:szCs w:val="18"/>
        </w:rPr>
        <w:t>Tercero.-</w:t>
      </w:r>
      <w:r w:rsidR="00C0573D">
        <w:rPr>
          <w:rFonts w:ascii="Arial" w:hAnsi="Arial" w:cs="Arial"/>
          <w:b/>
          <w:sz w:val="18"/>
          <w:szCs w:val="18"/>
        </w:rPr>
        <w:t xml:space="preserve"> </w:t>
      </w:r>
      <w:r w:rsidR="001A13DD">
        <w:rPr>
          <w:rFonts w:ascii="Arial" w:hAnsi="Arial" w:cs="Arial"/>
          <w:sz w:val="18"/>
          <w:szCs w:val="18"/>
        </w:rPr>
        <w:t>Salvo lo previsto en el transitorio anterior, a</w:t>
      </w:r>
      <w:r w:rsidR="003D085B" w:rsidRPr="003D085B">
        <w:rPr>
          <w:rFonts w:ascii="Arial" w:hAnsi="Arial" w:cs="Arial"/>
          <w:sz w:val="18"/>
          <w:szCs w:val="18"/>
        </w:rPr>
        <w:t xml:space="preserve"> partir de la entrada en vigor de los presentes Lineamientos se abrogan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publicados en el Diario Oficial de la Federación el 24 de enero de 2020</w:t>
      </w:r>
      <w:r w:rsidR="00ED215A">
        <w:rPr>
          <w:rFonts w:ascii="Arial" w:hAnsi="Arial" w:cs="Arial"/>
          <w:sz w:val="18"/>
          <w:szCs w:val="18"/>
        </w:rPr>
        <w:t xml:space="preserve"> </w:t>
      </w:r>
      <w:r w:rsidR="00ED215A" w:rsidRPr="0047518E">
        <w:rPr>
          <w:rFonts w:ascii="Arial" w:hAnsi="Arial" w:cs="Arial"/>
          <w:sz w:val="18"/>
          <w:szCs w:val="18"/>
        </w:rPr>
        <w:t>y cuya última modificación fue publicada en el referido medio de difusión oficial, el 18 de noviembre de 2020</w:t>
      </w:r>
      <w:r w:rsidR="003D085B" w:rsidRPr="003D085B">
        <w:rPr>
          <w:rFonts w:ascii="Arial" w:hAnsi="Arial" w:cs="Arial"/>
          <w:sz w:val="18"/>
          <w:szCs w:val="18"/>
        </w:rPr>
        <w:t>.</w:t>
      </w:r>
    </w:p>
    <w:p w14:paraId="62D175A1" w14:textId="43D6A1B9" w:rsidR="008F7680" w:rsidRDefault="008F7680" w:rsidP="00AE30C2">
      <w:pPr>
        <w:spacing w:after="0"/>
        <w:jc w:val="both"/>
        <w:rPr>
          <w:rFonts w:ascii="Arial" w:hAnsi="Arial" w:cs="Arial"/>
          <w:b/>
          <w:sz w:val="18"/>
          <w:szCs w:val="18"/>
        </w:rPr>
      </w:pPr>
    </w:p>
    <w:p w14:paraId="1C0708A1" w14:textId="75F69DAA" w:rsidR="00040DEF" w:rsidRPr="00E45065" w:rsidRDefault="00040DEF" w:rsidP="00AE30C2">
      <w:pPr>
        <w:spacing w:after="0"/>
        <w:jc w:val="both"/>
        <w:rPr>
          <w:rFonts w:ascii="Arial" w:hAnsi="Arial" w:cs="Arial"/>
          <w:sz w:val="18"/>
          <w:szCs w:val="18"/>
        </w:rPr>
      </w:pPr>
      <w:r>
        <w:rPr>
          <w:rFonts w:ascii="Arial" w:hAnsi="Arial" w:cs="Arial"/>
          <w:b/>
          <w:sz w:val="18"/>
          <w:szCs w:val="18"/>
        </w:rPr>
        <w:t>Cuarto.-</w:t>
      </w:r>
      <w:r w:rsidR="00C0573D">
        <w:rPr>
          <w:rFonts w:ascii="Arial" w:hAnsi="Arial" w:cs="Arial"/>
          <w:b/>
          <w:sz w:val="18"/>
          <w:szCs w:val="18"/>
        </w:rPr>
        <w:t xml:space="preserve"> </w:t>
      </w:r>
      <w:r w:rsidR="003D085B" w:rsidRPr="003D085B">
        <w:rPr>
          <w:rFonts w:ascii="Arial" w:hAnsi="Arial" w:cs="Arial"/>
          <w:sz w:val="18"/>
          <w:szCs w:val="18"/>
        </w:rPr>
        <w:t xml:space="preserve">Para efectos de los establecido en el Lineamiento Octavo, al momento de la entrada en vigor de los presentes Lineamientos, los Operadores que hayan realizado, al menos una entrega de información estadística </w:t>
      </w:r>
      <w:r w:rsidR="001A13DD">
        <w:rPr>
          <w:rFonts w:ascii="Arial" w:hAnsi="Arial" w:cs="Arial"/>
          <w:sz w:val="18"/>
          <w:szCs w:val="18"/>
        </w:rPr>
        <w:t>durante la vigencia</w:t>
      </w:r>
      <w:r w:rsidR="003D085B" w:rsidRPr="003D085B">
        <w:rPr>
          <w:rFonts w:ascii="Arial" w:hAnsi="Arial" w:cs="Arial"/>
          <w:sz w:val="18"/>
          <w:szCs w:val="18"/>
        </w:rPr>
        <w:t xml:space="preserve"> de los Lineamientos que establecen la metodología, la periodicidad, el catálogo de claves de información y los formatos electrónicos para integrar el acervo estadístico del Instituto Federal de Telecomunicaciones, publicados en el Diario Oficial de la Federación el 24 de enero de 2020, </w:t>
      </w:r>
      <w:r w:rsidR="00706A5E" w:rsidRPr="0047518E">
        <w:rPr>
          <w:rFonts w:ascii="Arial" w:hAnsi="Arial" w:cs="Arial"/>
          <w:sz w:val="18"/>
          <w:szCs w:val="18"/>
        </w:rPr>
        <w:t>y cuya última modificación fue publicada en el referido medio de difusión oficial, el 18 de noviembre de 2020</w:t>
      </w:r>
      <w:r w:rsidR="00706A5E">
        <w:rPr>
          <w:rFonts w:ascii="Arial" w:hAnsi="Arial" w:cs="Arial"/>
          <w:sz w:val="18"/>
          <w:szCs w:val="18"/>
        </w:rPr>
        <w:t>,</w:t>
      </w:r>
      <w:r w:rsidR="003D085B" w:rsidRPr="003D085B">
        <w:rPr>
          <w:rFonts w:ascii="Arial" w:hAnsi="Arial" w:cs="Arial"/>
          <w:sz w:val="18"/>
          <w:szCs w:val="18"/>
        </w:rPr>
        <w:t xml:space="preserve"> deberán entregar el Registro de Servicios de Telecomunicaciones Comercializados (eFormato R02</w:t>
      </w:r>
      <w:r w:rsidR="0000798E">
        <w:rPr>
          <w:rFonts w:ascii="Arial" w:hAnsi="Arial" w:cs="Arial"/>
          <w:sz w:val="18"/>
          <w:szCs w:val="18"/>
        </w:rPr>
        <w:t>6</w:t>
      </w:r>
      <w:r w:rsidR="003D085B" w:rsidRPr="003D085B">
        <w:rPr>
          <w:rFonts w:ascii="Arial" w:hAnsi="Arial" w:cs="Arial"/>
          <w:sz w:val="18"/>
          <w:szCs w:val="18"/>
        </w:rPr>
        <w:t>) que se indica en el Lineamento Octavo ante el Instituto durante los primeros 20 días hábiles posteriores a la entrada en vigor de los presentes Lineamientos.</w:t>
      </w:r>
    </w:p>
    <w:p w14:paraId="0831D170" w14:textId="7A3C699C" w:rsidR="00040DEF" w:rsidRDefault="00040DEF" w:rsidP="00AE30C2">
      <w:pPr>
        <w:spacing w:after="0"/>
        <w:jc w:val="both"/>
        <w:rPr>
          <w:rFonts w:ascii="Arial" w:hAnsi="Arial" w:cs="Arial"/>
          <w:b/>
          <w:sz w:val="18"/>
          <w:szCs w:val="18"/>
        </w:rPr>
      </w:pPr>
    </w:p>
    <w:p w14:paraId="7AAC8127" w14:textId="110B7686" w:rsidR="00040DEF" w:rsidRDefault="00040DEF" w:rsidP="00AE30C2">
      <w:pPr>
        <w:spacing w:after="0"/>
        <w:jc w:val="both"/>
        <w:rPr>
          <w:rFonts w:ascii="Arial" w:hAnsi="Arial" w:cs="Arial"/>
          <w:b/>
          <w:sz w:val="18"/>
          <w:szCs w:val="18"/>
        </w:rPr>
      </w:pPr>
      <w:r>
        <w:rPr>
          <w:rFonts w:ascii="Arial" w:hAnsi="Arial" w:cs="Arial"/>
          <w:b/>
          <w:sz w:val="18"/>
          <w:szCs w:val="18"/>
        </w:rPr>
        <w:t>Quinto.-</w:t>
      </w:r>
      <w:r w:rsidR="00C0573D">
        <w:rPr>
          <w:rFonts w:ascii="Arial" w:hAnsi="Arial" w:cs="Arial"/>
          <w:b/>
          <w:sz w:val="18"/>
          <w:szCs w:val="18"/>
        </w:rPr>
        <w:t xml:space="preserve"> </w:t>
      </w:r>
      <w:r w:rsidR="003D085B" w:rsidRPr="003D085B">
        <w:rPr>
          <w:rFonts w:ascii="Arial" w:hAnsi="Arial" w:cs="Arial"/>
          <w:sz w:val="18"/>
          <w:szCs w:val="18"/>
        </w:rPr>
        <w:t xml:space="preserve">Los Operadores que no hayan realizado ninguna entrega de información estadística </w:t>
      </w:r>
      <w:r w:rsidR="001A13DD">
        <w:rPr>
          <w:rFonts w:ascii="Arial" w:hAnsi="Arial" w:cs="Arial"/>
          <w:sz w:val="18"/>
          <w:szCs w:val="18"/>
        </w:rPr>
        <w:t>durante la vigencia de</w:t>
      </w:r>
      <w:r w:rsidR="003D085B" w:rsidRPr="003D085B">
        <w:rPr>
          <w:rFonts w:ascii="Arial" w:hAnsi="Arial" w:cs="Arial"/>
          <w:sz w:val="18"/>
          <w:szCs w:val="18"/>
        </w:rPr>
        <w:t xml:space="preserve"> los Lineamientos que establecen la metodología, la periodicidad, el catálogo de claves de información y los formatos electrónicos para integrar el acervo estadístico del Instituto Federal de Telecomunicaciones, publicados en el Diario Oficial de la Federación el 24 de enero de 2020</w:t>
      </w:r>
      <w:r w:rsidR="00706A5E">
        <w:rPr>
          <w:rFonts w:ascii="Arial" w:hAnsi="Arial" w:cs="Arial"/>
          <w:sz w:val="18"/>
          <w:szCs w:val="18"/>
        </w:rPr>
        <w:t>,</w:t>
      </w:r>
      <w:r w:rsidR="00706A5E" w:rsidRPr="00706A5E">
        <w:rPr>
          <w:rFonts w:ascii="Arial" w:hAnsi="Arial" w:cs="Arial"/>
          <w:sz w:val="18"/>
          <w:szCs w:val="18"/>
        </w:rPr>
        <w:t xml:space="preserve"> </w:t>
      </w:r>
      <w:r w:rsidR="00706A5E" w:rsidRPr="0047518E">
        <w:rPr>
          <w:rFonts w:ascii="Arial" w:hAnsi="Arial" w:cs="Arial"/>
          <w:sz w:val="18"/>
          <w:szCs w:val="18"/>
        </w:rPr>
        <w:t>y cuya última modificación fue publicada en el referido medio de difusión oficial, el 18 de noviembre de 2020</w:t>
      </w:r>
      <w:r w:rsidR="00706A5E">
        <w:rPr>
          <w:rFonts w:ascii="Arial" w:hAnsi="Arial" w:cs="Arial"/>
          <w:sz w:val="18"/>
          <w:szCs w:val="18"/>
        </w:rPr>
        <w:t>,</w:t>
      </w:r>
      <w:r w:rsidR="003D085B" w:rsidRPr="003D085B">
        <w:rPr>
          <w:rFonts w:ascii="Arial" w:hAnsi="Arial" w:cs="Arial"/>
          <w:sz w:val="18"/>
          <w:szCs w:val="18"/>
        </w:rPr>
        <w:t xml:space="preserve"> deberán sujetarse a lo dispuesto en el Lineamiento Octavo de los presentes Lineamientos.</w:t>
      </w:r>
    </w:p>
    <w:p w14:paraId="04710E07" w14:textId="0033D220" w:rsidR="00040DEF" w:rsidRDefault="00040DEF" w:rsidP="00AE30C2">
      <w:pPr>
        <w:spacing w:after="0"/>
        <w:jc w:val="both"/>
        <w:rPr>
          <w:rFonts w:ascii="Arial" w:hAnsi="Arial" w:cs="Arial"/>
          <w:b/>
          <w:sz w:val="18"/>
          <w:szCs w:val="18"/>
        </w:rPr>
      </w:pPr>
    </w:p>
    <w:p w14:paraId="6862620D" w14:textId="21586ECE" w:rsidR="00040DEF" w:rsidRDefault="00040DEF" w:rsidP="00AE30C2">
      <w:pPr>
        <w:spacing w:after="0"/>
        <w:jc w:val="both"/>
        <w:rPr>
          <w:rFonts w:ascii="Arial" w:hAnsi="Arial" w:cs="Arial"/>
          <w:b/>
          <w:sz w:val="18"/>
          <w:szCs w:val="18"/>
        </w:rPr>
      </w:pPr>
    </w:p>
    <w:p w14:paraId="589FA5C2" w14:textId="7889048D" w:rsidR="00040DEF" w:rsidRDefault="005C28C1" w:rsidP="00AE30C2">
      <w:pPr>
        <w:spacing w:after="0"/>
        <w:jc w:val="both"/>
        <w:rPr>
          <w:rFonts w:ascii="Arial" w:hAnsi="Arial" w:cs="Arial"/>
          <w:sz w:val="18"/>
          <w:szCs w:val="18"/>
        </w:rPr>
      </w:pPr>
      <w:r>
        <w:rPr>
          <w:rFonts w:ascii="Arial" w:hAnsi="Arial" w:cs="Arial"/>
          <w:b/>
          <w:sz w:val="18"/>
          <w:szCs w:val="18"/>
        </w:rPr>
        <w:t>Sexto. -</w:t>
      </w:r>
      <w:r w:rsidR="00C0573D">
        <w:rPr>
          <w:rFonts w:ascii="Arial" w:hAnsi="Arial" w:cs="Arial"/>
          <w:b/>
          <w:sz w:val="18"/>
          <w:szCs w:val="18"/>
        </w:rPr>
        <w:t xml:space="preserve"> </w:t>
      </w:r>
      <w:r w:rsidR="003D085B" w:rsidRPr="003D085B">
        <w:rPr>
          <w:rFonts w:ascii="Arial" w:hAnsi="Arial" w:cs="Arial"/>
          <w:sz w:val="18"/>
          <w:szCs w:val="18"/>
        </w:rPr>
        <w:t>La Coordinación General de Planeación Estratégica revisará los presentes Lineamientos regularmente a efecto de determinar cualquier modificación o ajuste que se deba realizar debido a los cambios que se presenten en el sector de las telecomunicaciones, de modo que se pueda dar un adecuado seguimiento de la evolución del sector.</w:t>
      </w:r>
    </w:p>
    <w:p w14:paraId="1A1E3DF3" w14:textId="5EFC7FD7" w:rsidR="00505A0C" w:rsidRDefault="00505A0C" w:rsidP="00AE30C2">
      <w:pPr>
        <w:spacing w:after="0"/>
        <w:jc w:val="both"/>
        <w:rPr>
          <w:rFonts w:ascii="Arial" w:hAnsi="Arial" w:cs="Arial"/>
          <w:b/>
          <w:sz w:val="18"/>
          <w:szCs w:val="18"/>
        </w:rPr>
      </w:pPr>
    </w:p>
    <w:p w14:paraId="17C15371" w14:textId="77777777" w:rsidR="00505A0C" w:rsidRDefault="00505A0C">
      <w:pPr>
        <w:spacing w:after="160" w:line="259" w:lineRule="auto"/>
        <w:rPr>
          <w:rFonts w:ascii="Arial" w:hAnsi="Arial" w:cs="Arial"/>
          <w:b/>
          <w:sz w:val="18"/>
          <w:szCs w:val="18"/>
        </w:rPr>
      </w:pPr>
      <w:r>
        <w:rPr>
          <w:rFonts w:ascii="Arial" w:hAnsi="Arial" w:cs="Arial"/>
          <w:b/>
          <w:sz w:val="18"/>
          <w:szCs w:val="18"/>
        </w:rPr>
        <w:br w:type="page"/>
      </w:r>
    </w:p>
    <w:p w14:paraId="274B2D67" w14:textId="77777777" w:rsidR="00505A0C" w:rsidRPr="00505A0C" w:rsidRDefault="00505A0C" w:rsidP="00505A0C">
      <w:pPr>
        <w:spacing w:after="0"/>
        <w:jc w:val="both"/>
        <w:rPr>
          <w:rFonts w:ascii="Arial" w:hAnsi="Arial" w:cs="Arial"/>
          <w:b/>
          <w:sz w:val="18"/>
          <w:szCs w:val="18"/>
        </w:rPr>
      </w:pPr>
      <w:r w:rsidRPr="00505A0C">
        <w:rPr>
          <w:rFonts w:ascii="Arial" w:hAnsi="Arial" w:cs="Arial"/>
          <w:b/>
          <w:sz w:val="18"/>
          <w:szCs w:val="18"/>
        </w:rPr>
        <w:lastRenderedPageBreak/>
        <w:t>Anexo A. Definiciones aplicables a los Lineamientos para integrar el Acervo Estadístico del Instituto Federal de Telecomunicaciones</w:t>
      </w:r>
    </w:p>
    <w:p w14:paraId="0A199CF1" w14:textId="77777777" w:rsidR="00505A0C" w:rsidRPr="00505A0C" w:rsidRDefault="00505A0C" w:rsidP="00505A0C">
      <w:pPr>
        <w:spacing w:after="0"/>
        <w:jc w:val="both"/>
        <w:rPr>
          <w:rFonts w:ascii="Arial" w:hAnsi="Arial" w:cs="Arial"/>
          <w:b/>
          <w:sz w:val="18"/>
          <w:szCs w:val="18"/>
        </w:rPr>
      </w:pPr>
    </w:p>
    <w:p w14:paraId="13A678D5" w14:textId="1E2D70D6" w:rsidR="00505A0C" w:rsidRPr="00505A0C" w:rsidRDefault="00505A0C" w:rsidP="00505A0C">
      <w:pPr>
        <w:pStyle w:val="Prrafodelista"/>
        <w:numPr>
          <w:ilvl w:val="0"/>
          <w:numId w:val="37"/>
        </w:numPr>
        <w:jc w:val="both"/>
        <w:rPr>
          <w:rFonts w:cs="Arial"/>
          <w:sz w:val="18"/>
          <w:szCs w:val="18"/>
        </w:rPr>
      </w:pPr>
      <w:r w:rsidRPr="00505A0C">
        <w:rPr>
          <w:rFonts w:cs="Arial"/>
          <w:sz w:val="18"/>
          <w:szCs w:val="18"/>
        </w:rPr>
        <w:t>Definiciones generales:</w:t>
      </w:r>
    </w:p>
    <w:p w14:paraId="74764E74" w14:textId="77777777" w:rsidR="00505A0C" w:rsidRPr="00505A0C" w:rsidRDefault="00505A0C" w:rsidP="00505A0C">
      <w:pPr>
        <w:spacing w:after="0"/>
        <w:jc w:val="both"/>
        <w:rPr>
          <w:rFonts w:ascii="Arial" w:hAnsi="Arial" w:cs="Arial"/>
          <w:sz w:val="18"/>
          <w:szCs w:val="18"/>
        </w:rPr>
      </w:pPr>
    </w:p>
    <w:p w14:paraId="79ACB87D"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AEPT:</w:t>
      </w:r>
      <w:r w:rsidRPr="00505A0C">
        <w:rPr>
          <w:rFonts w:ascii="Arial" w:hAnsi="Arial" w:cs="Arial"/>
          <w:sz w:val="18"/>
          <w:szCs w:val="18"/>
        </w:rPr>
        <w:t xml:space="preserve"> Agente Económico Preponderante en el sector de telecomunicaciones;</w:t>
      </w:r>
    </w:p>
    <w:p w14:paraId="722E9974" w14:textId="77777777" w:rsidR="00505A0C" w:rsidRPr="00505A0C" w:rsidRDefault="00505A0C" w:rsidP="00505A0C">
      <w:pPr>
        <w:spacing w:after="0"/>
        <w:jc w:val="both"/>
        <w:rPr>
          <w:rFonts w:ascii="Arial" w:hAnsi="Arial" w:cs="Arial"/>
          <w:sz w:val="18"/>
          <w:szCs w:val="18"/>
        </w:rPr>
      </w:pPr>
    </w:p>
    <w:p w14:paraId="00C1F5B3"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Acuerdo de Intercambio de tráfico de Internet (Peering):</w:t>
      </w:r>
      <w:r w:rsidRPr="00505A0C">
        <w:rPr>
          <w:rFonts w:ascii="Arial" w:hAnsi="Arial" w:cs="Arial"/>
          <w:sz w:val="18"/>
          <w:szCs w:val="18"/>
        </w:rPr>
        <w:t xml:space="preserve"> Modalidad de intercambio de tráfico de Internet entre dos proveedores de servicio de Internet, donde se provee un enlace entre ambas redes de datos para intercambiar el tráfico originado en la red de uno de ellos y con destino en el otro;</w:t>
      </w:r>
    </w:p>
    <w:p w14:paraId="2BFB7F90" w14:textId="77777777" w:rsidR="00505A0C" w:rsidRPr="00505A0C" w:rsidRDefault="00505A0C" w:rsidP="00505A0C">
      <w:pPr>
        <w:spacing w:after="0"/>
        <w:jc w:val="both"/>
        <w:rPr>
          <w:rFonts w:ascii="Arial" w:hAnsi="Arial" w:cs="Arial"/>
          <w:sz w:val="18"/>
          <w:szCs w:val="18"/>
        </w:rPr>
      </w:pPr>
    </w:p>
    <w:p w14:paraId="6A597F3E"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Archivo de Presentación:</w:t>
      </w:r>
      <w:r w:rsidRPr="00505A0C">
        <w:rPr>
          <w:rFonts w:ascii="Arial" w:hAnsi="Arial" w:cs="Arial"/>
          <w:sz w:val="18"/>
          <w:szCs w:val="18"/>
        </w:rPr>
        <w:t xml:space="preserve"> Archivo electrónico mediante el cual debe entregarse la información solicitada en el instructivo del correspondiente eFormato;</w:t>
      </w:r>
    </w:p>
    <w:p w14:paraId="06736141" w14:textId="77777777" w:rsidR="00505A0C" w:rsidRPr="00505A0C" w:rsidRDefault="00505A0C" w:rsidP="00505A0C">
      <w:pPr>
        <w:spacing w:after="0"/>
        <w:jc w:val="both"/>
        <w:rPr>
          <w:rFonts w:ascii="Arial" w:hAnsi="Arial" w:cs="Arial"/>
          <w:sz w:val="18"/>
          <w:szCs w:val="18"/>
        </w:rPr>
      </w:pPr>
    </w:p>
    <w:p w14:paraId="1366AFD1"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Banco de Información de Telecomunicaciones (BIT):</w:t>
      </w:r>
      <w:r w:rsidRPr="00505A0C">
        <w:rPr>
          <w:rFonts w:ascii="Arial" w:hAnsi="Arial" w:cs="Arial"/>
          <w:sz w:val="18"/>
          <w:szCs w:val="18"/>
        </w:rPr>
        <w:t xml:space="preserve"> Herramienta interactiva digital del Instituto, la cual es accesible por medio de su portal de Internet, que incorpora las mejoras prácticas internacionales en transparencia y datos abiertos para la publicación de información referente al Acervo estadístico del Instituto, y en la que es posible consultar, analizar, explorar y descargar los datos a partir de los cuales el Instituto monitorea el desarrollo de los sectores regulados;</w:t>
      </w:r>
    </w:p>
    <w:p w14:paraId="6573970D" w14:textId="77777777" w:rsidR="00505A0C" w:rsidRPr="00505A0C" w:rsidRDefault="00505A0C" w:rsidP="00505A0C">
      <w:pPr>
        <w:spacing w:after="0"/>
        <w:jc w:val="both"/>
        <w:rPr>
          <w:rFonts w:ascii="Arial" w:hAnsi="Arial" w:cs="Arial"/>
          <w:sz w:val="18"/>
          <w:szCs w:val="18"/>
        </w:rPr>
      </w:pPr>
    </w:p>
    <w:p w14:paraId="1E76BB6C"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Campo:</w:t>
      </w:r>
      <w:r w:rsidRPr="00505A0C">
        <w:rPr>
          <w:rFonts w:ascii="Arial" w:hAnsi="Arial" w:cs="Arial"/>
          <w:sz w:val="18"/>
          <w:szCs w:val="18"/>
        </w:rPr>
        <w:t xml:space="preserve"> El espacio del eFormato donde los promoventes deberán introducir la información específica requerida por el Instituto para la presentación de un trámite;</w:t>
      </w:r>
    </w:p>
    <w:p w14:paraId="4C00CEB6" w14:textId="77777777" w:rsidR="00505A0C" w:rsidRPr="00505A0C" w:rsidRDefault="00505A0C" w:rsidP="00505A0C">
      <w:pPr>
        <w:spacing w:after="0"/>
        <w:jc w:val="both"/>
        <w:rPr>
          <w:rFonts w:ascii="Arial" w:hAnsi="Arial" w:cs="Arial"/>
          <w:sz w:val="18"/>
          <w:szCs w:val="18"/>
        </w:rPr>
      </w:pPr>
    </w:p>
    <w:p w14:paraId="560709F6"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Catálogo de Claves de Información (CCI):</w:t>
      </w:r>
      <w:r w:rsidRPr="00505A0C">
        <w:rPr>
          <w:rFonts w:ascii="Arial" w:hAnsi="Arial" w:cs="Arial"/>
          <w:sz w:val="18"/>
          <w:szCs w:val="18"/>
        </w:rPr>
        <w:t xml:space="preserve"> Conjunto de claves utilizados para codificar los conceptos geográficos, comerciales, de infraestructura, tecnología, entre otros, los cuales son solicitados en los Campos correspondientes de los Archivos de Presentación;</w:t>
      </w:r>
    </w:p>
    <w:p w14:paraId="67160725" w14:textId="77777777" w:rsidR="00505A0C" w:rsidRPr="00505A0C" w:rsidRDefault="00505A0C" w:rsidP="00505A0C">
      <w:pPr>
        <w:spacing w:after="0"/>
        <w:jc w:val="both"/>
        <w:rPr>
          <w:rFonts w:ascii="Arial" w:hAnsi="Arial" w:cs="Arial"/>
          <w:sz w:val="18"/>
          <w:szCs w:val="18"/>
        </w:rPr>
      </w:pPr>
    </w:p>
    <w:p w14:paraId="531CFC0B"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Clave de Información:</w:t>
      </w:r>
      <w:r w:rsidRPr="00505A0C">
        <w:rPr>
          <w:rFonts w:ascii="Arial" w:hAnsi="Arial" w:cs="Arial"/>
          <w:sz w:val="18"/>
          <w:szCs w:val="18"/>
        </w:rPr>
        <w:t xml:space="preserve"> Valor particular de la codificación utilizada para los conceptos geográficos, comerciales, de infraestructura, tecnología, entre otros, los cuales son solicitados en los Campos correspondientes de los Archivos de presentación;</w:t>
      </w:r>
    </w:p>
    <w:p w14:paraId="19FE1787" w14:textId="77777777" w:rsidR="00505A0C" w:rsidRPr="00505A0C" w:rsidRDefault="00505A0C" w:rsidP="00505A0C">
      <w:pPr>
        <w:spacing w:after="0"/>
        <w:jc w:val="both"/>
        <w:rPr>
          <w:rFonts w:ascii="Arial" w:hAnsi="Arial" w:cs="Arial"/>
          <w:sz w:val="18"/>
          <w:szCs w:val="18"/>
        </w:rPr>
      </w:pPr>
    </w:p>
    <w:p w14:paraId="43D94E3D"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Contenido Audiovisual:</w:t>
      </w:r>
      <w:r w:rsidRPr="00505A0C">
        <w:rPr>
          <w:rFonts w:ascii="Arial" w:hAnsi="Arial" w:cs="Arial"/>
          <w:sz w:val="18"/>
          <w:szCs w:val="18"/>
        </w:rPr>
        <w:t xml:space="preserve"> Cualquier producción que contenga una sucesión de imágenes y audio susceptible de ser emitida y transmitida. Incluye todos los contenidos cinematográficos, televisivos, radiofónicos o multimedia y es independiente de la naturaleza de su contenido y del medio a través del cual será transmitido;</w:t>
      </w:r>
    </w:p>
    <w:p w14:paraId="029B5CD8" w14:textId="77777777" w:rsidR="00505A0C" w:rsidRPr="00505A0C" w:rsidRDefault="00505A0C" w:rsidP="00505A0C">
      <w:pPr>
        <w:spacing w:after="0"/>
        <w:jc w:val="both"/>
        <w:rPr>
          <w:rFonts w:ascii="Arial" w:hAnsi="Arial" w:cs="Arial"/>
          <w:sz w:val="18"/>
          <w:szCs w:val="18"/>
        </w:rPr>
      </w:pPr>
    </w:p>
    <w:p w14:paraId="1D45866A"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Coubicación:</w:t>
      </w:r>
      <w:r w:rsidRPr="00505A0C">
        <w:rPr>
          <w:rFonts w:ascii="Arial" w:hAnsi="Arial" w:cs="Arial"/>
          <w:sz w:val="18"/>
          <w:szCs w:val="18"/>
        </w:rPr>
        <w:t xml:space="preserve"> Servicio de interconexión para la colocación de equipos y dispositivos de una Red Pública de Telecomunicaciones de un Concesionario solicitante, necesarios para interoperabilidad y provisión de otros servicios de interconexión de una Red Pública de Telecomunicaciones con otra, mediante la ubicación e instalación de sus equipos y dispositivos en los espacios físicos del Concesionario solicitado con el que se llevará acabo la interconexión, mismo que incluye el suministro de energía, medidas de seguridad, aire acondicionado y, demás facilidades necesarias para su adecuada operación, así como, el acceso a los espacios físicos mencionados.</w:t>
      </w:r>
    </w:p>
    <w:p w14:paraId="0F424FFA" w14:textId="77777777" w:rsidR="00505A0C" w:rsidRPr="00505A0C" w:rsidRDefault="00505A0C" w:rsidP="00505A0C">
      <w:pPr>
        <w:spacing w:after="0"/>
        <w:jc w:val="both"/>
        <w:rPr>
          <w:rFonts w:ascii="Arial" w:hAnsi="Arial" w:cs="Arial"/>
          <w:sz w:val="18"/>
          <w:szCs w:val="18"/>
        </w:rPr>
      </w:pPr>
    </w:p>
    <w:p w14:paraId="7E02EE87"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INEGI:</w:t>
      </w:r>
      <w:r w:rsidRPr="00505A0C">
        <w:rPr>
          <w:rFonts w:ascii="Arial" w:hAnsi="Arial" w:cs="Arial"/>
          <w:sz w:val="18"/>
          <w:szCs w:val="18"/>
        </w:rPr>
        <w:t xml:space="preserve"> Instituto Nacional de Estadística y Geografía;</w:t>
      </w:r>
    </w:p>
    <w:p w14:paraId="5185A089" w14:textId="77777777" w:rsidR="00505A0C" w:rsidRPr="00505A0C" w:rsidRDefault="00505A0C" w:rsidP="00505A0C">
      <w:pPr>
        <w:spacing w:after="0"/>
        <w:jc w:val="both"/>
        <w:rPr>
          <w:rFonts w:ascii="Arial" w:hAnsi="Arial" w:cs="Arial"/>
          <w:sz w:val="18"/>
          <w:szCs w:val="18"/>
        </w:rPr>
      </w:pPr>
    </w:p>
    <w:p w14:paraId="0E6C8C67"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Instituto:</w:t>
      </w:r>
      <w:r w:rsidRPr="00505A0C">
        <w:rPr>
          <w:rFonts w:ascii="Arial" w:hAnsi="Arial" w:cs="Arial"/>
          <w:sz w:val="18"/>
          <w:szCs w:val="18"/>
        </w:rPr>
        <w:t xml:space="preserve"> Instituto Federal de Telecomunicaciones;</w:t>
      </w:r>
    </w:p>
    <w:p w14:paraId="7552FCB8" w14:textId="77777777" w:rsidR="00505A0C" w:rsidRPr="00505A0C" w:rsidRDefault="00505A0C" w:rsidP="00505A0C">
      <w:pPr>
        <w:spacing w:after="0"/>
        <w:jc w:val="both"/>
        <w:rPr>
          <w:rFonts w:ascii="Arial" w:hAnsi="Arial" w:cs="Arial"/>
          <w:sz w:val="18"/>
          <w:szCs w:val="18"/>
        </w:rPr>
      </w:pPr>
    </w:p>
    <w:p w14:paraId="0BB60C9E"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Itinerancia:</w:t>
      </w:r>
      <w:r w:rsidRPr="00505A0C">
        <w:rPr>
          <w:rFonts w:ascii="Arial" w:hAnsi="Arial" w:cs="Arial"/>
          <w:sz w:val="18"/>
          <w:szCs w:val="18"/>
        </w:rPr>
        <w:t xml:space="preserve"> Posibilidad de los usuarios finales de utilizar un servicio de telecomunicaciones en una Red Pública de Telecomunicaciones distinta a la del Operador con el que tiene suscrito el servicio;</w:t>
      </w:r>
    </w:p>
    <w:p w14:paraId="620EC0EB" w14:textId="77777777" w:rsidR="00505A0C" w:rsidRPr="00505A0C" w:rsidRDefault="00505A0C" w:rsidP="00505A0C">
      <w:pPr>
        <w:spacing w:after="0"/>
        <w:jc w:val="both"/>
        <w:rPr>
          <w:rFonts w:ascii="Arial" w:hAnsi="Arial" w:cs="Arial"/>
          <w:sz w:val="18"/>
          <w:szCs w:val="18"/>
        </w:rPr>
      </w:pPr>
    </w:p>
    <w:p w14:paraId="6B0BE810"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IVA:</w:t>
      </w:r>
      <w:r w:rsidRPr="00505A0C">
        <w:rPr>
          <w:rFonts w:ascii="Arial" w:hAnsi="Arial" w:cs="Arial"/>
          <w:sz w:val="18"/>
          <w:szCs w:val="18"/>
        </w:rPr>
        <w:t xml:space="preserve"> Impuesto sobre el Valor Agregado;</w:t>
      </w:r>
    </w:p>
    <w:p w14:paraId="42D28ED8" w14:textId="77777777" w:rsidR="00505A0C" w:rsidRPr="00505A0C" w:rsidRDefault="00505A0C" w:rsidP="00505A0C">
      <w:pPr>
        <w:spacing w:after="0"/>
        <w:jc w:val="both"/>
        <w:rPr>
          <w:rFonts w:ascii="Arial" w:hAnsi="Arial" w:cs="Arial"/>
          <w:sz w:val="18"/>
          <w:szCs w:val="18"/>
        </w:rPr>
      </w:pPr>
    </w:p>
    <w:p w14:paraId="22BED700"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LFTR:</w:t>
      </w:r>
      <w:r w:rsidRPr="00505A0C">
        <w:rPr>
          <w:rFonts w:ascii="Arial" w:hAnsi="Arial" w:cs="Arial"/>
          <w:sz w:val="18"/>
          <w:szCs w:val="18"/>
        </w:rPr>
        <w:t xml:space="preserve"> Ley Federal de Telecomunicaciones y Radiodifusión;</w:t>
      </w:r>
    </w:p>
    <w:p w14:paraId="0E4AEF5F" w14:textId="77777777" w:rsidR="00505A0C" w:rsidRPr="00505A0C" w:rsidRDefault="00505A0C" w:rsidP="00505A0C">
      <w:pPr>
        <w:spacing w:after="0"/>
        <w:jc w:val="both"/>
        <w:rPr>
          <w:rFonts w:ascii="Arial" w:hAnsi="Arial" w:cs="Arial"/>
          <w:sz w:val="18"/>
          <w:szCs w:val="18"/>
        </w:rPr>
      </w:pPr>
    </w:p>
    <w:p w14:paraId="6BCDD737"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lastRenderedPageBreak/>
        <w:t>Lineamientos:</w:t>
      </w:r>
      <w:r w:rsidRPr="00505A0C">
        <w:rPr>
          <w:rFonts w:ascii="Arial" w:hAnsi="Arial" w:cs="Arial"/>
          <w:sz w:val="18"/>
          <w:szCs w:val="18"/>
        </w:rPr>
        <w:t xml:space="preserve"> Los presentes Lineamientos para integrar el Acervo Estadístico del Instituto Federal de Telecomunicaciones;</w:t>
      </w:r>
    </w:p>
    <w:p w14:paraId="52C652AA" w14:textId="77777777" w:rsidR="00505A0C" w:rsidRPr="00505A0C" w:rsidRDefault="00505A0C" w:rsidP="00505A0C">
      <w:pPr>
        <w:spacing w:after="0"/>
        <w:jc w:val="both"/>
        <w:rPr>
          <w:rFonts w:ascii="Arial" w:hAnsi="Arial" w:cs="Arial"/>
          <w:sz w:val="18"/>
          <w:szCs w:val="18"/>
        </w:rPr>
      </w:pPr>
    </w:p>
    <w:p w14:paraId="1D5E1D00"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MXN:</w:t>
      </w:r>
      <w:r w:rsidRPr="00505A0C">
        <w:rPr>
          <w:rFonts w:ascii="Arial" w:hAnsi="Arial" w:cs="Arial"/>
          <w:sz w:val="18"/>
          <w:szCs w:val="18"/>
        </w:rPr>
        <w:t xml:space="preserve"> Notación oficial para referirse el peso mexicano, la moneda oficial de los Estados Unidos Mexicanos;</w:t>
      </w:r>
    </w:p>
    <w:p w14:paraId="3E8B494A" w14:textId="77777777" w:rsidR="00505A0C" w:rsidRPr="00505A0C" w:rsidRDefault="00505A0C" w:rsidP="00505A0C">
      <w:pPr>
        <w:spacing w:after="0"/>
        <w:jc w:val="both"/>
        <w:rPr>
          <w:rFonts w:ascii="Arial" w:hAnsi="Arial" w:cs="Arial"/>
          <w:sz w:val="18"/>
          <w:szCs w:val="18"/>
        </w:rPr>
      </w:pPr>
    </w:p>
    <w:p w14:paraId="00876FE2"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Operador de Telecomunicaciones (Operador):</w:t>
      </w:r>
      <w:r w:rsidRPr="00505A0C">
        <w:rPr>
          <w:rFonts w:ascii="Arial" w:hAnsi="Arial" w:cs="Arial"/>
          <w:sz w:val="18"/>
          <w:szCs w:val="18"/>
        </w:rPr>
        <w:t xml:space="preserve"> Persona física o moral titular de una o varias concesiones, autorizaciones, permisos o asignaciones, que lo habilitan para explotar servicios de telecomunicaciones, el espectro radioeléctrico, y/o recursos orbitales. Para efectos de los presentes Lineamientos, sólo se considerarán los Operadores que estén habilitados para explotar servicios del sector de telecomunicaciones;</w:t>
      </w:r>
    </w:p>
    <w:p w14:paraId="66DBD5F7" w14:textId="77777777" w:rsidR="00505A0C" w:rsidRPr="00505A0C" w:rsidRDefault="00505A0C" w:rsidP="00505A0C">
      <w:pPr>
        <w:spacing w:after="0"/>
        <w:jc w:val="both"/>
        <w:rPr>
          <w:rFonts w:ascii="Arial" w:hAnsi="Arial" w:cs="Arial"/>
          <w:sz w:val="18"/>
          <w:szCs w:val="18"/>
        </w:rPr>
      </w:pPr>
    </w:p>
    <w:p w14:paraId="1AAC4CA9"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Operadores Móviles Virtuales (OMVs):</w:t>
      </w:r>
      <w:r w:rsidRPr="00505A0C">
        <w:rPr>
          <w:rFonts w:ascii="Arial" w:hAnsi="Arial" w:cs="Arial"/>
          <w:sz w:val="18"/>
          <w:szCs w:val="18"/>
        </w:rPr>
        <w:t xml:space="preserve"> Operador que preste, comercialice o revenda Servicios Móviles o capacidades que previamente haya contratado con algún Operador Mayorista de Servicios Móviles.</w:t>
      </w:r>
    </w:p>
    <w:p w14:paraId="5F05ABDC" w14:textId="77777777" w:rsidR="00505A0C" w:rsidRPr="00505A0C" w:rsidRDefault="00505A0C" w:rsidP="00505A0C">
      <w:pPr>
        <w:spacing w:after="0"/>
        <w:jc w:val="both"/>
        <w:rPr>
          <w:rFonts w:ascii="Arial" w:hAnsi="Arial" w:cs="Arial"/>
          <w:sz w:val="18"/>
          <w:szCs w:val="18"/>
        </w:rPr>
      </w:pPr>
    </w:p>
    <w:p w14:paraId="779F0729"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Paquete Comercial:</w:t>
      </w:r>
      <w:r w:rsidRPr="00505A0C">
        <w:rPr>
          <w:rFonts w:ascii="Arial" w:hAnsi="Arial" w:cs="Arial"/>
          <w:sz w:val="18"/>
          <w:szCs w:val="18"/>
        </w:rPr>
        <w:t xml:space="preserve"> Oferta comercial del Operador través de la cual pone a disposición del usuario final, por una tarifa y bajo alguna modalidad de contratación, uno o más Servicios de Telecomunicaciones, pudiendo incluir promociones, paquetes adicionales a los originalmente contratados o cualquier otro de naturaleza análoga;</w:t>
      </w:r>
    </w:p>
    <w:p w14:paraId="2AE2B3D8" w14:textId="77777777" w:rsidR="00505A0C" w:rsidRPr="00505A0C" w:rsidRDefault="00505A0C" w:rsidP="00505A0C">
      <w:pPr>
        <w:spacing w:after="0"/>
        <w:jc w:val="both"/>
        <w:rPr>
          <w:rFonts w:ascii="Arial" w:hAnsi="Arial" w:cs="Arial"/>
          <w:sz w:val="18"/>
          <w:szCs w:val="18"/>
        </w:rPr>
      </w:pPr>
    </w:p>
    <w:p w14:paraId="561A3A5D"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Plan Tarifario:</w:t>
      </w:r>
      <w:r w:rsidRPr="00505A0C">
        <w:rPr>
          <w:rFonts w:ascii="Arial" w:hAnsi="Arial" w:cs="Arial"/>
          <w:sz w:val="18"/>
          <w:szCs w:val="18"/>
        </w:rPr>
        <w:t xml:space="preserve"> Se refiere a ofertas de servicios de telecomunicaciones, registradas en el Registro Público de Telecomunicaciones del Instituto, a través de las cuales los Operadores comercializan los servicios de telecomunicaciones;</w:t>
      </w:r>
    </w:p>
    <w:p w14:paraId="473DD3E8" w14:textId="77777777" w:rsidR="00505A0C" w:rsidRPr="00505A0C" w:rsidRDefault="00505A0C" w:rsidP="00505A0C">
      <w:pPr>
        <w:spacing w:after="0"/>
        <w:jc w:val="both"/>
        <w:rPr>
          <w:rFonts w:ascii="Arial" w:hAnsi="Arial" w:cs="Arial"/>
          <w:sz w:val="18"/>
          <w:szCs w:val="18"/>
        </w:rPr>
      </w:pPr>
    </w:p>
    <w:p w14:paraId="29F7481E"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Pospago:</w:t>
      </w:r>
      <w:r w:rsidRPr="00505A0C">
        <w:rPr>
          <w:rFonts w:ascii="Arial" w:hAnsi="Arial" w:cs="Arial"/>
          <w:sz w:val="18"/>
          <w:szCs w:val="18"/>
        </w:rPr>
        <w:t xml:space="preserve"> Esquema de contratación mediante el cual el suscriptor paga servicios de telecomunicaciones de manera posterior a su utilización;</w:t>
      </w:r>
    </w:p>
    <w:p w14:paraId="0E9682C4" w14:textId="77777777" w:rsidR="00505A0C" w:rsidRPr="00505A0C" w:rsidRDefault="00505A0C" w:rsidP="00505A0C">
      <w:pPr>
        <w:spacing w:after="0"/>
        <w:jc w:val="both"/>
        <w:rPr>
          <w:rFonts w:ascii="Arial" w:hAnsi="Arial" w:cs="Arial"/>
          <w:sz w:val="18"/>
          <w:szCs w:val="18"/>
        </w:rPr>
      </w:pPr>
    </w:p>
    <w:p w14:paraId="3F2340D7"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Prepago:</w:t>
      </w:r>
      <w:r w:rsidRPr="00505A0C">
        <w:rPr>
          <w:rFonts w:ascii="Arial" w:hAnsi="Arial" w:cs="Arial"/>
          <w:sz w:val="18"/>
          <w:szCs w:val="18"/>
        </w:rPr>
        <w:t xml:space="preserve"> Esquema de contratación mediante el cual el suscriptor paga servicios de telecomunicaciones de manera anticipada a su utilización;</w:t>
      </w:r>
    </w:p>
    <w:p w14:paraId="467B5551" w14:textId="77777777" w:rsidR="00505A0C" w:rsidRPr="00505A0C" w:rsidRDefault="00505A0C" w:rsidP="00505A0C">
      <w:pPr>
        <w:spacing w:after="0"/>
        <w:jc w:val="both"/>
        <w:rPr>
          <w:rFonts w:ascii="Arial" w:hAnsi="Arial" w:cs="Arial"/>
          <w:sz w:val="18"/>
          <w:szCs w:val="18"/>
        </w:rPr>
      </w:pPr>
    </w:p>
    <w:p w14:paraId="0484DCC5"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Punto de Interconexión:</w:t>
      </w:r>
      <w:r w:rsidRPr="00505A0C">
        <w:rPr>
          <w:rFonts w:ascii="Arial" w:hAnsi="Arial" w:cs="Arial"/>
          <w:sz w:val="18"/>
          <w:szCs w:val="18"/>
        </w:rPr>
        <w:t xml:space="preserve"> Punto físico o virtual donde se establece la Interconexión entre Red Pública de Telecomunicaciones;</w:t>
      </w:r>
    </w:p>
    <w:p w14:paraId="78162AF5" w14:textId="77777777" w:rsidR="00505A0C" w:rsidRPr="00505A0C" w:rsidRDefault="00505A0C" w:rsidP="00505A0C">
      <w:pPr>
        <w:spacing w:after="0"/>
        <w:jc w:val="both"/>
        <w:rPr>
          <w:rFonts w:ascii="Arial" w:hAnsi="Arial" w:cs="Arial"/>
          <w:sz w:val="18"/>
          <w:szCs w:val="18"/>
        </w:rPr>
      </w:pPr>
    </w:p>
    <w:p w14:paraId="057AFE75"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Regla de Validación:</w:t>
      </w:r>
      <w:r w:rsidRPr="00505A0C">
        <w:rPr>
          <w:rFonts w:ascii="Arial" w:hAnsi="Arial" w:cs="Arial"/>
          <w:sz w:val="18"/>
          <w:szCs w:val="18"/>
        </w:rPr>
        <w:t xml:space="preserve"> Condición que se verifica sobre los valores ingresados en uno o varios Campos de los Archivos de presentación, de modo que su cumplimiento garantice un mínimo de calidad y consistencia en los datos reportados por el Operador;</w:t>
      </w:r>
    </w:p>
    <w:p w14:paraId="5A806EF2" w14:textId="77777777" w:rsidR="00505A0C" w:rsidRPr="00505A0C" w:rsidRDefault="00505A0C" w:rsidP="00505A0C">
      <w:pPr>
        <w:spacing w:after="0"/>
        <w:jc w:val="both"/>
        <w:rPr>
          <w:rFonts w:ascii="Arial" w:hAnsi="Arial" w:cs="Arial"/>
          <w:sz w:val="18"/>
          <w:szCs w:val="18"/>
        </w:rPr>
      </w:pPr>
    </w:p>
    <w:p w14:paraId="0C2D2CB5"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Suscripción:</w:t>
      </w:r>
      <w:r w:rsidRPr="00505A0C">
        <w:rPr>
          <w:rFonts w:ascii="Arial" w:hAnsi="Arial" w:cs="Arial"/>
          <w:sz w:val="18"/>
          <w:szCs w:val="18"/>
        </w:rPr>
        <w:t xml:space="preserve"> Se refiere a la relación contractual que una persona física o moral tiene con un Operador de servicios de telecomunicaciones, incluyendo los contratos de prepago;</w:t>
      </w:r>
    </w:p>
    <w:p w14:paraId="3C18D9B8" w14:textId="77777777" w:rsidR="00505A0C" w:rsidRPr="00505A0C" w:rsidRDefault="00505A0C" w:rsidP="00505A0C">
      <w:pPr>
        <w:spacing w:after="0"/>
        <w:jc w:val="both"/>
        <w:rPr>
          <w:rFonts w:ascii="Arial" w:hAnsi="Arial" w:cs="Arial"/>
          <w:sz w:val="18"/>
          <w:szCs w:val="18"/>
        </w:rPr>
      </w:pPr>
    </w:p>
    <w:p w14:paraId="20654A01"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Suscriptor:</w:t>
      </w:r>
      <w:r w:rsidRPr="00505A0C">
        <w:rPr>
          <w:rFonts w:ascii="Arial" w:hAnsi="Arial" w:cs="Arial"/>
          <w:sz w:val="18"/>
          <w:szCs w:val="18"/>
        </w:rPr>
        <w:t xml:space="preserve"> Se dice de la persona física o moral que se adhiere a una Suscripción para recibir uno o varios servicios de telecomunicaciones;</w:t>
      </w:r>
    </w:p>
    <w:p w14:paraId="68D4B9E4" w14:textId="77777777" w:rsidR="00505A0C" w:rsidRPr="00505A0C" w:rsidRDefault="00505A0C" w:rsidP="00505A0C">
      <w:pPr>
        <w:spacing w:after="0"/>
        <w:jc w:val="both"/>
        <w:rPr>
          <w:rFonts w:ascii="Arial" w:hAnsi="Arial" w:cs="Arial"/>
          <w:sz w:val="18"/>
          <w:szCs w:val="18"/>
        </w:rPr>
      </w:pPr>
    </w:p>
    <w:p w14:paraId="43EC3C24"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Tránsito IP:</w:t>
      </w:r>
      <w:r w:rsidRPr="00505A0C">
        <w:rPr>
          <w:rFonts w:ascii="Arial" w:hAnsi="Arial" w:cs="Arial"/>
          <w:sz w:val="18"/>
          <w:szCs w:val="18"/>
        </w:rPr>
        <w:t xml:space="preserve"> Modalidad de intercambio de tráfico de Internet, donde se permite enviar y recibir tráfico a los proveedores de servicio de Internet con los que un Operador no tiene conexión directa, a través de un tercero que hace de intermediario y cobrará por ese tráfico;</w:t>
      </w:r>
    </w:p>
    <w:p w14:paraId="58CC0286" w14:textId="77777777" w:rsidR="00505A0C" w:rsidRPr="00505A0C" w:rsidRDefault="00505A0C" w:rsidP="00505A0C">
      <w:pPr>
        <w:spacing w:after="0"/>
        <w:jc w:val="both"/>
        <w:rPr>
          <w:rFonts w:ascii="Arial" w:hAnsi="Arial" w:cs="Arial"/>
          <w:sz w:val="18"/>
          <w:szCs w:val="18"/>
        </w:rPr>
      </w:pPr>
    </w:p>
    <w:p w14:paraId="2589B988"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Velocidad Anunciada de Bajada:</w:t>
      </w:r>
      <w:r w:rsidRPr="00505A0C">
        <w:rPr>
          <w:rFonts w:ascii="Arial" w:hAnsi="Arial" w:cs="Arial"/>
          <w:sz w:val="18"/>
          <w:szCs w:val="18"/>
        </w:rPr>
        <w:t xml:space="preserve"> Es la velocidad anunciada de transferencia o transmisión de datos desde el Operador a la ubicación del Usuario;</w:t>
      </w:r>
    </w:p>
    <w:p w14:paraId="2F9F4AA2" w14:textId="77777777" w:rsidR="00505A0C" w:rsidRPr="00505A0C" w:rsidRDefault="00505A0C" w:rsidP="00505A0C">
      <w:pPr>
        <w:spacing w:after="0"/>
        <w:jc w:val="both"/>
        <w:rPr>
          <w:rFonts w:ascii="Arial" w:hAnsi="Arial" w:cs="Arial"/>
          <w:sz w:val="18"/>
          <w:szCs w:val="18"/>
        </w:rPr>
      </w:pPr>
    </w:p>
    <w:p w14:paraId="0CFEF37C"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Velocidad Anunciada de Subida:</w:t>
      </w:r>
      <w:r w:rsidRPr="00505A0C">
        <w:rPr>
          <w:rFonts w:ascii="Arial" w:hAnsi="Arial" w:cs="Arial"/>
          <w:sz w:val="18"/>
          <w:szCs w:val="18"/>
        </w:rPr>
        <w:t xml:space="preserve"> Es la velocidad anunciada de transferencia o transmisión de datos desde la dirección del Usuario al Operador;</w:t>
      </w:r>
    </w:p>
    <w:p w14:paraId="2BCF8C3A" w14:textId="77777777" w:rsidR="00505A0C" w:rsidRPr="00505A0C" w:rsidRDefault="00505A0C" w:rsidP="00505A0C">
      <w:pPr>
        <w:spacing w:after="0"/>
        <w:jc w:val="both"/>
        <w:rPr>
          <w:rFonts w:ascii="Arial" w:hAnsi="Arial" w:cs="Arial"/>
          <w:sz w:val="18"/>
          <w:szCs w:val="18"/>
        </w:rPr>
      </w:pPr>
    </w:p>
    <w:p w14:paraId="54435F0A"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Velocidad Contratada de Bajada:</w:t>
      </w:r>
      <w:r w:rsidRPr="00505A0C">
        <w:rPr>
          <w:rFonts w:ascii="Arial" w:hAnsi="Arial" w:cs="Arial"/>
          <w:sz w:val="18"/>
          <w:szCs w:val="18"/>
        </w:rPr>
        <w:t xml:space="preserve"> Es la velocidad contratada de transferencia o transmisión de datos desde el Operador a la ubicación del Usuario;</w:t>
      </w:r>
    </w:p>
    <w:p w14:paraId="37A1F7E5" w14:textId="77777777" w:rsidR="00505A0C" w:rsidRPr="00505A0C" w:rsidRDefault="00505A0C" w:rsidP="00505A0C">
      <w:pPr>
        <w:spacing w:after="0"/>
        <w:jc w:val="both"/>
        <w:rPr>
          <w:rFonts w:ascii="Arial" w:hAnsi="Arial" w:cs="Arial"/>
          <w:sz w:val="18"/>
          <w:szCs w:val="18"/>
        </w:rPr>
      </w:pPr>
    </w:p>
    <w:p w14:paraId="5BAFF04B"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lastRenderedPageBreak/>
        <w:t>Velocidad Contratada de Subida:</w:t>
      </w:r>
      <w:r w:rsidRPr="00505A0C">
        <w:rPr>
          <w:rFonts w:ascii="Arial" w:hAnsi="Arial" w:cs="Arial"/>
          <w:sz w:val="18"/>
          <w:szCs w:val="18"/>
        </w:rPr>
        <w:t xml:space="preserve"> Es la velocidad contratada de transferencia o transmisión de datos desde la dirección del Usuario al Operador;</w:t>
      </w:r>
    </w:p>
    <w:p w14:paraId="07A260DD" w14:textId="77777777" w:rsidR="00505A0C" w:rsidRPr="00505A0C" w:rsidRDefault="00505A0C" w:rsidP="00505A0C">
      <w:pPr>
        <w:spacing w:after="0"/>
        <w:jc w:val="both"/>
        <w:rPr>
          <w:rFonts w:ascii="Arial" w:hAnsi="Arial" w:cs="Arial"/>
          <w:sz w:val="18"/>
          <w:szCs w:val="18"/>
        </w:rPr>
      </w:pPr>
    </w:p>
    <w:p w14:paraId="7B6ABC2C"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Ventanilla Electrónica:</w:t>
      </w:r>
      <w:r w:rsidRPr="00505A0C">
        <w:rPr>
          <w:rFonts w:ascii="Arial" w:hAnsi="Arial" w:cs="Arial"/>
          <w:sz w:val="18"/>
          <w:szCs w:val="18"/>
        </w:rPr>
        <w:t xml:space="preserve"> Punto de contacto digital a través del Portal de Internet del Instituto, que fungirá como el único medio para la realización de actuaciones electrónicas y que proporcionará la interconexión entre todos los medios electrónicos que éste establezca; </w:t>
      </w:r>
    </w:p>
    <w:p w14:paraId="48C1E589" w14:textId="77777777" w:rsidR="00505A0C" w:rsidRPr="00505A0C" w:rsidRDefault="00505A0C" w:rsidP="00505A0C">
      <w:pPr>
        <w:spacing w:after="0"/>
        <w:jc w:val="both"/>
        <w:rPr>
          <w:rFonts w:ascii="Arial" w:hAnsi="Arial" w:cs="Arial"/>
          <w:sz w:val="18"/>
          <w:szCs w:val="18"/>
        </w:rPr>
      </w:pPr>
    </w:p>
    <w:p w14:paraId="518F94DB" w14:textId="6C5165B0"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Vivienda pasada:</w:t>
      </w:r>
      <w:r w:rsidRPr="00505A0C">
        <w:rPr>
          <w:rFonts w:ascii="Arial" w:hAnsi="Arial" w:cs="Arial"/>
          <w:sz w:val="18"/>
          <w:szCs w:val="18"/>
        </w:rPr>
        <w:t xml:space="preserve"> Aquella vivienda que se encuentra en el área geográfica dentro de la cual la capacidad de la red de infraestructura del Operador puede proporcionarle servicios de telecomunicaciones, la vivienda no necesariamente está suscrita a los servicios de telecomunicaciones del Operador, pero potencialmente podría ser parte de esta red; y,</w:t>
      </w:r>
    </w:p>
    <w:p w14:paraId="0C4E7878" w14:textId="77777777" w:rsidR="00505A0C" w:rsidRPr="00505A0C" w:rsidRDefault="00505A0C" w:rsidP="00505A0C">
      <w:pPr>
        <w:spacing w:after="0"/>
        <w:jc w:val="both"/>
        <w:rPr>
          <w:rFonts w:ascii="Arial" w:hAnsi="Arial" w:cs="Arial"/>
          <w:sz w:val="18"/>
          <w:szCs w:val="18"/>
        </w:rPr>
      </w:pPr>
    </w:p>
    <w:p w14:paraId="39703E14"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VSAT:</w:t>
      </w:r>
      <w:r w:rsidRPr="00505A0C">
        <w:rPr>
          <w:rFonts w:ascii="Arial" w:hAnsi="Arial" w:cs="Arial"/>
          <w:sz w:val="18"/>
          <w:szCs w:val="18"/>
        </w:rPr>
        <w:t xml:space="preserve"> Terminal de apertura muy pequeña (por sus siglas en inglés, Very Small Aperture Terminal). Designa un tipo de antena para comunicación de datos vía satélite.</w:t>
      </w:r>
    </w:p>
    <w:p w14:paraId="220A5EBB" w14:textId="77777777" w:rsidR="00505A0C" w:rsidRPr="00505A0C" w:rsidRDefault="00505A0C" w:rsidP="00505A0C">
      <w:pPr>
        <w:spacing w:after="0"/>
        <w:jc w:val="both"/>
        <w:rPr>
          <w:rFonts w:ascii="Arial" w:hAnsi="Arial" w:cs="Arial"/>
          <w:sz w:val="18"/>
          <w:szCs w:val="18"/>
        </w:rPr>
      </w:pPr>
    </w:p>
    <w:p w14:paraId="02E10122" w14:textId="1CA3F267" w:rsidR="00505A0C" w:rsidRPr="00505A0C" w:rsidRDefault="00505A0C" w:rsidP="00505A0C">
      <w:pPr>
        <w:pStyle w:val="Prrafodelista"/>
        <w:numPr>
          <w:ilvl w:val="0"/>
          <w:numId w:val="37"/>
        </w:numPr>
        <w:jc w:val="both"/>
        <w:rPr>
          <w:rFonts w:cs="Arial"/>
          <w:sz w:val="18"/>
          <w:szCs w:val="18"/>
        </w:rPr>
      </w:pPr>
      <w:r w:rsidRPr="00505A0C">
        <w:rPr>
          <w:rFonts w:cs="Arial"/>
          <w:sz w:val="18"/>
          <w:szCs w:val="18"/>
        </w:rPr>
        <w:t>Definiciones sobre infraestructura de telecomunicaciones.</w:t>
      </w:r>
    </w:p>
    <w:p w14:paraId="0CF516A0" w14:textId="77777777" w:rsidR="00505A0C" w:rsidRPr="00505A0C" w:rsidRDefault="00505A0C" w:rsidP="00505A0C">
      <w:pPr>
        <w:spacing w:after="0"/>
        <w:jc w:val="both"/>
        <w:rPr>
          <w:rFonts w:ascii="Arial" w:hAnsi="Arial" w:cs="Arial"/>
          <w:sz w:val="18"/>
          <w:szCs w:val="18"/>
        </w:rPr>
      </w:pPr>
    </w:p>
    <w:p w14:paraId="31719E1E"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Acceso:</w:t>
      </w:r>
      <w:r w:rsidRPr="00505A0C">
        <w:rPr>
          <w:rFonts w:ascii="Arial" w:hAnsi="Arial" w:cs="Arial"/>
          <w:sz w:val="18"/>
          <w:szCs w:val="18"/>
        </w:rPr>
        <w:t xml:space="preserve"> El conjunto de canales físicos de una Red Pública de Telecomunicaciones, que conecta el Equipo Terminal en la ubicación del Usuario con la instalación del Operador desde la cual se presta el servicio al Usuario. En el caso de Redes de Acceso Fijo alámbrico se le suele llamar históricamente bucle local, y en Servicios de Transporte de Voz se le conoce como línea;</w:t>
      </w:r>
    </w:p>
    <w:p w14:paraId="6ECBB2E3" w14:textId="77777777" w:rsidR="00505A0C" w:rsidRPr="00505A0C" w:rsidRDefault="00505A0C" w:rsidP="00505A0C">
      <w:pPr>
        <w:spacing w:after="0"/>
        <w:jc w:val="both"/>
        <w:rPr>
          <w:rFonts w:ascii="Arial" w:hAnsi="Arial" w:cs="Arial"/>
          <w:sz w:val="18"/>
          <w:szCs w:val="18"/>
        </w:rPr>
      </w:pPr>
    </w:p>
    <w:p w14:paraId="179AA2CB" w14:textId="09B6FF89"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Acceso activo:</w:t>
      </w:r>
      <w:r w:rsidRPr="00505A0C">
        <w:rPr>
          <w:rFonts w:ascii="Arial" w:hAnsi="Arial" w:cs="Arial"/>
          <w:sz w:val="18"/>
          <w:szCs w:val="18"/>
        </w:rPr>
        <w:t xml:space="preserve"> Aquel acceso que haya cursado tráfico entrante o saliente, al menos una vez, en los últimos tres meses. La condición de activo aplica a líneas, accesos o enlaces, dependiendo del servicio a reportar;  </w:t>
      </w:r>
    </w:p>
    <w:p w14:paraId="22640C68" w14:textId="77777777" w:rsidR="00505A0C" w:rsidRPr="00505A0C" w:rsidRDefault="00505A0C" w:rsidP="00505A0C">
      <w:pPr>
        <w:spacing w:after="0"/>
        <w:jc w:val="both"/>
        <w:rPr>
          <w:rFonts w:ascii="Arial" w:hAnsi="Arial" w:cs="Arial"/>
          <w:sz w:val="18"/>
          <w:szCs w:val="18"/>
        </w:rPr>
      </w:pPr>
    </w:p>
    <w:p w14:paraId="733CB045"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Central Telefónica:</w:t>
      </w:r>
      <w:r w:rsidRPr="00505A0C">
        <w:rPr>
          <w:rFonts w:ascii="Arial" w:hAnsi="Arial" w:cs="Arial"/>
          <w:sz w:val="18"/>
          <w:szCs w:val="18"/>
        </w:rPr>
        <w:t xml:space="preserve"> Sistema que se encarga de conectar dos o más líneas telefónicas para permitir la comunicación entre los usuarios;</w:t>
      </w:r>
    </w:p>
    <w:p w14:paraId="7A4333A2" w14:textId="77777777" w:rsidR="00505A0C" w:rsidRPr="00505A0C" w:rsidRDefault="00505A0C" w:rsidP="00505A0C">
      <w:pPr>
        <w:spacing w:after="0"/>
        <w:jc w:val="both"/>
        <w:rPr>
          <w:rFonts w:ascii="Arial" w:hAnsi="Arial" w:cs="Arial"/>
          <w:sz w:val="18"/>
          <w:szCs w:val="18"/>
        </w:rPr>
      </w:pPr>
    </w:p>
    <w:p w14:paraId="7F20D5B1"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Enlace:</w:t>
      </w:r>
      <w:r w:rsidRPr="00505A0C">
        <w:rPr>
          <w:rFonts w:ascii="Arial" w:hAnsi="Arial" w:cs="Arial"/>
          <w:sz w:val="18"/>
          <w:szCs w:val="18"/>
        </w:rPr>
        <w:t xml:space="preserve"> Conexión que se establece a través de canales físicos de una Red Pública de Telecomunicaciones, mediante protocolos específicos, con el fin de permitir el intercambio de información;</w:t>
      </w:r>
    </w:p>
    <w:p w14:paraId="29B2F3A5" w14:textId="77777777" w:rsidR="00505A0C" w:rsidRPr="00505A0C" w:rsidRDefault="00505A0C" w:rsidP="00505A0C">
      <w:pPr>
        <w:spacing w:after="0"/>
        <w:jc w:val="both"/>
        <w:rPr>
          <w:rFonts w:ascii="Arial" w:hAnsi="Arial" w:cs="Arial"/>
          <w:sz w:val="18"/>
          <w:szCs w:val="18"/>
        </w:rPr>
      </w:pPr>
    </w:p>
    <w:p w14:paraId="5139BCA9"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Familia 2G:</w:t>
      </w:r>
      <w:r w:rsidRPr="00505A0C">
        <w:rPr>
          <w:rFonts w:ascii="Arial" w:hAnsi="Arial" w:cs="Arial"/>
          <w:sz w:val="18"/>
          <w:szCs w:val="18"/>
        </w:rPr>
        <w:t xml:space="preserve"> Sistema Global para las Comunicaciones Móviles GSM, que incorporan tecnología digital para transmitir servicios móviles de voz, datos incluyendo el Servicio de Mensajes Cortos (SMS). Abarcado sus mejoras, en cuanto a tecnología, es decir, GPRS (2.5G) y EDGE; </w:t>
      </w:r>
    </w:p>
    <w:p w14:paraId="2F077052" w14:textId="77777777" w:rsidR="00505A0C" w:rsidRPr="00505A0C" w:rsidRDefault="00505A0C" w:rsidP="00505A0C">
      <w:pPr>
        <w:spacing w:after="0"/>
        <w:jc w:val="both"/>
        <w:rPr>
          <w:rFonts w:ascii="Arial" w:hAnsi="Arial" w:cs="Arial"/>
          <w:sz w:val="18"/>
          <w:szCs w:val="18"/>
        </w:rPr>
      </w:pPr>
    </w:p>
    <w:p w14:paraId="4B6CB3DC"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Familia 3G:</w:t>
      </w:r>
      <w:r w:rsidRPr="00505A0C">
        <w:rPr>
          <w:rFonts w:ascii="Arial" w:hAnsi="Arial" w:cs="Arial"/>
          <w:sz w:val="18"/>
          <w:szCs w:val="18"/>
        </w:rPr>
        <w:t xml:space="preserve"> Servicio de comunicaciones inalámbricas móviles, que permite la transmisión de voz, datos y Servicio de Mensajes Cortos (SMS), a través de telefonía móvil mediante UMTS (Universal Mobile Telecommunications System o servicio universal de telecomunicaciones móviles). Dentro de esta generación se incluyen las mejoras en tecnología, es decir, HSPA, HSDPA, HSUPA y HSPA+;</w:t>
      </w:r>
    </w:p>
    <w:p w14:paraId="243CCFFF" w14:textId="77777777" w:rsidR="00505A0C" w:rsidRPr="00505A0C" w:rsidRDefault="00505A0C" w:rsidP="00505A0C">
      <w:pPr>
        <w:spacing w:after="0"/>
        <w:jc w:val="both"/>
        <w:rPr>
          <w:rFonts w:ascii="Arial" w:hAnsi="Arial" w:cs="Arial"/>
          <w:sz w:val="18"/>
          <w:szCs w:val="18"/>
        </w:rPr>
      </w:pPr>
    </w:p>
    <w:p w14:paraId="4C0431A4"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Familia 4G:</w:t>
      </w:r>
      <w:r w:rsidRPr="00505A0C">
        <w:rPr>
          <w:rFonts w:ascii="Arial" w:hAnsi="Arial" w:cs="Arial"/>
          <w:sz w:val="18"/>
          <w:szCs w:val="18"/>
        </w:rPr>
        <w:t xml:space="preserve"> Conjunto de estándares de las Redes de Acceso Móvil que incluye LTE, así como sus mejoras (LTE Advanced, LTE Advanced Pro), que permite la transmisión de voz, voz IP, datos y Servicio de Mensajes Cortos (SMS);</w:t>
      </w:r>
    </w:p>
    <w:p w14:paraId="57F14FC5" w14:textId="77777777" w:rsidR="00505A0C" w:rsidRPr="00505A0C" w:rsidRDefault="00505A0C" w:rsidP="00505A0C">
      <w:pPr>
        <w:spacing w:after="0"/>
        <w:jc w:val="both"/>
        <w:rPr>
          <w:rFonts w:ascii="Arial" w:hAnsi="Arial" w:cs="Arial"/>
          <w:sz w:val="18"/>
          <w:szCs w:val="18"/>
        </w:rPr>
      </w:pPr>
    </w:p>
    <w:p w14:paraId="5F8E27AF"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Familia 5G:</w:t>
      </w:r>
      <w:r w:rsidRPr="00505A0C">
        <w:rPr>
          <w:rFonts w:ascii="Arial" w:hAnsi="Arial" w:cs="Arial"/>
          <w:sz w:val="18"/>
          <w:szCs w:val="18"/>
        </w:rPr>
        <w:t xml:space="preserve"> Generación de estándares de comunicación inalámbrica móvil, que corresponde a la evolución de 4G/LTE. Esta quinta generación incluye dos estándares Non Standalone (NSA) y Standalone (SA); </w:t>
      </w:r>
    </w:p>
    <w:p w14:paraId="6B954CB9" w14:textId="77777777" w:rsidR="00505A0C" w:rsidRPr="00505A0C" w:rsidRDefault="00505A0C" w:rsidP="00505A0C">
      <w:pPr>
        <w:spacing w:after="0"/>
        <w:jc w:val="both"/>
        <w:rPr>
          <w:rFonts w:ascii="Arial" w:hAnsi="Arial" w:cs="Arial"/>
          <w:sz w:val="18"/>
          <w:szCs w:val="18"/>
        </w:rPr>
      </w:pPr>
    </w:p>
    <w:p w14:paraId="59AD417A"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FTTH:</w:t>
      </w:r>
      <w:r w:rsidRPr="00505A0C">
        <w:rPr>
          <w:rFonts w:ascii="Arial" w:hAnsi="Arial" w:cs="Arial"/>
          <w:sz w:val="18"/>
          <w:szCs w:val="18"/>
        </w:rPr>
        <w:t xml:space="preserve"> Se refiere a “fibra al hogar” (por sus siglas en inglés, Fiber-To-The-Home). Se basa en la utilización de Fibra Óptica y sistemas de distribución ópticos desde la Infraestructura del Operador hasta las casas, no existe conexión intermedia y ningún otro tipo de cable que tenga que unirse para la distribución de servicios de telecomunicaciones;</w:t>
      </w:r>
    </w:p>
    <w:p w14:paraId="66B5D14A" w14:textId="77777777" w:rsidR="00505A0C" w:rsidRPr="00505A0C" w:rsidRDefault="00505A0C" w:rsidP="00505A0C">
      <w:pPr>
        <w:spacing w:after="0"/>
        <w:jc w:val="both"/>
        <w:rPr>
          <w:rFonts w:ascii="Arial" w:hAnsi="Arial" w:cs="Arial"/>
          <w:sz w:val="18"/>
          <w:szCs w:val="18"/>
        </w:rPr>
      </w:pPr>
    </w:p>
    <w:p w14:paraId="682AFA44" w14:textId="0D6EA526"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HFC:</w:t>
      </w:r>
      <w:r w:rsidRPr="00505A0C">
        <w:rPr>
          <w:rFonts w:ascii="Arial" w:hAnsi="Arial" w:cs="Arial"/>
          <w:sz w:val="18"/>
          <w:szCs w:val="18"/>
        </w:rPr>
        <w:t xml:space="preserve"> Se refiere a “redes híbridas” (por sus siglas en inglés, Hybrid Fibre Coaxial). Se basa en la utilización de Fibra Óptica y sistemas de distribución ópticos desde la Infraestructura del Operador hasta un nodo, y desde ahí, la conexión es a través de cable coaxial, para la distribución de servicios de telecomunicaciones</w:t>
      </w:r>
      <w:r w:rsidR="00805FB9">
        <w:rPr>
          <w:rFonts w:ascii="Arial" w:hAnsi="Arial" w:cs="Arial"/>
          <w:sz w:val="18"/>
          <w:szCs w:val="18"/>
        </w:rPr>
        <w:t>;</w:t>
      </w:r>
    </w:p>
    <w:p w14:paraId="53D0029B" w14:textId="77777777" w:rsidR="00505A0C" w:rsidRPr="00505A0C" w:rsidRDefault="00505A0C" w:rsidP="00505A0C">
      <w:pPr>
        <w:spacing w:after="0"/>
        <w:jc w:val="both"/>
        <w:rPr>
          <w:rFonts w:ascii="Arial" w:hAnsi="Arial" w:cs="Arial"/>
          <w:sz w:val="18"/>
          <w:szCs w:val="18"/>
        </w:rPr>
      </w:pPr>
    </w:p>
    <w:p w14:paraId="6E00D078"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lastRenderedPageBreak/>
        <w:t>Punto de Interconexión:</w:t>
      </w:r>
      <w:r w:rsidRPr="00505A0C">
        <w:rPr>
          <w:rFonts w:ascii="Arial" w:hAnsi="Arial" w:cs="Arial"/>
          <w:sz w:val="18"/>
          <w:szCs w:val="18"/>
        </w:rPr>
        <w:t xml:space="preserve"> Punto físico o virtual donde se establece la interconexión entre redes públicas de telecomunicaciones para el intercambio de tráfico;</w:t>
      </w:r>
    </w:p>
    <w:p w14:paraId="304A7578" w14:textId="77777777" w:rsidR="00505A0C" w:rsidRPr="00505A0C" w:rsidRDefault="00505A0C" w:rsidP="00505A0C">
      <w:pPr>
        <w:spacing w:after="0"/>
        <w:jc w:val="both"/>
        <w:rPr>
          <w:rFonts w:ascii="Arial" w:hAnsi="Arial" w:cs="Arial"/>
          <w:sz w:val="18"/>
          <w:szCs w:val="18"/>
        </w:rPr>
      </w:pPr>
    </w:p>
    <w:p w14:paraId="33894965"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Red de Acceso Fijo:</w:t>
      </w:r>
      <w:r w:rsidRPr="00505A0C">
        <w:rPr>
          <w:rFonts w:ascii="Arial" w:hAnsi="Arial" w:cs="Arial"/>
          <w:sz w:val="18"/>
          <w:szCs w:val="18"/>
        </w:rPr>
        <w:t xml:space="preserve"> Parte de la infraestructura de una Red Pública de Telecomunicaciones, en la que el Usuario se conecta mediante un Equipo terminal en un punto geográfico fijo, donde el proveedor del servicio de telecomunicaciones le brinda conexión a través de un medio de transmisión alámbrico o inalámbrico; </w:t>
      </w:r>
    </w:p>
    <w:p w14:paraId="34D18880" w14:textId="77777777" w:rsidR="00505A0C" w:rsidRPr="00505A0C" w:rsidRDefault="00505A0C" w:rsidP="00505A0C">
      <w:pPr>
        <w:spacing w:after="0"/>
        <w:jc w:val="both"/>
        <w:rPr>
          <w:rFonts w:ascii="Arial" w:hAnsi="Arial" w:cs="Arial"/>
          <w:sz w:val="18"/>
          <w:szCs w:val="18"/>
        </w:rPr>
      </w:pPr>
    </w:p>
    <w:p w14:paraId="656E640C"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Red de Acceso Móvil:</w:t>
      </w:r>
      <w:r w:rsidRPr="00505A0C">
        <w:rPr>
          <w:rFonts w:ascii="Arial" w:hAnsi="Arial" w:cs="Arial"/>
          <w:sz w:val="18"/>
          <w:szCs w:val="18"/>
        </w:rPr>
        <w:t xml:space="preserve"> Parte de la infraestructura de una Red Pública de Telecomunicaciones, en la que el Usuario se conecta mediante un Equipo Terminal con el proveedor del servicio de telecomunicaciones mediante tecnologías que proveen un Acceso en un punto determinado o en movimiento, sin una ubicación geográfica predeterminada;</w:t>
      </w:r>
    </w:p>
    <w:p w14:paraId="5701207C" w14:textId="77777777" w:rsidR="00505A0C" w:rsidRPr="00505A0C" w:rsidRDefault="00505A0C" w:rsidP="00505A0C">
      <w:pPr>
        <w:spacing w:after="0"/>
        <w:jc w:val="both"/>
        <w:rPr>
          <w:rFonts w:ascii="Arial" w:hAnsi="Arial" w:cs="Arial"/>
          <w:sz w:val="18"/>
          <w:szCs w:val="18"/>
        </w:rPr>
      </w:pPr>
    </w:p>
    <w:p w14:paraId="6148261D"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Red Pública de Telecomunicaciones (RPT):</w:t>
      </w:r>
      <w:r w:rsidRPr="00505A0C">
        <w:rPr>
          <w:rFonts w:ascii="Arial" w:hAnsi="Arial" w:cs="Arial"/>
          <w:sz w:val="18"/>
          <w:szCs w:val="18"/>
        </w:rPr>
        <w:t xml:space="preserve">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14:paraId="27EB040C" w14:textId="77777777" w:rsidR="00505A0C" w:rsidRPr="00505A0C" w:rsidRDefault="00505A0C" w:rsidP="00505A0C">
      <w:pPr>
        <w:spacing w:after="0"/>
        <w:jc w:val="both"/>
        <w:rPr>
          <w:rFonts w:ascii="Arial" w:hAnsi="Arial" w:cs="Arial"/>
          <w:sz w:val="18"/>
          <w:szCs w:val="18"/>
        </w:rPr>
      </w:pPr>
    </w:p>
    <w:p w14:paraId="7E070E35"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Wireless Local Loop (WLL):</w:t>
      </w:r>
      <w:r w:rsidRPr="00505A0C">
        <w:rPr>
          <w:rFonts w:ascii="Arial" w:hAnsi="Arial" w:cs="Arial"/>
          <w:sz w:val="18"/>
          <w:szCs w:val="18"/>
        </w:rPr>
        <w:t xml:space="preserve"> Por sus siglas en inglés, Bucle Local Inalámbrico, es el uso de un enlace de comunicaciones inalámbricas como la conexión de acceso para ofrecer servicios de telecomunicaciones a los Suscriptores.</w:t>
      </w:r>
    </w:p>
    <w:p w14:paraId="6FB8FCE4" w14:textId="77777777" w:rsidR="00505A0C" w:rsidRPr="00505A0C" w:rsidRDefault="00505A0C" w:rsidP="00505A0C">
      <w:pPr>
        <w:spacing w:after="0"/>
        <w:jc w:val="both"/>
        <w:rPr>
          <w:rFonts w:ascii="Arial" w:hAnsi="Arial" w:cs="Arial"/>
          <w:sz w:val="18"/>
          <w:szCs w:val="18"/>
        </w:rPr>
      </w:pPr>
    </w:p>
    <w:p w14:paraId="26CA9790" w14:textId="5F6B8CB7" w:rsidR="00505A0C" w:rsidRPr="00505A0C" w:rsidRDefault="00505A0C" w:rsidP="00505A0C">
      <w:pPr>
        <w:pStyle w:val="Prrafodelista"/>
        <w:numPr>
          <w:ilvl w:val="0"/>
          <w:numId w:val="37"/>
        </w:numPr>
        <w:jc w:val="both"/>
        <w:rPr>
          <w:rFonts w:cs="Arial"/>
          <w:sz w:val="18"/>
          <w:szCs w:val="18"/>
        </w:rPr>
      </w:pPr>
      <w:r w:rsidRPr="00505A0C">
        <w:rPr>
          <w:rFonts w:cs="Arial"/>
          <w:sz w:val="18"/>
          <w:szCs w:val="18"/>
        </w:rPr>
        <w:t>Definiciones de servicios por tipo de tráfico transportado:</w:t>
      </w:r>
    </w:p>
    <w:p w14:paraId="452535F8" w14:textId="77777777" w:rsidR="00505A0C" w:rsidRPr="00505A0C" w:rsidRDefault="00505A0C" w:rsidP="00505A0C">
      <w:pPr>
        <w:spacing w:after="0"/>
        <w:jc w:val="both"/>
        <w:rPr>
          <w:rFonts w:ascii="Arial" w:hAnsi="Arial" w:cs="Arial"/>
          <w:sz w:val="18"/>
          <w:szCs w:val="18"/>
        </w:rPr>
      </w:pPr>
    </w:p>
    <w:p w14:paraId="3F944FF3"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de Transmisión de Contenidos:</w:t>
      </w:r>
      <w:r w:rsidRPr="00505A0C">
        <w:rPr>
          <w:rFonts w:ascii="Arial" w:hAnsi="Arial" w:cs="Arial"/>
          <w:sz w:val="18"/>
          <w:szCs w:val="18"/>
        </w:rPr>
        <w:t xml:space="preserve"> Servicio de telecomunicaciones que permite al Usuario la recepción de Contenido Audiovisual a través de una RPT.</w:t>
      </w:r>
    </w:p>
    <w:p w14:paraId="37CBE37C" w14:textId="77777777" w:rsidR="00505A0C" w:rsidRPr="00505A0C" w:rsidRDefault="00505A0C" w:rsidP="00505A0C">
      <w:pPr>
        <w:spacing w:after="0"/>
        <w:jc w:val="both"/>
        <w:rPr>
          <w:rFonts w:ascii="Arial" w:hAnsi="Arial" w:cs="Arial"/>
          <w:sz w:val="18"/>
          <w:szCs w:val="18"/>
        </w:rPr>
      </w:pPr>
    </w:p>
    <w:p w14:paraId="23E2ED75" w14:textId="6802937C" w:rsidR="00505A0C" w:rsidRPr="00505A0C" w:rsidRDefault="00505A0C" w:rsidP="00505A0C">
      <w:pPr>
        <w:pStyle w:val="Prrafodelista"/>
        <w:numPr>
          <w:ilvl w:val="0"/>
          <w:numId w:val="37"/>
        </w:numPr>
        <w:jc w:val="both"/>
        <w:rPr>
          <w:rFonts w:cs="Arial"/>
          <w:sz w:val="18"/>
          <w:szCs w:val="18"/>
        </w:rPr>
      </w:pPr>
      <w:r w:rsidRPr="00505A0C">
        <w:rPr>
          <w:rFonts w:cs="Arial"/>
          <w:sz w:val="18"/>
          <w:szCs w:val="18"/>
        </w:rPr>
        <w:t>Definiciones con base en la movilidad del servicio prestado al usuario:</w:t>
      </w:r>
    </w:p>
    <w:p w14:paraId="53BC5A13" w14:textId="77777777" w:rsidR="00505A0C" w:rsidRPr="00505A0C" w:rsidRDefault="00505A0C" w:rsidP="00505A0C">
      <w:pPr>
        <w:spacing w:after="0"/>
        <w:jc w:val="both"/>
        <w:rPr>
          <w:rFonts w:ascii="Arial" w:hAnsi="Arial" w:cs="Arial"/>
          <w:sz w:val="18"/>
          <w:szCs w:val="18"/>
        </w:rPr>
      </w:pPr>
    </w:p>
    <w:p w14:paraId="7BD86A0F"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Fijo:</w:t>
      </w:r>
      <w:r w:rsidRPr="00505A0C">
        <w:rPr>
          <w:rFonts w:ascii="Arial" w:hAnsi="Arial" w:cs="Arial"/>
          <w:sz w:val="18"/>
          <w:szCs w:val="18"/>
        </w:rPr>
        <w:t xml:space="preserve"> Servicio de telecomunicaciones que permite prestar o comercializar a usuarios finales el servicio en una ubicación geográfica fija o, en un área menor a la Cobertura del servicio delimitada por el prestador del servicio;</w:t>
      </w:r>
    </w:p>
    <w:p w14:paraId="3869B584" w14:textId="77777777" w:rsidR="00505A0C" w:rsidRPr="00505A0C" w:rsidRDefault="00505A0C" w:rsidP="00505A0C">
      <w:pPr>
        <w:spacing w:after="0"/>
        <w:jc w:val="both"/>
        <w:rPr>
          <w:rFonts w:ascii="Arial" w:hAnsi="Arial" w:cs="Arial"/>
          <w:sz w:val="18"/>
          <w:szCs w:val="18"/>
        </w:rPr>
      </w:pPr>
    </w:p>
    <w:p w14:paraId="4A654A5D"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Móvil:</w:t>
      </w:r>
      <w:r w:rsidRPr="00505A0C">
        <w:rPr>
          <w:rFonts w:ascii="Arial" w:hAnsi="Arial" w:cs="Arial"/>
          <w:sz w:val="18"/>
          <w:szCs w:val="18"/>
        </w:rPr>
        <w:t xml:space="preserve"> Servicio de telecomunicaciones prestado a usuarios finales, que se brinda a través de Equipos Terminales Móviles que no tienen una ubicación geográfica determinada.</w:t>
      </w:r>
    </w:p>
    <w:p w14:paraId="2AE2C194" w14:textId="77777777" w:rsidR="00505A0C" w:rsidRPr="00505A0C" w:rsidRDefault="00505A0C" w:rsidP="00505A0C">
      <w:pPr>
        <w:spacing w:after="0"/>
        <w:jc w:val="both"/>
        <w:rPr>
          <w:rFonts w:ascii="Arial" w:hAnsi="Arial" w:cs="Arial"/>
          <w:sz w:val="18"/>
          <w:szCs w:val="18"/>
        </w:rPr>
      </w:pPr>
    </w:p>
    <w:p w14:paraId="582924E7" w14:textId="70381276" w:rsidR="00505A0C" w:rsidRPr="00505A0C" w:rsidRDefault="00505A0C" w:rsidP="00505A0C">
      <w:pPr>
        <w:pStyle w:val="Prrafodelista"/>
        <w:numPr>
          <w:ilvl w:val="0"/>
          <w:numId w:val="37"/>
        </w:numPr>
        <w:jc w:val="both"/>
        <w:rPr>
          <w:rFonts w:cs="Arial"/>
          <w:sz w:val="18"/>
          <w:szCs w:val="18"/>
        </w:rPr>
      </w:pPr>
      <w:r w:rsidRPr="00505A0C">
        <w:rPr>
          <w:rFonts w:cs="Arial"/>
          <w:sz w:val="18"/>
          <w:szCs w:val="18"/>
        </w:rPr>
        <w:t>Definiciones con base en la comercialización de los servicios provistos:</w:t>
      </w:r>
    </w:p>
    <w:p w14:paraId="3D799F77" w14:textId="77777777" w:rsidR="00505A0C" w:rsidRPr="00505A0C" w:rsidRDefault="00505A0C" w:rsidP="00505A0C">
      <w:pPr>
        <w:spacing w:after="0"/>
        <w:jc w:val="both"/>
        <w:rPr>
          <w:rFonts w:ascii="Arial" w:hAnsi="Arial" w:cs="Arial"/>
          <w:sz w:val="18"/>
          <w:szCs w:val="18"/>
        </w:rPr>
      </w:pPr>
    </w:p>
    <w:p w14:paraId="7DE76122"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Telecomunicaciones (Servicio Mayorista):</w:t>
      </w:r>
      <w:r w:rsidRPr="00505A0C">
        <w:rPr>
          <w:rFonts w:ascii="Arial" w:hAnsi="Arial" w:cs="Arial"/>
          <w:sz w:val="18"/>
          <w:szCs w:val="18"/>
        </w:rPr>
        <w:t xml:space="preserve"> Servicio de telecomunicaciones que consiste en el suministro de acceso a elementos individuales, a capacidades de una red o servicios, incluyendo los de interconexión, que son utilizados por concesionarios o comercializadores para proveer servicios de telecomunicaciones a usuarios finales;</w:t>
      </w:r>
    </w:p>
    <w:p w14:paraId="30864B71" w14:textId="77777777" w:rsidR="00505A0C" w:rsidRPr="00505A0C" w:rsidRDefault="00505A0C" w:rsidP="00505A0C">
      <w:pPr>
        <w:spacing w:after="0"/>
        <w:jc w:val="both"/>
        <w:rPr>
          <w:rFonts w:ascii="Arial" w:hAnsi="Arial" w:cs="Arial"/>
          <w:sz w:val="18"/>
          <w:szCs w:val="18"/>
        </w:rPr>
      </w:pPr>
    </w:p>
    <w:p w14:paraId="2B08EBB8"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Minorista de Telecomunicaciones (Servicio Minorista):</w:t>
      </w:r>
      <w:r w:rsidRPr="00505A0C">
        <w:rPr>
          <w:rFonts w:ascii="Arial" w:hAnsi="Arial" w:cs="Arial"/>
          <w:sz w:val="18"/>
          <w:szCs w:val="18"/>
        </w:rPr>
        <w:t xml:space="preserve"> Servicio de telecomunicaciones que consiste en la comercialización directa de servicios de telecomunicaciones a usuarios finales.</w:t>
      </w:r>
    </w:p>
    <w:p w14:paraId="1047B821" w14:textId="77777777" w:rsidR="00505A0C" w:rsidRPr="00505A0C" w:rsidRDefault="00505A0C" w:rsidP="00505A0C">
      <w:pPr>
        <w:spacing w:after="0"/>
        <w:jc w:val="both"/>
        <w:rPr>
          <w:rFonts w:ascii="Arial" w:hAnsi="Arial" w:cs="Arial"/>
          <w:sz w:val="18"/>
          <w:szCs w:val="18"/>
        </w:rPr>
      </w:pPr>
    </w:p>
    <w:p w14:paraId="2A6F8C00" w14:textId="6B6E29DB" w:rsidR="00505A0C" w:rsidRPr="00505A0C" w:rsidRDefault="00505A0C" w:rsidP="00505A0C">
      <w:pPr>
        <w:pStyle w:val="Prrafodelista"/>
        <w:numPr>
          <w:ilvl w:val="0"/>
          <w:numId w:val="37"/>
        </w:numPr>
        <w:jc w:val="both"/>
        <w:rPr>
          <w:rFonts w:cs="Arial"/>
          <w:sz w:val="18"/>
          <w:szCs w:val="18"/>
        </w:rPr>
      </w:pPr>
      <w:r w:rsidRPr="00505A0C">
        <w:rPr>
          <w:rFonts w:cs="Arial"/>
          <w:sz w:val="18"/>
          <w:szCs w:val="18"/>
        </w:rPr>
        <w:t>Definiciones sobre los servicios de telecomunicaciones mayoristas:</w:t>
      </w:r>
    </w:p>
    <w:p w14:paraId="145AB6D1" w14:textId="77777777" w:rsidR="00505A0C" w:rsidRPr="00505A0C" w:rsidRDefault="00505A0C" w:rsidP="00505A0C">
      <w:pPr>
        <w:spacing w:after="0"/>
        <w:jc w:val="both"/>
        <w:rPr>
          <w:rFonts w:ascii="Arial" w:hAnsi="Arial" w:cs="Arial"/>
          <w:sz w:val="18"/>
          <w:szCs w:val="18"/>
        </w:rPr>
      </w:pPr>
    </w:p>
    <w:p w14:paraId="77242918"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Coubicación:</w:t>
      </w:r>
      <w:r w:rsidRPr="00505A0C">
        <w:rPr>
          <w:rFonts w:ascii="Arial" w:hAnsi="Arial" w:cs="Arial"/>
          <w:sz w:val="18"/>
          <w:szCs w:val="18"/>
        </w:rPr>
        <w:t xml:space="preserve"> Servicio que consiste en que un Operador arrienda espacio en las instalaciones de otro Operador, para la colocación de equipos y dispositivos que se requieren para la interconexión de sus redes, o para el funcionamiento de sus servicios de telecomunicaciones, así como servicios auxiliares tales como suministro de energía, medidas de seguridad, aire acondicionado, acceso a los espacios físicos y demás facilidades necesarias para su adecuada operación;</w:t>
      </w:r>
    </w:p>
    <w:p w14:paraId="41496E43" w14:textId="77777777" w:rsidR="00505A0C" w:rsidRPr="00505A0C" w:rsidRDefault="00505A0C" w:rsidP="00505A0C">
      <w:pPr>
        <w:spacing w:after="0"/>
        <w:jc w:val="both"/>
        <w:rPr>
          <w:rFonts w:ascii="Arial" w:hAnsi="Arial" w:cs="Arial"/>
          <w:sz w:val="18"/>
          <w:szCs w:val="18"/>
        </w:rPr>
      </w:pPr>
    </w:p>
    <w:p w14:paraId="3917D396"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Enlaces Dedicados:</w:t>
      </w:r>
      <w:r w:rsidRPr="00505A0C">
        <w:rPr>
          <w:rFonts w:ascii="Arial" w:hAnsi="Arial" w:cs="Arial"/>
          <w:sz w:val="18"/>
          <w:szCs w:val="18"/>
        </w:rPr>
        <w:t xml:space="preserve"> Servicio de arrendamiento de enlaces de transmisión exclusivos, para el transporte de señales digitales entre dos puntos con un ancho de banda garantizado, que se proporciona a otro </w:t>
      </w:r>
      <w:r w:rsidRPr="00505A0C">
        <w:rPr>
          <w:rFonts w:ascii="Arial" w:hAnsi="Arial" w:cs="Arial"/>
          <w:sz w:val="18"/>
          <w:szCs w:val="18"/>
        </w:rPr>
        <w:lastRenderedPageBreak/>
        <w:t>Operador de redes públicas de telecomunicaciones, el cual tiene pleno control sobre las señales que se transportan, y es entregado a través de cualquier medio de transmisión, excepto satélite;</w:t>
      </w:r>
    </w:p>
    <w:p w14:paraId="621CF3C3" w14:textId="77777777" w:rsidR="00505A0C" w:rsidRPr="00505A0C" w:rsidRDefault="00505A0C" w:rsidP="00505A0C">
      <w:pPr>
        <w:spacing w:after="0"/>
        <w:jc w:val="both"/>
        <w:rPr>
          <w:rFonts w:ascii="Arial" w:hAnsi="Arial" w:cs="Arial"/>
          <w:sz w:val="18"/>
          <w:szCs w:val="18"/>
        </w:rPr>
      </w:pPr>
    </w:p>
    <w:p w14:paraId="0BC06A9E"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Intercambio de Tráfico de Internet:</w:t>
      </w:r>
      <w:r w:rsidRPr="00505A0C">
        <w:rPr>
          <w:rFonts w:ascii="Arial" w:hAnsi="Arial" w:cs="Arial"/>
          <w:sz w:val="18"/>
          <w:szCs w:val="18"/>
        </w:rPr>
        <w:t xml:space="preserve"> Servicio que consiste en que un Operador interconecta su red de datos con la de otro proveedor de servicios de Internet. Esto se puede hacer mediante las dos modalidades de Peering y Transito IP;</w:t>
      </w:r>
    </w:p>
    <w:p w14:paraId="6FC6DCA7" w14:textId="77777777" w:rsidR="00505A0C" w:rsidRPr="00505A0C" w:rsidRDefault="00505A0C" w:rsidP="00505A0C">
      <w:pPr>
        <w:spacing w:after="0"/>
        <w:jc w:val="both"/>
        <w:rPr>
          <w:rFonts w:ascii="Arial" w:hAnsi="Arial" w:cs="Arial"/>
          <w:sz w:val="18"/>
          <w:szCs w:val="18"/>
        </w:rPr>
      </w:pPr>
    </w:p>
    <w:p w14:paraId="3B0BE7C8"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Interconexión:</w:t>
      </w:r>
      <w:r w:rsidRPr="00505A0C">
        <w:rPr>
          <w:rFonts w:ascii="Arial" w:hAnsi="Arial" w:cs="Arial"/>
          <w:sz w:val="18"/>
          <w:szCs w:val="18"/>
        </w:rPr>
        <w:t xml:space="preserve"> Los que se prestan entre Operadores de servicios de telecomunicaciones, para realizar la interconexión entre sus redes e incluyen, entre otros, la conducción de tráfico y su terminación, enlaces de transmisión, señalización, tránsito, puertos de acceso, coubicación, la compartición de infraestructura para interconexión, facturación y cobranza, así como otros servicios auxiliares de la misma y acceso a servicios;</w:t>
      </w:r>
    </w:p>
    <w:p w14:paraId="52C7B9E6" w14:textId="77777777" w:rsidR="00505A0C" w:rsidRPr="00505A0C" w:rsidRDefault="00505A0C" w:rsidP="00505A0C">
      <w:pPr>
        <w:spacing w:after="0"/>
        <w:jc w:val="both"/>
        <w:rPr>
          <w:rFonts w:ascii="Arial" w:hAnsi="Arial" w:cs="Arial"/>
          <w:sz w:val="18"/>
          <w:szCs w:val="18"/>
        </w:rPr>
      </w:pPr>
    </w:p>
    <w:p w14:paraId="53338904"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Provisión de Capacidad Satelital:</w:t>
      </w:r>
      <w:r w:rsidRPr="00505A0C">
        <w:rPr>
          <w:rFonts w:ascii="Arial" w:hAnsi="Arial" w:cs="Arial"/>
          <w:sz w:val="18"/>
          <w:szCs w:val="18"/>
        </w:rPr>
        <w:t xml:space="preserve"> Servicio mediante el cual un Operador de una red satelital pone un determinado ancho de banda de las frecuencias asociadas que administra a disposición de otro Operador;</w:t>
      </w:r>
    </w:p>
    <w:p w14:paraId="7B1C3DD5" w14:textId="77777777" w:rsidR="00505A0C" w:rsidRPr="00505A0C" w:rsidRDefault="00505A0C" w:rsidP="00505A0C">
      <w:pPr>
        <w:spacing w:after="0"/>
        <w:jc w:val="both"/>
        <w:rPr>
          <w:rFonts w:ascii="Arial" w:hAnsi="Arial" w:cs="Arial"/>
          <w:sz w:val="18"/>
          <w:szCs w:val="18"/>
        </w:rPr>
      </w:pPr>
    </w:p>
    <w:p w14:paraId="057D1D5A"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Provisión de Servicios Móviles para Reventa</w:t>
      </w:r>
      <w:r w:rsidRPr="00505A0C">
        <w:rPr>
          <w:rFonts w:ascii="Arial" w:hAnsi="Arial" w:cs="Arial"/>
          <w:sz w:val="18"/>
          <w:szCs w:val="18"/>
        </w:rPr>
        <w:t>: Servicio que consiste en que un Operador que posee una RPT, permite que un Operador Móvil Virtual realice la reventa o comercialización de los servicios de telecomunicaciones provistos a través de su Red de Acceso Móvil, o bien de las capacidades que previamente le haya contratado;</w:t>
      </w:r>
    </w:p>
    <w:p w14:paraId="2BDBBAAC" w14:textId="77777777" w:rsidR="00505A0C" w:rsidRPr="00505A0C" w:rsidRDefault="00505A0C" w:rsidP="00505A0C">
      <w:pPr>
        <w:spacing w:after="0"/>
        <w:jc w:val="both"/>
        <w:rPr>
          <w:rFonts w:ascii="Arial" w:hAnsi="Arial" w:cs="Arial"/>
          <w:sz w:val="18"/>
          <w:szCs w:val="18"/>
        </w:rPr>
      </w:pPr>
    </w:p>
    <w:p w14:paraId="27951C12"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Provisión de Servicios Fijos para Reventa:</w:t>
      </w:r>
      <w:r w:rsidRPr="00505A0C">
        <w:rPr>
          <w:rFonts w:ascii="Arial" w:hAnsi="Arial" w:cs="Arial"/>
          <w:sz w:val="18"/>
          <w:szCs w:val="18"/>
        </w:rPr>
        <w:t xml:space="preserve"> Servicio que consiste en que un Operador que posee una RPT, permite que otro Operador realice la reventa o comercialización de los servicios de telecomunicaciones provistos a través de su Red de Acceso Fija;</w:t>
      </w:r>
    </w:p>
    <w:p w14:paraId="1E62B23D" w14:textId="77777777" w:rsidR="00505A0C" w:rsidRPr="00505A0C" w:rsidRDefault="00505A0C" w:rsidP="00505A0C">
      <w:pPr>
        <w:spacing w:after="0"/>
        <w:jc w:val="both"/>
        <w:rPr>
          <w:rFonts w:ascii="Arial" w:hAnsi="Arial" w:cs="Arial"/>
          <w:sz w:val="18"/>
          <w:szCs w:val="18"/>
        </w:rPr>
      </w:pPr>
    </w:p>
    <w:p w14:paraId="4B5C7D84" w14:textId="44FB1219"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Uso Compartido de Infraestructura:</w:t>
      </w:r>
      <w:r w:rsidRPr="00505A0C">
        <w:rPr>
          <w:rFonts w:ascii="Arial" w:hAnsi="Arial" w:cs="Arial"/>
          <w:sz w:val="18"/>
          <w:szCs w:val="18"/>
        </w:rPr>
        <w:t xml:space="preserve"> Servicio que consiste en que un Operador que posee una RPT, provee acceso a los elementos de su Infraestructura para el uso compartido con otro Operador que también posea su propia RPT</w:t>
      </w:r>
      <w:r w:rsidR="00805FB9">
        <w:rPr>
          <w:rFonts w:ascii="Arial" w:hAnsi="Arial" w:cs="Arial"/>
          <w:sz w:val="18"/>
          <w:szCs w:val="18"/>
        </w:rPr>
        <w:t>;</w:t>
      </w:r>
    </w:p>
    <w:p w14:paraId="36480300" w14:textId="77777777" w:rsidR="00505A0C" w:rsidRPr="00505A0C" w:rsidRDefault="00505A0C" w:rsidP="00505A0C">
      <w:pPr>
        <w:spacing w:after="0"/>
        <w:jc w:val="both"/>
        <w:rPr>
          <w:rFonts w:ascii="Arial" w:hAnsi="Arial" w:cs="Arial"/>
          <w:sz w:val="18"/>
          <w:szCs w:val="18"/>
        </w:rPr>
      </w:pPr>
    </w:p>
    <w:p w14:paraId="03A7ECDF"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Mayorista de Usuario Visitante:</w:t>
      </w:r>
      <w:r w:rsidRPr="00505A0C">
        <w:rPr>
          <w:rFonts w:ascii="Arial" w:hAnsi="Arial" w:cs="Arial"/>
          <w:sz w:val="18"/>
          <w:szCs w:val="18"/>
        </w:rPr>
        <w:t xml:space="preserve"> Mediante este servicio, un Operador con RPT con Red de Acceso Móvil, permite el uso de su infraestructura a los usuarios finales que sean suscriptores de otro Operador nacional y de otro Operador extranjero para que estos puedan hacer uso de los Servicios de Voz, de Transferencia de Datos y de SMS en Itinerancia.</w:t>
      </w:r>
    </w:p>
    <w:p w14:paraId="5C36E0A1" w14:textId="77777777" w:rsidR="00505A0C" w:rsidRPr="00505A0C" w:rsidRDefault="00505A0C" w:rsidP="00505A0C">
      <w:pPr>
        <w:spacing w:after="0"/>
        <w:jc w:val="both"/>
        <w:rPr>
          <w:rFonts w:ascii="Arial" w:hAnsi="Arial" w:cs="Arial"/>
          <w:sz w:val="18"/>
          <w:szCs w:val="18"/>
        </w:rPr>
      </w:pPr>
    </w:p>
    <w:p w14:paraId="4054747A" w14:textId="0F1C3A39" w:rsidR="00505A0C" w:rsidRPr="00505A0C" w:rsidRDefault="00505A0C" w:rsidP="00505A0C">
      <w:pPr>
        <w:pStyle w:val="Prrafodelista"/>
        <w:numPr>
          <w:ilvl w:val="0"/>
          <w:numId w:val="37"/>
        </w:numPr>
        <w:jc w:val="both"/>
        <w:rPr>
          <w:rFonts w:cs="Arial"/>
          <w:sz w:val="18"/>
          <w:szCs w:val="18"/>
        </w:rPr>
      </w:pPr>
      <w:r w:rsidRPr="00505A0C">
        <w:rPr>
          <w:rFonts w:cs="Arial"/>
          <w:sz w:val="18"/>
          <w:szCs w:val="18"/>
        </w:rPr>
        <w:t>Definiciones sobre servicios de telecomunicaciones minoristas:</w:t>
      </w:r>
    </w:p>
    <w:p w14:paraId="03054D0F" w14:textId="77777777" w:rsidR="00505A0C" w:rsidRPr="00505A0C" w:rsidRDefault="00505A0C" w:rsidP="00505A0C">
      <w:pPr>
        <w:spacing w:after="0"/>
        <w:jc w:val="both"/>
        <w:rPr>
          <w:rFonts w:ascii="Arial" w:hAnsi="Arial" w:cs="Arial"/>
          <w:sz w:val="18"/>
          <w:szCs w:val="18"/>
        </w:rPr>
      </w:pPr>
    </w:p>
    <w:p w14:paraId="7D69D8AA"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de Enlaces Dedicados: </w:t>
      </w:r>
      <w:r w:rsidRPr="00505A0C">
        <w:rPr>
          <w:rFonts w:ascii="Arial" w:hAnsi="Arial" w:cs="Arial"/>
          <w:sz w:val="18"/>
          <w:szCs w:val="18"/>
        </w:rPr>
        <w:t>Servicio de arrendamiento de Enlaces con un ancho de banda garantizado, que se proporciona a usuarios finales de acuerdo con una renta por capacidad de transmisión, independiente de la cantidad de tráfico que se curse, y es entregado a través de cualquier medio de transmisión, excepto satélite;</w:t>
      </w:r>
    </w:p>
    <w:p w14:paraId="60A9F602" w14:textId="77777777" w:rsidR="00505A0C" w:rsidRPr="00505A0C" w:rsidRDefault="00505A0C" w:rsidP="00505A0C">
      <w:pPr>
        <w:spacing w:after="0"/>
        <w:jc w:val="both"/>
        <w:rPr>
          <w:rFonts w:ascii="Arial" w:hAnsi="Arial" w:cs="Arial"/>
          <w:sz w:val="18"/>
          <w:szCs w:val="18"/>
        </w:rPr>
      </w:pPr>
    </w:p>
    <w:p w14:paraId="734F8C0E"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de Provisión de Capacidad Satelital: </w:t>
      </w:r>
      <w:r w:rsidRPr="00505A0C">
        <w:rPr>
          <w:rFonts w:ascii="Arial" w:hAnsi="Arial" w:cs="Arial"/>
          <w:sz w:val="18"/>
          <w:szCs w:val="18"/>
        </w:rPr>
        <w:t>Mediante este servicio, un Operador provee una capacidad de transmisión entre varios puntos o localizaciones, con un determinado ancho de banda, dedicado o no, a través de Enlaces satelitales con antenas VSAT, que tienen una ubicación geográfica determinada;</w:t>
      </w:r>
    </w:p>
    <w:p w14:paraId="4DBCF36A" w14:textId="77777777" w:rsidR="00505A0C" w:rsidRPr="00505A0C" w:rsidRDefault="00505A0C" w:rsidP="00505A0C">
      <w:pPr>
        <w:spacing w:after="0"/>
        <w:jc w:val="both"/>
        <w:rPr>
          <w:rFonts w:ascii="Arial" w:hAnsi="Arial" w:cs="Arial"/>
          <w:sz w:val="18"/>
          <w:szCs w:val="18"/>
        </w:rPr>
      </w:pPr>
    </w:p>
    <w:p w14:paraId="64D30CF0"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de Telefonía Pública: </w:t>
      </w:r>
      <w:r w:rsidRPr="00505A0C">
        <w:rPr>
          <w:rFonts w:ascii="Arial" w:hAnsi="Arial" w:cs="Arial"/>
          <w:sz w:val="18"/>
          <w:szCs w:val="18"/>
        </w:rPr>
        <w:t>Mediante este servicio, un Operador provee Equipos Terminales de uso público que incorporan mecanismos de cobro o tasación, y que están conectados a una RPT, para comercializar su capacidad del Servicio de Transporte de Voz, y/u otros servicios de telecomunicaciones. Este servicio permite efectuar llamadas locales y de larga distancia internacional;</w:t>
      </w:r>
    </w:p>
    <w:p w14:paraId="0FA42E74" w14:textId="77777777" w:rsidR="00505A0C" w:rsidRPr="00505A0C" w:rsidRDefault="00505A0C" w:rsidP="00505A0C">
      <w:pPr>
        <w:spacing w:after="0"/>
        <w:jc w:val="both"/>
        <w:rPr>
          <w:rFonts w:ascii="Arial" w:hAnsi="Arial" w:cs="Arial"/>
          <w:sz w:val="18"/>
          <w:szCs w:val="18"/>
        </w:rPr>
      </w:pPr>
    </w:p>
    <w:p w14:paraId="2896D4C2"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Fijo de Acceso a Internet: </w:t>
      </w:r>
      <w:r w:rsidRPr="00505A0C">
        <w:rPr>
          <w:rFonts w:ascii="Arial" w:hAnsi="Arial" w:cs="Arial"/>
          <w:sz w:val="18"/>
          <w:szCs w:val="18"/>
        </w:rPr>
        <w:t>Mediante este Servicio Fijo, un Operador provee el Acceso por el cual presta un Servicio de Transferencia de Datos;</w:t>
      </w:r>
    </w:p>
    <w:p w14:paraId="3D6CEE4B" w14:textId="77777777" w:rsidR="00505A0C" w:rsidRPr="00505A0C" w:rsidRDefault="00505A0C" w:rsidP="00505A0C">
      <w:pPr>
        <w:spacing w:after="0"/>
        <w:jc w:val="both"/>
        <w:rPr>
          <w:rFonts w:ascii="Arial" w:hAnsi="Arial" w:cs="Arial"/>
          <w:sz w:val="18"/>
          <w:szCs w:val="18"/>
        </w:rPr>
      </w:pPr>
    </w:p>
    <w:p w14:paraId="16FE8898"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lastRenderedPageBreak/>
        <w:t xml:space="preserve">Servicio Minorista Fijo de Acceso Satelital a Internet: </w:t>
      </w:r>
      <w:r w:rsidRPr="00505A0C">
        <w:rPr>
          <w:rFonts w:ascii="Arial" w:hAnsi="Arial" w:cs="Arial"/>
          <w:sz w:val="18"/>
          <w:szCs w:val="18"/>
        </w:rPr>
        <w:t>Mediante este Servicio Fijo, un Operador provee el Acceso por el cual presta un Servicio de Transferencia de Datos, a través de un sistema de comunicación satelital;</w:t>
      </w:r>
    </w:p>
    <w:p w14:paraId="3DCADE6D" w14:textId="77777777" w:rsidR="00505A0C" w:rsidRPr="00505A0C" w:rsidRDefault="00505A0C" w:rsidP="00505A0C">
      <w:pPr>
        <w:spacing w:after="0"/>
        <w:jc w:val="both"/>
        <w:rPr>
          <w:rFonts w:ascii="Arial" w:hAnsi="Arial" w:cs="Arial"/>
          <w:sz w:val="18"/>
          <w:szCs w:val="18"/>
        </w:rPr>
      </w:pPr>
    </w:p>
    <w:p w14:paraId="2AC3BFB6" w14:textId="6EF21189" w:rsidR="00505A0C" w:rsidRPr="00505A0C" w:rsidRDefault="00505A0C" w:rsidP="00505A0C">
      <w:pPr>
        <w:spacing w:after="0"/>
        <w:jc w:val="both"/>
        <w:rPr>
          <w:rFonts w:ascii="Arial" w:hAnsi="Arial" w:cs="Arial"/>
          <w:sz w:val="18"/>
          <w:szCs w:val="18"/>
        </w:rPr>
      </w:pPr>
      <w:r w:rsidRPr="2D5D90B1">
        <w:rPr>
          <w:rFonts w:ascii="Arial" w:hAnsi="Arial" w:cs="Arial"/>
          <w:b/>
          <w:bCs/>
          <w:sz w:val="18"/>
          <w:szCs w:val="18"/>
        </w:rPr>
        <w:t xml:space="preserve">Servicio Minorista Fijo de Telefonía: </w:t>
      </w:r>
      <w:r w:rsidRPr="2D5D90B1">
        <w:rPr>
          <w:rFonts w:ascii="Arial" w:hAnsi="Arial" w:cs="Arial"/>
          <w:sz w:val="18"/>
          <w:szCs w:val="18"/>
        </w:rPr>
        <w:t>Servicio Fijo, en donde un Operador provee el Servicio de Transporte de Voz</w:t>
      </w:r>
      <w:r w:rsidR="00805FB9" w:rsidRPr="2D5D90B1">
        <w:rPr>
          <w:rFonts w:ascii="Arial" w:hAnsi="Arial" w:cs="Arial"/>
          <w:sz w:val="18"/>
          <w:szCs w:val="18"/>
        </w:rPr>
        <w:t>;</w:t>
      </w:r>
    </w:p>
    <w:p w14:paraId="329E60DD" w14:textId="77777777" w:rsidR="00505A0C" w:rsidRPr="00505A0C" w:rsidRDefault="00505A0C" w:rsidP="00505A0C">
      <w:pPr>
        <w:spacing w:after="0"/>
        <w:jc w:val="both"/>
        <w:rPr>
          <w:rFonts w:ascii="Arial" w:hAnsi="Arial" w:cs="Arial"/>
          <w:sz w:val="18"/>
          <w:szCs w:val="18"/>
        </w:rPr>
      </w:pPr>
    </w:p>
    <w:p w14:paraId="00F6DD86" w14:textId="1AEB064C"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Fijo de Televisión y Audio Restringidos: </w:t>
      </w:r>
      <w:r w:rsidRPr="00505A0C">
        <w:rPr>
          <w:rFonts w:ascii="Arial" w:hAnsi="Arial" w:cs="Arial"/>
          <w:sz w:val="18"/>
          <w:szCs w:val="18"/>
        </w:rPr>
        <w:t>Servicio Fijo, en donde un Operador provee Acceso de Servicios de Transmisión de Contenidos Audiovisuales, incluye el servicio a través de transmisión satelital;</w:t>
      </w:r>
    </w:p>
    <w:p w14:paraId="199D0BFD" w14:textId="77777777" w:rsidR="00505A0C" w:rsidRPr="00505A0C" w:rsidRDefault="00505A0C" w:rsidP="00505A0C">
      <w:pPr>
        <w:spacing w:after="0"/>
        <w:jc w:val="both"/>
        <w:rPr>
          <w:rFonts w:ascii="Arial" w:hAnsi="Arial" w:cs="Arial"/>
          <w:sz w:val="18"/>
          <w:szCs w:val="18"/>
        </w:rPr>
      </w:pPr>
    </w:p>
    <w:p w14:paraId="38E1A621"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Móvil de Acceso a Internet: </w:t>
      </w:r>
      <w:r w:rsidRPr="00505A0C">
        <w:rPr>
          <w:rFonts w:ascii="Arial" w:hAnsi="Arial" w:cs="Arial"/>
          <w:sz w:val="18"/>
          <w:szCs w:val="18"/>
        </w:rPr>
        <w:t>Servicio Móvil, en donde un Operador provee Acceso al Servicio de Transferencia de Datos a través de una Terminal Móvil;</w:t>
      </w:r>
    </w:p>
    <w:p w14:paraId="43AF0E53" w14:textId="77777777" w:rsidR="00505A0C" w:rsidRPr="00505A0C" w:rsidRDefault="00505A0C" w:rsidP="00505A0C">
      <w:pPr>
        <w:spacing w:after="0"/>
        <w:jc w:val="both"/>
        <w:rPr>
          <w:rFonts w:ascii="Arial" w:hAnsi="Arial" w:cs="Arial"/>
          <w:sz w:val="18"/>
          <w:szCs w:val="18"/>
        </w:rPr>
      </w:pPr>
    </w:p>
    <w:p w14:paraId="2DC56F81"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Móvil de Acceso a Internet bajo esquema OMV: </w:t>
      </w:r>
      <w:r w:rsidRPr="00505A0C">
        <w:rPr>
          <w:rFonts w:ascii="Arial" w:hAnsi="Arial" w:cs="Arial"/>
          <w:sz w:val="18"/>
          <w:szCs w:val="18"/>
        </w:rPr>
        <w:t>Servicio Móvil, en donde un Operador revende el Acceso de Transferencia de Datos mediante un Sistema de Comunicación OMV;</w:t>
      </w:r>
    </w:p>
    <w:p w14:paraId="0A536A2E" w14:textId="77777777" w:rsidR="00505A0C" w:rsidRPr="00505A0C" w:rsidRDefault="00505A0C" w:rsidP="00505A0C">
      <w:pPr>
        <w:spacing w:after="0"/>
        <w:jc w:val="both"/>
        <w:rPr>
          <w:rFonts w:ascii="Arial" w:hAnsi="Arial" w:cs="Arial"/>
          <w:sz w:val="18"/>
          <w:szCs w:val="18"/>
        </w:rPr>
      </w:pPr>
    </w:p>
    <w:p w14:paraId="3D1D10AC"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Servicio Minorista Móvil de Telefonía:</w:t>
      </w:r>
      <w:r w:rsidRPr="00505A0C">
        <w:rPr>
          <w:rFonts w:ascii="Arial" w:hAnsi="Arial" w:cs="Arial"/>
          <w:sz w:val="18"/>
          <w:szCs w:val="18"/>
        </w:rPr>
        <w:t xml:space="preserve"> Servicio Inalámbrico, en donde un Operador provee Acceso a los Servicios de Transporte de Voz y envió/recepción de SMS mediante un Sistema de Comunicación Inalámbrica;</w:t>
      </w:r>
    </w:p>
    <w:p w14:paraId="1F156589" w14:textId="77777777" w:rsidR="00505A0C" w:rsidRPr="00505A0C" w:rsidRDefault="00505A0C" w:rsidP="00505A0C">
      <w:pPr>
        <w:spacing w:after="0"/>
        <w:jc w:val="both"/>
        <w:rPr>
          <w:rFonts w:ascii="Arial" w:hAnsi="Arial" w:cs="Arial"/>
          <w:sz w:val="18"/>
          <w:szCs w:val="18"/>
        </w:rPr>
      </w:pPr>
    </w:p>
    <w:p w14:paraId="12E50473" w14:textId="77777777" w:rsidR="00505A0C" w:rsidRPr="00505A0C" w:rsidRDefault="00505A0C" w:rsidP="00505A0C">
      <w:pPr>
        <w:spacing w:after="0"/>
        <w:jc w:val="both"/>
        <w:rPr>
          <w:rFonts w:ascii="Arial" w:hAnsi="Arial" w:cs="Arial"/>
          <w:sz w:val="18"/>
          <w:szCs w:val="18"/>
        </w:rPr>
      </w:pPr>
      <w:r w:rsidRPr="00505A0C">
        <w:rPr>
          <w:rFonts w:ascii="Arial" w:hAnsi="Arial" w:cs="Arial"/>
          <w:b/>
          <w:sz w:val="18"/>
          <w:szCs w:val="18"/>
        </w:rPr>
        <w:t xml:space="preserve">Servicio Minorista Móvil de Telefonía bajo esquema OMV: </w:t>
      </w:r>
      <w:r w:rsidRPr="00505A0C">
        <w:rPr>
          <w:rFonts w:ascii="Arial" w:hAnsi="Arial" w:cs="Arial"/>
          <w:sz w:val="18"/>
          <w:szCs w:val="18"/>
        </w:rPr>
        <w:t>Servicio Inalámbrico, donde un Operador provee Acceso a los Servicios de Transporte de Voz y envió/recepción de SMS mediante un Sistema de Comunicación OMV; y,</w:t>
      </w:r>
    </w:p>
    <w:p w14:paraId="76E874C9" w14:textId="77777777" w:rsidR="00505A0C" w:rsidRPr="00505A0C" w:rsidRDefault="00505A0C" w:rsidP="00505A0C">
      <w:pPr>
        <w:spacing w:after="0"/>
        <w:jc w:val="both"/>
        <w:rPr>
          <w:rFonts w:ascii="Arial" w:hAnsi="Arial" w:cs="Arial"/>
          <w:sz w:val="18"/>
          <w:szCs w:val="18"/>
        </w:rPr>
      </w:pPr>
    </w:p>
    <w:p w14:paraId="2D317FB1" w14:textId="186A8D1C" w:rsidR="00A064F3" w:rsidRDefault="00505A0C" w:rsidP="00505A0C">
      <w:pPr>
        <w:spacing w:after="0"/>
        <w:jc w:val="both"/>
        <w:rPr>
          <w:rFonts w:ascii="Arial" w:hAnsi="Arial" w:cs="Arial"/>
          <w:sz w:val="18"/>
          <w:szCs w:val="18"/>
        </w:rPr>
      </w:pPr>
      <w:r w:rsidRPr="00505A0C">
        <w:rPr>
          <w:rFonts w:ascii="Arial" w:hAnsi="Arial" w:cs="Arial"/>
          <w:b/>
          <w:sz w:val="18"/>
          <w:szCs w:val="18"/>
        </w:rPr>
        <w:t>Servicio Minorista Móvil Satelital:</w:t>
      </w:r>
      <w:r w:rsidRPr="00505A0C">
        <w:rPr>
          <w:rFonts w:ascii="Arial" w:hAnsi="Arial" w:cs="Arial"/>
          <w:sz w:val="18"/>
          <w:szCs w:val="18"/>
        </w:rPr>
        <w:t xml:space="preserve"> Servicio inalámbrico, donde un Operador provee Acceso a los Servicios de Transporte de Voz, Transferencia de Datos y envió/recepción de SMS mediante un Sistema de Comunicación Satelital</w:t>
      </w:r>
      <w:r>
        <w:rPr>
          <w:rFonts w:ascii="Arial" w:hAnsi="Arial" w:cs="Arial"/>
          <w:sz w:val="18"/>
          <w:szCs w:val="18"/>
        </w:rPr>
        <w:t>.</w:t>
      </w:r>
    </w:p>
    <w:p w14:paraId="4AB42BE9" w14:textId="5638F8E1" w:rsidR="00505A0C" w:rsidRDefault="00505A0C" w:rsidP="00505A0C">
      <w:pPr>
        <w:spacing w:after="0"/>
        <w:jc w:val="both"/>
        <w:rPr>
          <w:rFonts w:ascii="Arial" w:hAnsi="Arial" w:cs="Arial"/>
          <w:sz w:val="18"/>
          <w:szCs w:val="18"/>
        </w:rPr>
      </w:pPr>
    </w:p>
    <w:p w14:paraId="62B0C646" w14:textId="77777777" w:rsidR="00505A0C" w:rsidRDefault="00505A0C">
      <w:pPr>
        <w:spacing w:after="160" w:line="259" w:lineRule="auto"/>
        <w:rPr>
          <w:rFonts w:ascii="Arial" w:hAnsi="Arial" w:cs="Arial"/>
          <w:sz w:val="18"/>
          <w:szCs w:val="18"/>
        </w:rPr>
      </w:pPr>
      <w:r>
        <w:rPr>
          <w:rFonts w:ascii="Arial" w:hAnsi="Arial" w:cs="Arial"/>
          <w:sz w:val="18"/>
          <w:szCs w:val="18"/>
        </w:rPr>
        <w:br w:type="page"/>
      </w:r>
    </w:p>
    <w:p w14:paraId="526A61DB" w14:textId="69AB8523" w:rsidR="00505A0C" w:rsidRPr="006E5A46" w:rsidRDefault="00505A0C" w:rsidP="00505A0C">
      <w:pPr>
        <w:spacing w:after="0"/>
        <w:jc w:val="both"/>
        <w:rPr>
          <w:rFonts w:ascii="Arial" w:hAnsi="Arial" w:cs="Arial"/>
          <w:b/>
          <w:sz w:val="18"/>
          <w:szCs w:val="18"/>
        </w:rPr>
      </w:pPr>
      <w:bookmarkStart w:id="0" w:name="_Hlk177486111"/>
      <w:r w:rsidRPr="006E5A46">
        <w:rPr>
          <w:rFonts w:ascii="Arial" w:hAnsi="Arial" w:cs="Arial"/>
          <w:b/>
          <w:sz w:val="18"/>
          <w:szCs w:val="18"/>
        </w:rPr>
        <w:lastRenderedPageBreak/>
        <w:t>Anexo B. Instrucciones para la presentación de trámites relacionados con los Lineamientos para integrar el Acervo Estadístico del Instituto Federal de Telecomunicaciones.</w:t>
      </w:r>
    </w:p>
    <w:bookmarkEnd w:id="0"/>
    <w:p w14:paraId="741F86A0" w14:textId="5D16C117" w:rsidR="00505A0C" w:rsidRDefault="00505A0C" w:rsidP="00505A0C">
      <w:pPr>
        <w:spacing w:after="0"/>
        <w:jc w:val="both"/>
        <w:rPr>
          <w:rFonts w:ascii="Arial" w:hAnsi="Arial" w:cs="Arial"/>
          <w:sz w:val="18"/>
          <w:szCs w:val="18"/>
        </w:rPr>
      </w:pPr>
    </w:p>
    <w:p w14:paraId="4CFA89DD" w14:textId="4D1A71EE" w:rsidR="00505A0C" w:rsidRDefault="00505A0C" w:rsidP="00505A0C">
      <w:pPr>
        <w:spacing w:after="0"/>
        <w:jc w:val="both"/>
        <w:rPr>
          <w:rFonts w:ascii="Arial" w:hAnsi="Arial" w:cs="Arial"/>
          <w:sz w:val="18"/>
          <w:szCs w:val="18"/>
        </w:rPr>
      </w:pPr>
      <w:r w:rsidRPr="00505A0C">
        <w:rPr>
          <w:rFonts w:ascii="Arial" w:hAnsi="Arial" w:cs="Arial"/>
          <w:sz w:val="18"/>
          <w:szCs w:val="18"/>
        </w:rPr>
        <w:t>Los trámites que el Operador puede realizar en el marco de los Lineamientos para integrar el Acervo Estadístico del Instituto Federal de Telecomunicaciones y las instrucciones de llenado correspondientes se resumen en el siguiente cuadro:</w:t>
      </w:r>
    </w:p>
    <w:p w14:paraId="0A9189D0" w14:textId="5761AA94" w:rsidR="00505A0C" w:rsidRDefault="00505A0C" w:rsidP="00505A0C">
      <w:pPr>
        <w:spacing w:after="0"/>
        <w:jc w:val="both"/>
        <w:rPr>
          <w:rFonts w:ascii="Arial" w:hAnsi="Arial" w:cs="Arial"/>
          <w:sz w:val="18"/>
          <w:szCs w:val="18"/>
        </w:rPr>
      </w:pPr>
    </w:p>
    <w:p w14:paraId="58D9D8F7" w14:textId="412F9B33" w:rsidR="00505A0C" w:rsidRDefault="00CE0B10" w:rsidP="00505A0C">
      <w:pPr>
        <w:spacing w:after="0"/>
        <w:jc w:val="both"/>
        <w:rPr>
          <w:rFonts w:ascii="Arial" w:hAnsi="Arial" w:cs="Arial"/>
          <w:sz w:val="18"/>
          <w:szCs w:val="18"/>
        </w:rPr>
      </w:pPr>
      <w:r w:rsidRPr="00CE0B10">
        <w:rPr>
          <w:rFonts w:ascii="Arial" w:hAnsi="Arial" w:cs="Arial"/>
          <w:noProof/>
          <w:sz w:val="18"/>
          <w:szCs w:val="18"/>
        </w:rPr>
        <w:drawing>
          <wp:inline distT="0" distB="0" distL="0" distR="0" wp14:anchorId="5A61D1F0" wp14:editId="02E6DBB2">
            <wp:extent cx="5971540" cy="43554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1540" cy="4355465"/>
                    </a:xfrm>
                    <a:prstGeom prst="rect">
                      <a:avLst/>
                    </a:prstGeom>
                  </pic:spPr>
                </pic:pic>
              </a:graphicData>
            </a:graphic>
          </wp:inline>
        </w:drawing>
      </w:r>
    </w:p>
    <w:p w14:paraId="6AA29FFE" w14:textId="77777777" w:rsidR="00CE0B10" w:rsidRDefault="00CE0B10" w:rsidP="00505A0C">
      <w:pPr>
        <w:spacing w:after="0"/>
        <w:jc w:val="both"/>
        <w:rPr>
          <w:rFonts w:ascii="Arial" w:hAnsi="Arial" w:cs="Arial"/>
          <w:sz w:val="18"/>
          <w:szCs w:val="18"/>
        </w:rPr>
      </w:pPr>
    </w:p>
    <w:p w14:paraId="2DBB8D10" w14:textId="6D86E240" w:rsidR="00505A0C" w:rsidRPr="00505A0C" w:rsidRDefault="00505A0C" w:rsidP="00505A0C">
      <w:pPr>
        <w:spacing w:after="0"/>
        <w:jc w:val="both"/>
        <w:rPr>
          <w:rFonts w:ascii="Arial" w:hAnsi="Arial" w:cs="Arial"/>
          <w:sz w:val="18"/>
          <w:szCs w:val="18"/>
        </w:rPr>
      </w:pPr>
      <w:r w:rsidRPr="00505A0C">
        <w:rPr>
          <w:rFonts w:ascii="Arial" w:hAnsi="Arial" w:cs="Arial"/>
          <w:sz w:val="18"/>
          <w:szCs w:val="18"/>
        </w:rPr>
        <w:t xml:space="preserve">El llenado antes señalado debe realizarse en la Sección 1. Tipo de solicitud de cada eFormato que se presente. Asimismo, deberá llenar los datos solicitados en la Sección 2. Datos generales del Operador. Estas secciones del eFormato deberán adjuntarse en PDF a los archivos CSV que contienen la información solicitada. </w:t>
      </w:r>
    </w:p>
    <w:p w14:paraId="0F1F60FA" w14:textId="77777777" w:rsidR="00505A0C" w:rsidRPr="00505A0C" w:rsidRDefault="00505A0C" w:rsidP="00505A0C">
      <w:pPr>
        <w:spacing w:after="0"/>
        <w:jc w:val="both"/>
        <w:rPr>
          <w:rFonts w:ascii="Arial" w:hAnsi="Arial" w:cs="Arial"/>
          <w:sz w:val="18"/>
          <w:szCs w:val="18"/>
        </w:rPr>
      </w:pPr>
    </w:p>
    <w:p w14:paraId="5857A848" w14:textId="5797A769" w:rsidR="00505A0C" w:rsidRDefault="00505A0C" w:rsidP="00505A0C">
      <w:pPr>
        <w:spacing w:after="0"/>
        <w:jc w:val="both"/>
        <w:rPr>
          <w:rFonts w:ascii="Arial" w:hAnsi="Arial" w:cs="Arial"/>
          <w:sz w:val="18"/>
          <w:szCs w:val="18"/>
        </w:rPr>
      </w:pPr>
      <w:r w:rsidRPr="00505A0C">
        <w:rPr>
          <w:rFonts w:ascii="Arial" w:hAnsi="Arial" w:cs="Arial"/>
          <w:sz w:val="18"/>
          <w:szCs w:val="18"/>
        </w:rPr>
        <w:t>Las instrucciones mencionadas aplican para los eFormatos listados en el Lineamiento Cuarto, sin embargo, el eFormato R02</w:t>
      </w:r>
      <w:r w:rsidR="0000798E">
        <w:rPr>
          <w:rFonts w:ascii="Arial" w:hAnsi="Arial" w:cs="Arial"/>
          <w:sz w:val="18"/>
          <w:szCs w:val="18"/>
        </w:rPr>
        <w:t>6</w:t>
      </w:r>
      <w:r w:rsidRPr="00505A0C">
        <w:rPr>
          <w:rFonts w:ascii="Arial" w:hAnsi="Arial" w:cs="Arial"/>
          <w:sz w:val="18"/>
          <w:szCs w:val="18"/>
        </w:rPr>
        <w:t xml:space="preserve"> cuenta con algunas opciones adicionales que se señalan a continuación:</w:t>
      </w:r>
    </w:p>
    <w:p w14:paraId="37962C52" w14:textId="07915AEA" w:rsidR="00CE0B10" w:rsidRDefault="00CE0B10" w:rsidP="00505A0C">
      <w:pPr>
        <w:spacing w:after="0"/>
        <w:jc w:val="both"/>
        <w:rPr>
          <w:rFonts w:ascii="Arial" w:hAnsi="Arial" w:cs="Arial"/>
          <w:sz w:val="18"/>
          <w:szCs w:val="18"/>
        </w:rPr>
      </w:pPr>
    </w:p>
    <w:p w14:paraId="3DBD0BE7" w14:textId="77777777" w:rsidR="00CE0B10" w:rsidRDefault="00CE0B10" w:rsidP="00505A0C">
      <w:pPr>
        <w:spacing w:after="0"/>
        <w:jc w:val="both"/>
        <w:rPr>
          <w:rFonts w:ascii="Arial" w:hAnsi="Arial" w:cs="Arial"/>
          <w:sz w:val="18"/>
          <w:szCs w:val="18"/>
        </w:rPr>
      </w:pPr>
    </w:p>
    <w:tbl>
      <w:tblPr>
        <w:tblW w:w="9388"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979"/>
        <w:gridCol w:w="3419"/>
        <w:gridCol w:w="2250"/>
        <w:gridCol w:w="1740"/>
      </w:tblGrid>
      <w:tr w:rsidR="00B10381" w:rsidRPr="009825E8" w14:paraId="48361DD6" w14:textId="77777777" w:rsidTr="008240E8">
        <w:trPr>
          <w:trHeight w:val="300"/>
        </w:trPr>
        <w:tc>
          <w:tcPr>
            <w:tcW w:w="197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2FBDD64" w14:textId="14010C5B" w:rsidR="00B10381" w:rsidRPr="009825E8" w:rsidRDefault="00B10381" w:rsidP="00B10381">
            <w:pPr>
              <w:spacing w:after="0" w:line="240" w:lineRule="auto"/>
              <w:jc w:val="center"/>
              <w:textAlignment w:val="baseline"/>
              <w:rPr>
                <w:rFonts w:ascii="Segoe UI" w:eastAsia="Times New Roman" w:hAnsi="Segoe UI" w:cs="Segoe UI"/>
                <w:sz w:val="18"/>
                <w:szCs w:val="18"/>
                <w:lang w:val="es-MX" w:eastAsia="es-MX"/>
              </w:rPr>
            </w:pPr>
            <w:r w:rsidRPr="009825E8">
              <w:rPr>
                <w:rFonts w:ascii="Arial" w:eastAsia="Times New Roman" w:hAnsi="Arial" w:cs="Arial"/>
                <w:b/>
                <w:bCs/>
                <w:sz w:val="18"/>
                <w:szCs w:val="18"/>
                <w:lang w:eastAsia="es-MX"/>
              </w:rPr>
              <w:t>Proceso</w:t>
            </w:r>
            <w:r w:rsidRPr="009825E8">
              <w:rPr>
                <w:rFonts w:ascii="Arial" w:eastAsia="Times New Roman" w:hAnsi="Arial" w:cs="Arial"/>
                <w:sz w:val="18"/>
                <w:szCs w:val="18"/>
                <w:lang w:val="es-MX" w:eastAsia="es-MX"/>
              </w:rPr>
              <w:t> </w:t>
            </w:r>
          </w:p>
        </w:tc>
        <w:tc>
          <w:tcPr>
            <w:tcW w:w="341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368E64D" w14:textId="77777777" w:rsidR="00B10381" w:rsidRPr="009825E8" w:rsidRDefault="00B10381" w:rsidP="008240E8">
            <w:pPr>
              <w:spacing w:after="0" w:line="240" w:lineRule="auto"/>
              <w:jc w:val="center"/>
              <w:textAlignment w:val="baseline"/>
              <w:rPr>
                <w:rFonts w:ascii="Segoe UI" w:eastAsia="Times New Roman" w:hAnsi="Segoe UI" w:cs="Segoe UI"/>
                <w:sz w:val="18"/>
                <w:szCs w:val="18"/>
                <w:lang w:val="es-MX" w:eastAsia="es-MX"/>
              </w:rPr>
            </w:pPr>
            <w:r w:rsidRPr="009825E8">
              <w:rPr>
                <w:rFonts w:ascii="Arial" w:eastAsia="Times New Roman" w:hAnsi="Arial" w:cs="Arial"/>
                <w:b/>
                <w:bCs/>
                <w:sz w:val="18"/>
                <w:szCs w:val="18"/>
                <w:lang w:eastAsia="es-MX"/>
              </w:rPr>
              <w:t>Instrucciones de llenado</w:t>
            </w:r>
            <w:r w:rsidRPr="009825E8">
              <w:rPr>
                <w:rFonts w:ascii="Arial" w:eastAsia="Times New Roman" w:hAnsi="Arial" w:cs="Arial"/>
                <w:sz w:val="18"/>
                <w:szCs w:val="18"/>
                <w:lang w:val="es-MX" w:eastAsia="es-MX"/>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57C874" w14:textId="77777777" w:rsidR="00B10381" w:rsidRPr="009825E8" w:rsidRDefault="00B10381" w:rsidP="008240E8">
            <w:pPr>
              <w:spacing w:after="0" w:line="240" w:lineRule="auto"/>
              <w:jc w:val="center"/>
              <w:textAlignment w:val="baseline"/>
              <w:rPr>
                <w:rFonts w:ascii="Segoe UI" w:eastAsia="Times New Roman" w:hAnsi="Segoe UI" w:cs="Segoe UI"/>
                <w:sz w:val="18"/>
                <w:szCs w:val="18"/>
                <w:lang w:val="es-MX" w:eastAsia="es-MX"/>
              </w:rPr>
            </w:pPr>
            <w:r w:rsidRPr="009825E8">
              <w:rPr>
                <w:rFonts w:ascii="Arial" w:eastAsia="Times New Roman" w:hAnsi="Arial" w:cs="Arial"/>
                <w:b/>
                <w:bCs/>
                <w:sz w:val="18"/>
                <w:szCs w:val="18"/>
                <w:lang w:eastAsia="es-MX"/>
              </w:rPr>
              <w:t>Temporalidad</w:t>
            </w:r>
            <w:r w:rsidRPr="009825E8">
              <w:rPr>
                <w:rFonts w:ascii="Arial" w:eastAsia="Times New Roman" w:hAnsi="Arial" w:cs="Arial"/>
                <w:sz w:val="18"/>
                <w:szCs w:val="18"/>
                <w:lang w:val="es-MX" w:eastAsia="es-MX"/>
              </w:rPr>
              <w:t> </w:t>
            </w:r>
          </w:p>
        </w:tc>
        <w:tc>
          <w:tcPr>
            <w:tcW w:w="17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4B1E8A0" w14:textId="77777777" w:rsidR="00B10381" w:rsidRPr="009825E8" w:rsidRDefault="00B10381" w:rsidP="00B10381">
            <w:pPr>
              <w:spacing w:after="0" w:line="240" w:lineRule="auto"/>
              <w:jc w:val="center"/>
              <w:textAlignment w:val="baseline"/>
              <w:rPr>
                <w:rFonts w:ascii="Segoe UI" w:eastAsia="Times New Roman" w:hAnsi="Segoe UI" w:cs="Segoe UI"/>
                <w:sz w:val="18"/>
                <w:szCs w:val="18"/>
                <w:lang w:val="es-MX" w:eastAsia="es-MX"/>
              </w:rPr>
            </w:pPr>
            <w:r w:rsidRPr="009825E8">
              <w:rPr>
                <w:rFonts w:ascii="Arial" w:eastAsia="Times New Roman" w:hAnsi="Arial" w:cs="Arial"/>
                <w:b/>
                <w:bCs/>
                <w:sz w:val="18"/>
                <w:szCs w:val="18"/>
                <w:lang w:eastAsia="es-MX"/>
              </w:rPr>
              <w:t>Fundamento legal</w:t>
            </w:r>
            <w:r w:rsidRPr="009825E8">
              <w:rPr>
                <w:rFonts w:ascii="Arial" w:eastAsia="Times New Roman" w:hAnsi="Arial" w:cs="Arial"/>
                <w:sz w:val="18"/>
                <w:szCs w:val="18"/>
                <w:lang w:val="es-MX" w:eastAsia="es-MX"/>
              </w:rPr>
              <w:t> </w:t>
            </w:r>
          </w:p>
        </w:tc>
      </w:tr>
      <w:tr w:rsidR="00B10381" w:rsidRPr="009825E8" w14:paraId="7E7780FC" w14:textId="77777777" w:rsidTr="008240E8">
        <w:trPr>
          <w:trHeight w:val="300"/>
        </w:trPr>
        <w:tc>
          <w:tcPr>
            <w:tcW w:w="1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3812B" w14:textId="77777777" w:rsidR="00B10381" w:rsidRPr="009825E8" w:rsidRDefault="00B10381" w:rsidP="00B10381">
            <w:pPr>
              <w:spacing w:after="0" w:line="240" w:lineRule="auto"/>
              <w:jc w:val="center"/>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Registro de servicios comercializados y supuestos</w:t>
            </w:r>
            <w:r w:rsidRPr="009825E8">
              <w:rPr>
                <w:rFonts w:ascii="Arial" w:eastAsia="Times New Roman" w:hAnsi="Arial" w:cs="Arial"/>
                <w:sz w:val="18"/>
                <w:szCs w:val="18"/>
                <w:lang w:val="es-MX" w:eastAsia="es-MX"/>
              </w:rPr>
              <w:t> </w:t>
            </w:r>
          </w:p>
        </w:tc>
        <w:tc>
          <w:tcPr>
            <w:tcW w:w="34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F3412" w14:textId="6E596BB1"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El operador deberá entregar bajo protesta de decir verdad la información requerida en el eFormato R02</w:t>
            </w:r>
            <w:r w:rsidR="009825E8">
              <w:rPr>
                <w:rFonts w:ascii="Arial" w:eastAsia="Times New Roman" w:hAnsi="Arial" w:cs="Arial"/>
                <w:sz w:val="18"/>
                <w:szCs w:val="18"/>
                <w:lang w:eastAsia="es-MX"/>
              </w:rPr>
              <w:t>6</w:t>
            </w:r>
            <w:r w:rsidRPr="009825E8">
              <w:rPr>
                <w:rFonts w:ascii="Arial" w:eastAsia="Times New Roman" w:hAnsi="Arial" w:cs="Arial"/>
                <w:sz w:val="18"/>
                <w:szCs w:val="18"/>
                <w:lang w:val="es-MX" w:eastAsia="es-MX"/>
              </w:rPr>
              <w:t> </w:t>
            </w:r>
          </w:p>
          <w:p w14:paraId="781D947E" w14:textId="77777777"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Marcar en la carátula de dicho eFormato el procedimiento denominado “</w:t>
            </w:r>
            <w:r w:rsidRPr="009825E8">
              <w:rPr>
                <w:rFonts w:ascii="Arial" w:eastAsia="Times New Roman" w:hAnsi="Arial" w:cs="Arial"/>
                <w:sz w:val="18"/>
                <w:szCs w:val="18"/>
                <w:u w:val="single"/>
                <w:lang w:eastAsia="es-MX"/>
              </w:rPr>
              <w:t>Registro inicial</w:t>
            </w:r>
            <w:r w:rsidRPr="009825E8">
              <w:rPr>
                <w:rFonts w:ascii="Arial" w:eastAsia="Times New Roman" w:hAnsi="Arial" w:cs="Arial"/>
                <w:sz w:val="18"/>
                <w:szCs w:val="18"/>
                <w:lang w:eastAsia="es-MX"/>
              </w:rPr>
              <w:t>”.</w:t>
            </w:r>
            <w:r w:rsidRPr="009825E8">
              <w:rPr>
                <w:rFonts w:ascii="Arial" w:eastAsia="Times New Roman" w:hAnsi="Arial" w:cs="Arial"/>
                <w:sz w:val="18"/>
                <w:szCs w:val="18"/>
                <w:lang w:val="es-MX" w:eastAsia="es-MX"/>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68CA7" w14:textId="77777777"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La entrega se realizará en cualquier momento del año, antes de entregar por primera vez la información marcada en el Lineamiento Décimo cuarto y Décimo quinto.</w:t>
            </w:r>
            <w:r w:rsidRPr="009825E8">
              <w:rPr>
                <w:rFonts w:ascii="Arial" w:eastAsia="Times New Roman" w:hAnsi="Arial" w:cs="Arial"/>
                <w:sz w:val="18"/>
                <w:szCs w:val="18"/>
                <w:lang w:val="es-MX" w:eastAsia="es-MX"/>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EA548" w14:textId="77777777" w:rsidR="00B10381" w:rsidRPr="009825E8" w:rsidRDefault="00B10381" w:rsidP="00B10381">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Lineamiento Octavo</w:t>
            </w:r>
            <w:r w:rsidRPr="009825E8">
              <w:rPr>
                <w:rFonts w:ascii="Arial" w:eastAsia="Times New Roman" w:hAnsi="Arial" w:cs="Arial"/>
                <w:sz w:val="18"/>
                <w:szCs w:val="18"/>
                <w:lang w:val="es-MX" w:eastAsia="es-MX"/>
              </w:rPr>
              <w:t> </w:t>
            </w:r>
          </w:p>
        </w:tc>
      </w:tr>
      <w:tr w:rsidR="00B10381" w:rsidRPr="009825E8" w14:paraId="73073346" w14:textId="77777777" w:rsidTr="008240E8">
        <w:trPr>
          <w:trHeight w:val="300"/>
        </w:trPr>
        <w:tc>
          <w:tcPr>
            <w:tcW w:w="1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C4ED7" w14:textId="77777777" w:rsidR="00B10381" w:rsidRPr="009825E8" w:rsidRDefault="00B10381" w:rsidP="00B10381">
            <w:pPr>
              <w:spacing w:after="0" w:line="240" w:lineRule="auto"/>
              <w:jc w:val="center"/>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lastRenderedPageBreak/>
              <w:t>Actualización del Registro de servicios comercializados</w:t>
            </w:r>
            <w:r w:rsidRPr="009825E8">
              <w:rPr>
                <w:rFonts w:ascii="Arial" w:eastAsia="Times New Roman" w:hAnsi="Arial" w:cs="Arial"/>
                <w:sz w:val="18"/>
                <w:szCs w:val="18"/>
                <w:lang w:val="es-MX" w:eastAsia="es-MX"/>
              </w:rPr>
              <w:t> </w:t>
            </w:r>
          </w:p>
        </w:tc>
        <w:tc>
          <w:tcPr>
            <w:tcW w:w="34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95B5C" w14:textId="7FCA0EA3"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Marcar en la carátula del eFormato R02</w:t>
            </w:r>
            <w:r w:rsidR="009825E8">
              <w:rPr>
                <w:rFonts w:ascii="Arial" w:eastAsia="Times New Roman" w:hAnsi="Arial" w:cs="Arial"/>
                <w:sz w:val="18"/>
                <w:szCs w:val="18"/>
                <w:lang w:eastAsia="es-MX"/>
              </w:rPr>
              <w:t>6</w:t>
            </w:r>
            <w:r w:rsidRPr="009825E8">
              <w:rPr>
                <w:rFonts w:ascii="Arial" w:eastAsia="Times New Roman" w:hAnsi="Arial" w:cs="Arial"/>
                <w:sz w:val="18"/>
                <w:szCs w:val="18"/>
                <w:lang w:eastAsia="es-MX"/>
              </w:rPr>
              <w:t xml:space="preserve"> el procedimiento denominado “</w:t>
            </w:r>
            <w:r w:rsidRPr="009825E8">
              <w:rPr>
                <w:rFonts w:ascii="Arial" w:eastAsia="Times New Roman" w:hAnsi="Arial" w:cs="Arial"/>
                <w:sz w:val="18"/>
                <w:szCs w:val="18"/>
                <w:u w:val="single"/>
                <w:lang w:eastAsia="es-MX"/>
              </w:rPr>
              <w:t>Actualización de registro</w:t>
            </w:r>
            <w:r w:rsidRPr="009825E8">
              <w:rPr>
                <w:rFonts w:ascii="Arial" w:eastAsia="Times New Roman" w:hAnsi="Arial" w:cs="Arial"/>
                <w:sz w:val="18"/>
                <w:szCs w:val="18"/>
                <w:lang w:eastAsia="es-MX"/>
              </w:rPr>
              <w:t>”.</w:t>
            </w:r>
            <w:r w:rsidRPr="009825E8">
              <w:rPr>
                <w:rFonts w:ascii="Arial" w:eastAsia="Times New Roman" w:hAnsi="Arial" w:cs="Arial"/>
                <w:sz w:val="18"/>
                <w:szCs w:val="18"/>
                <w:lang w:val="es-MX" w:eastAsia="es-MX"/>
              </w:rPr>
              <w:t> </w:t>
            </w:r>
          </w:p>
          <w:p w14:paraId="0C829651" w14:textId="77777777"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Proporcionar los datos del “</w:t>
            </w:r>
            <w:r w:rsidRPr="009825E8">
              <w:rPr>
                <w:rFonts w:ascii="Arial" w:eastAsia="Times New Roman" w:hAnsi="Arial" w:cs="Arial"/>
                <w:sz w:val="18"/>
                <w:szCs w:val="18"/>
                <w:u w:val="single"/>
                <w:lang w:eastAsia="es-MX"/>
              </w:rPr>
              <w:t>Folio del Acuse</w:t>
            </w:r>
            <w:r w:rsidRPr="009825E8">
              <w:rPr>
                <w:rFonts w:ascii="Arial" w:eastAsia="Times New Roman" w:hAnsi="Arial" w:cs="Arial"/>
                <w:sz w:val="18"/>
                <w:szCs w:val="18"/>
                <w:lang w:eastAsia="es-MX"/>
              </w:rPr>
              <w:t>” y “</w:t>
            </w:r>
            <w:r w:rsidRPr="009825E8">
              <w:rPr>
                <w:rFonts w:ascii="Arial" w:eastAsia="Times New Roman" w:hAnsi="Arial" w:cs="Arial"/>
                <w:sz w:val="18"/>
                <w:szCs w:val="18"/>
                <w:u w:val="single"/>
                <w:lang w:eastAsia="es-MX"/>
              </w:rPr>
              <w:t>Fecha del Acuse</w:t>
            </w:r>
            <w:r w:rsidRPr="009825E8">
              <w:rPr>
                <w:rFonts w:ascii="Arial" w:eastAsia="Times New Roman" w:hAnsi="Arial" w:cs="Arial"/>
                <w:sz w:val="18"/>
                <w:szCs w:val="18"/>
                <w:lang w:eastAsia="es-MX"/>
              </w:rPr>
              <w:t>” del Registro de servicios comercializados vigente.</w:t>
            </w:r>
            <w:r w:rsidRPr="009825E8">
              <w:rPr>
                <w:rFonts w:ascii="Arial" w:eastAsia="Times New Roman" w:hAnsi="Arial" w:cs="Arial"/>
                <w:sz w:val="18"/>
                <w:szCs w:val="18"/>
                <w:lang w:val="es-MX" w:eastAsia="es-MX"/>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D5641" w14:textId="77777777"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Dentro de los primeros 20 días hábiles de cada año calendario, si al menos cumple con una de con las condiciones del Lineamiento Noveno.</w:t>
            </w:r>
            <w:r w:rsidRPr="009825E8">
              <w:rPr>
                <w:rFonts w:ascii="Arial" w:eastAsia="Times New Roman" w:hAnsi="Arial" w:cs="Arial"/>
                <w:sz w:val="18"/>
                <w:szCs w:val="18"/>
                <w:lang w:val="es-MX" w:eastAsia="es-MX"/>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2B143" w14:textId="77777777" w:rsidR="00B10381" w:rsidRPr="009825E8" w:rsidRDefault="00B10381" w:rsidP="00B10381">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Lineamiento Noveno</w:t>
            </w:r>
            <w:r w:rsidRPr="009825E8">
              <w:rPr>
                <w:rFonts w:ascii="Arial" w:eastAsia="Times New Roman" w:hAnsi="Arial" w:cs="Arial"/>
                <w:sz w:val="18"/>
                <w:szCs w:val="18"/>
                <w:lang w:val="es-MX" w:eastAsia="es-MX"/>
              </w:rPr>
              <w:t> </w:t>
            </w:r>
          </w:p>
        </w:tc>
      </w:tr>
      <w:tr w:rsidR="00B10381" w:rsidRPr="009825E8" w14:paraId="43D8AF35" w14:textId="77777777" w:rsidTr="008240E8">
        <w:trPr>
          <w:trHeight w:val="300"/>
        </w:trPr>
        <w:tc>
          <w:tcPr>
            <w:tcW w:w="1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6FFC2" w14:textId="77777777" w:rsidR="00B10381" w:rsidRPr="009825E8" w:rsidRDefault="00B10381" w:rsidP="00B10381">
            <w:pPr>
              <w:spacing w:after="0" w:line="240" w:lineRule="auto"/>
              <w:jc w:val="center"/>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Actualización de información de contacto</w:t>
            </w:r>
            <w:r w:rsidRPr="009825E8">
              <w:rPr>
                <w:rFonts w:ascii="Arial" w:eastAsia="Times New Roman" w:hAnsi="Arial" w:cs="Arial"/>
                <w:sz w:val="18"/>
                <w:szCs w:val="18"/>
                <w:lang w:val="es-MX" w:eastAsia="es-MX"/>
              </w:rPr>
              <w:t> </w:t>
            </w:r>
          </w:p>
        </w:tc>
        <w:tc>
          <w:tcPr>
            <w:tcW w:w="34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EB515" w14:textId="05A07C74"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Marcar en la carátula del eFormato R02</w:t>
            </w:r>
            <w:r w:rsidR="009825E8">
              <w:rPr>
                <w:rFonts w:ascii="Arial" w:eastAsia="Times New Roman" w:hAnsi="Arial" w:cs="Arial"/>
                <w:sz w:val="18"/>
                <w:szCs w:val="18"/>
                <w:lang w:eastAsia="es-MX"/>
              </w:rPr>
              <w:t>6</w:t>
            </w:r>
            <w:r w:rsidRPr="009825E8">
              <w:rPr>
                <w:rFonts w:ascii="Arial" w:eastAsia="Times New Roman" w:hAnsi="Arial" w:cs="Arial"/>
                <w:sz w:val="18"/>
                <w:szCs w:val="18"/>
                <w:lang w:eastAsia="es-MX"/>
              </w:rPr>
              <w:t xml:space="preserve"> el procedimiento denominado “</w:t>
            </w:r>
            <w:r w:rsidRPr="009825E8">
              <w:rPr>
                <w:rFonts w:ascii="Arial" w:eastAsia="Times New Roman" w:hAnsi="Arial" w:cs="Arial"/>
                <w:sz w:val="18"/>
                <w:szCs w:val="18"/>
                <w:u w:val="single"/>
                <w:lang w:eastAsia="es-MX"/>
              </w:rPr>
              <w:t>Actualización de información de contacto</w:t>
            </w:r>
            <w:r w:rsidRPr="009825E8">
              <w:rPr>
                <w:rFonts w:ascii="Arial" w:eastAsia="Times New Roman" w:hAnsi="Arial" w:cs="Arial"/>
                <w:sz w:val="18"/>
                <w:szCs w:val="18"/>
                <w:lang w:eastAsia="es-MX"/>
              </w:rPr>
              <w:t>”</w:t>
            </w:r>
            <w:r w:rsidRPr="009825E8">
              <w:rPr>
                <w:rFonts w:ascii="Arial" w:eastAsia="Times New Roman" w:hAnsi="Arial" w:cs="Arial"/>
                <w:sz w:val="18"/>
                <w:szCs w:val="18"/>
                <w:lang w:val="es-MX" w:eastAsia="es-MX"/>
              </w:rPr>
              <w:t> </w:t>
            </w:r>
          </w:p>
          <w:p w14:paraId="4105A6FE" w14:textId="77777777"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 xml:space="preserve">Proporcionar los datos del </w:t>
            </w:r>
            <w:r w:rsidRPr="009825E8">
              <w:rPr>
                <w:rFonts w:ascii="Arial" w:eastAsia="Times New Roman" w:hAnsi="Arial" w:cs="Arial"/>
                <w:sz w:val="18"/>
                <w:szCs w:val="18"/>
                <w:u w:val="single"/>
                <w:lang w:eastAsia="es-MX"/>
              </w:rPr>
              <w:t>“Folio del Acuse</w:t>
            </w:r>
            <w:r w:rsidRPr="009825E8">
              <w:rPr>
                <w:rFonts w:ascii="Arial" w:eastAsia="Times New Roman" w:hAnsi="Arial" w:cs="Arial"/>
                <w:sz w:val="18"/>
                <w:szCs w:val="18"/>
                <w:lang w:eastAsia="es-MX"/>
              </w:rPr>
              <w:t>” y “</w:t>
            </w:r>
            <w:r w:rsidRPr="009825E8">
              <w:rPr>
                <w:rFonts w:ascii="Arial" w:eastAsia="Times New Roman" w:hAnsi="Arial" w:cs="Arial"/>
                <w:sz w:val="18"/>
                <w:szCs w:val="18"/>
                <w:u w:val="single"/>
                <w:lang w:eastAsia="es-MX"/>
              </w:rPr>
              <w:t>Fecha del Acuse</w:t>
            </w:r>
            <w:r w:rsidRPr="009825E8">
              <w:rPr>
                <w:rFonts w:ascii="Arial" w:eastAsia="Times New Roman" w:hAnsi="Arial" w:cs="Arial"/>
                <w:sz w:val="18"/>
                <w:szCs w:val="18"/>
                <w:lang w:eastAsia="es-MX"/>
              </w:rPr>
              <w:t>” del Registro de servicios comercializados vigente.</w:t>
            </w:r>
            <w:r w:rsidRPr="009825E8">
              <w:rPr>
                <w:rFonts w:ascii="Arial" w:eastAsia="Times New Roman" w:hAnsi="Arial" w:cs="Arial"/>
                <w:sz w:val="18"/>
                <w:szCs w:val="18"/>
                <w:lang w:val="es-MX" w:eastAsia="es-MX"/>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4393D" w14:textId="77777777"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En el momento en que la información de contacto del Operador sufra alguna modificación.</w:t>
            </w:r>
            <w:r w:rsidRPr="009825E8">
              <w:rPr>
                <w:rFonts w:ascii="Arial" w:eastAsia="Times New Roman" w:hAnsi="Arial" w:cs="Arial"/>
                <w:sz w:val="18"/>
                <w:szCs w:val="18"/>
                <w:lang w:val="es-MX" w:eastAsia="es-MX"/>
              </w:rPr>
              <w:t> </w:t>
            </w:r>
          </w:p>
          <w:p w14:paraId="1E74A045" w14:textId="77777777" w:rsidR="00B10381" w:rsidRPr="009825E8" w:rsidRDefault="00B10381" w:rsidP="008240E8">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Para realizar dicha actualización, el Operador deberá contar con, al menos, un Registro de Servicios de Telecomunicaciones Comercializados inicial.</w:t>
            </w:r>
            <w:r w:rsidRPr="009825E8">
              <w:rPr>
                <w:rFonts w:ascii="Arial" w:eastAsia="Times New Roman" w:hAnsi="Arial" w:cs="Arial"/>
                <w:sz w:val="18"/>
                <w:szCs w:val="18"/>
                <w:lang w:val="es-MX" w:eastAsia="es-MX"/>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53900" w14:textId="77777777" w:rsidR="00B10381" w:rsidRPr="009825E8" w:rsidRDefault="00B10381" w:rsidP="00B10381">
            <w:pPr>
              <w:spacing w:after="0" w:line="240" w:lineRule="auto"/>
              <w:jc w:val="both"/>
              <w:textAlignment w:val="baseline"/>
              <w:rPr>
                <w:rFonts w:ascii="Segoe UI" w:eastAsia="Times New Roman" w:hAnsi="Segoe UI" w:cs="Segoe UI"/>
                <w:sz w:val="18"/>
                <w:szCs w:val="18"/>
                <w:lang w:val="es-MX" w:eastAsia="es-MX"/>
              </w:rPr>
            </w:pPr>
            <w:r w:rsidRPr="009825E8">
              <w:rPr>
                <w:rFonts w:ascii="Arial" w:eastAsia="Times New Roman" w:hAnsi="Arial" w:cs="Arial"/>
                <w:sz w:val="18"/>
                <w:szCs w:val="18"/>
                <w:lang w:eastAsia="es-MX"/>
              </w:rPr>
              <w:t>Lineamiento Décimo</w:t>
            </w:r>
            <w:r w:rsidRPr="009825E8">
              <w:rPr>
                <w:rFonts w:ascii="Arial" w:eastAsia="Times New Roman" w:hAnsi="Arial" w:cs="Arial"/>
                <w:sz w:val="18"/>
                <w:szCs w:val="18"/>
                <w:lang w:val="es-MX" w:eastAsia="es-MX"/>
              </w:rPr>
              <w:t> </w:t>
            </w:r>
          </w:p>
        </w:tc>
      </w:tr>
    </w:tbl>
    <w:p w14:paraId="02A0FAE5" w14:textId="77777777" w:rsidR="00B10381" w:rsidRDefault="00B10381" w:rsidP="00505A0C">
      <w:pPr>
        <w:spacing w:after="0"/>
        <w:jc w:val="both"/>
        <w:rPr>
          <w:rFonts w:ascii="Arial" w:hAnsi="Arial" w:cs="Arial"/>
          <w:sz w:val="18"/>
          <w:szCs w:val="18"/>
        </w:rPr>
      </w:pPr>
    </w:p>
    <w:p w14:paraId="363C94DF" w14:textId="78D31DB8" w:rsidR="00505A0C" w:rsidRPr="00505A0C" w:rsidRDefault="00505A0C" w:rsidP="00505A0C">
      <w:pPr>
        <w:spacing w:after="0"/>
        <w:jc w:val="both"/>
        <w:rPr>
          <w:rFonts w:ascii="Arial" w:hAnsi="Arial" w:cs="Arial"/>
          <w:sz w:val="18"/>
          <w:szCs w:val="18"/>
        </w:rPr>
      </w:pPr>
      <w:r w:rsidRPr="00505A0C">
        <w:rPr>
          <w:rFonts w:ascii="Arial" w:hAnsi="Arial" w:cs="Arial"/>
          <w:sz w:val="18"/>
          <w:szCs w:val="18"/>
        </w:rPr>
        <w:t>El llenado de la Sección 1. Tipo de solicitud del eFormato R02</w:t>
      </w:r>
      <w:r w:rsidR="00CD60CE">
        <w:rPr>
          <w:rFonts w:ascii="Arial" w:hAnsi="Arial" w:cs="Arial"/>
          <w:sz w:val="18"/>
          <w:szCs w:val="18"/>
        </w:rPr>
        <w:t>6</w:t>
      </w:r>
      <w:r w:rsidRPr="00505A0C">
        <w:rPr>
          <w:rFonts w:ascii="Arial" w:hAnsi="Arial" w:cs="Arial"/>
          <w:sz w:val="18"/>
          <w:szCs w:val="18"/>
        </w:rPr>
        <w:t xml:space="preserve"> debe realizarse de acuerdo a lo señalado en el cuadro previo, a fin de asegurarse de que el trámite se presentó de manera correcta y evitar que se deseche. En caso de que el Operador sea persona física y actúe por su propio derecho deberá señalarse como su </w:t>
      </w:r>
      <w:r w:rsidR="007E6A86">
        <w:rPr>
          <w:rFonts w:ascii="Arial" w:hAnsi="Arial" w:cs="Arial"/>
          <w:sz w:val="18"/>
          <w:szCs w:val="18"/>
        </w:rPr>
        <w:t xml:space="preserve">propio </w:t>
      </w:r>
      <w:r w:rsidRPr="00505A0C">
        <w:rPr>
          <w:rFonts w:ascii="Arial" w:hAnsi="Arial" w:cs="Arial"/>
          <w:sz w:val="18"/>
          <w:szCs w:val="18"/>
        </w:rPr>
        <w:t>representante legal en el espacio correspondiente.</w:t>
      </w:r>
    </w:p>
    <w:p w14:paraId="4D27F19F" w14:textId="77777777" w:rsidR="00505A0C" w:rsidRPr="00505A0C" w:rsidRDefault="00505A0C" w:rsidP="00505A0C">
      <w:pPr>
        <w:spacing w:after="0"/>
        <w:jc w:val="both"/>
        <w:rPr>
          <w:rFonts w:ascii="Arial" w:hAnsi="Arial" w:cs="Arial"/>
          <w:sz w:val="18"/>
          <w:szCs w:val="18"/>
        </w:rPr>
      </w:pPr>
    </w:p>
    <w:p w14:paraId="5EDCD75B" w14:textId="7AF8C720" w:rsidR="00505A0C" w:rsidRDefault="00505A0C" w:rsidP="00505A0C">
      <w:pPr>
        <w:spacing w:after="0"/>
        <w:jc w:val="both"/>
        <w:rPr>
          <w:rFonts w:ascii="Arial" w:hAnsi="Arial" w:cs="Arial"/>
          <w:sz w:val="18"/>
          <w:szCs w:val="18"/>
        </w:rPr>
      </w:pPr>
      <w:r w:rsidRPr="00505A0C">
        <w:rPr>
          <w:rFonts w:ascii="Arial" w:hAnsi="Arial" w:cs="Arial"/>
          <w:sz w:val="18"/>
          <w:szCs w:val="18"/>
        </w:rPr>
        <w:t>De acuerdo con el Lineamiento Décimo octavo, se deben considerar los siguientes criterios relativos a la información que se requiere en los Archivos de Presentación correspondientes al llenado de los distintos eFormatos:</w:t>
      </w:r>
    </w:p>
    <w:p w14:paraId="34FC0034" w14:textId="42A092BF" w:rsidR="00505A0C" w:rsidRDefault="00505A0C" w:rsidP="00505A0C">
      <w:pPr>
        <w:spacing w:after="0"/>
        <w:jc w:val="both"/>
        <w:rPr>
          <w:rFonts w:ascii="Arial" w:hAnsi="Arial" w:cs="Arial"/>
          <w:sz w:val="18"/>
          <w:szCs w:val="18"/>
        </w:rPr>
      </w:pPr>
    </w:p>
    <w:p w14:paraId="0171C192" w14:textId="58579096"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Cuando los instructivos de los indicadores de los eFormatos, hagan referencia a “otros”, se entenderá que no se debe considerar los valores de ninguno de los otros Campos presentes en ese mismo Archivo de Presentación.</w:t>
      </w:r>
    </w:p>
    <w:p w14:paraId="041BB351" w14:textId="77777777" w:rsidR="00505A0C" w:rsidRPr="00505A0C" w:rsidRDefault="00505A0C" w:rsidP="00505A0C">
      <w:pPr>
        <w:spacing w:after="0"/>
        <w:jc w:val="both"/>
        <w:rPr>
          <w:rFonts w:ascii="Arial" w:hAnsi="Arial" w:cs="Arial"/>
          <w:sz w:val="18"/>
          <w:szCs w:val="18"/>
        </w:rPr>
      </w:pPr>
    </w:p>
    <w:p w14:paraId="35BAE386" w14:textId="3252ACB9"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 xml:space="preserve">No se permite la entrega de campos vacíos en los Archivos de Presentación. Si un campo correspondiente a un desagregador del Archivo de Presentación es llenado con algún valor de la clave solicitada, los campos correspondientes a los indicadores deberán contener información. En caso de que al Operador no le aplique la entrega del indicador, deberá llenar el espacio con NA. Si el Operador no cuenta con cifras, debido a inactividad del servicio, pero sí lo provee, deberá llenar el indicador con 0 (cero). </w:t>
      </w:r>
    </w:p>
    <w:p w14:paraId="5DB75A63" w14:textId="77777777" w:rsidR="00505A0C" w:rsidRPr="00505A0C" w:rsidRDefault="00505A0C" w:rsidP="00505A0C">
      <w:pPr>
        <w:spacing w:after="0"/>
        <w:jc w:val="both"/>
        <w:rPr>
          <w:rFonts w:ascii="Arial" w:hAnsi="Arial" w:cs="Arial"/>
          <w:sz w:val="18"/>
          <w:szCs w:val="18"/>
        </w:rPr>
      </w:pPr>
    </w:p>
    <w:p w14:paraId="5E136639" w14:textId="28B91411"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No se usarán separadores de millares (comas) en los Campos que superen el valor de 999 unidades. En cambio, es obligatorio el uso del separador decimal (punto) con dos dígitos</w:t>
      </w:r>
    </w:p>
    <w:p w14:paraId="294585E1" w14:textId="77777777" w:rsidR="00505A0C" w:rsidRPr="00505A0C" w:rsidRDefault="00505A0C" w:rsidP="00505A0C">
      <w:pPr>
        <w:spacing w:after="0"/>
        <w:jc w:val="both"/>
        <w:rPr>
          <w:rFonts w:ascii="Arial" w:hAnsi="Arial" w:cs="Arial"/>
          <w:sz w:val="18"/>
          <w:szCs w:val="18"/>
        </w:rPr>
      </w:pPr>
    </w:p>
    <w:p w14:paraId="6B2DD52A" w14:textId="6146974F" w:rsid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En caso de que alguno de los montos solicitados en los eFormatos incluya transacciones en moneda extranjera, éstas se deberán convertir para su reporte a moneda nacional en la fecha de registro de la factura, de la siguiente manera:</w:t>
      </w:r>
    </w:p>
    <w:p w14:paraId="48F22753" w14:textId="77777777" w:rsidR="00505A0C" w:rsidRPr="00505A0C" w:rsidRDefault="00505A0C" w:rsidP="00505A0C">
      <w:pPr>
        <w:pStyle w:val="Prrafodelista"/>
        <w:spacing w:line="276" w:lineRule="auto"/>
        <w:rPr>
          <w:rFonts w:cs="Arial"/>
          <w:sz w:val="18"/>
          <w:szCs w:val="18"/>
        </w:rPr>
      </w:pPr>
    </w:p>
    <w:p w14:paraId="0157093D" w14:textId="329471DF" w:rsidR="00505A0C" w:rsidRPr="00505A0C" w:rsidRDefault="00505A0C" w:rsidP="00505A0C">
      <w:pPr>
        <w:pStyle w:val="Prrafodelista"/>
        <w:numPr>
          <w:ilvl w:val="0"/>
          <w:numId w:val="39"/>
        </w:numPr>
        <w:spacing w:line="276" w:lineRule="auto"/>
        <w:jc w:val="both"/>
        <w:rPr>
          <w:rFonts w:cs="Arial"/>
          <w:sz w:val="18"/>
          <w:szCs w:val="18"/>
        </w:rPr>
      </w:pPr>
      <w:r w:rsidRPr="00505A0C">
        <w:rPr>
          <w:rFonts w:cs="Arial"/>
          <w:sz w:val="18"/>
          <w:szCs w:val="18"/>
        </w:rPr>
        <w:t>En caso de ser moneda Euro, Yen o Dólar Canadiense, se utilizará el tipo de cambio publicado por el Banco de México en el Diario Oficial de la Federación del día hábil inmediato anterior a aquel en que se realizó la transacción.</w:t>
      </w:r>
    </w:p>
    <w:p w14:paraId="030A0F74" w14:textId="77777777" w:rsidR="00505A0C" w:rsidRPr="00505A0C" w:rsidRDefault="00505A0C" w:rsidP="00505A0C">
      <w:pPr>
        <w:pStyle w:val="Prrafodelista"/>
        <w:spacing w:line="276" w:lineRule="auto"/>
        <w:ind w:left="720"/>
        <w:jc w:val="both"/>
        <w:rPr>
          <w:rFonts w:cs="Arial"/>
          <w:sz w:val="18"/>
          <w:szCs w:val="18"/>
        </w:rPr>
      </w:pPr>
    </w:p>
    <w:p w14:paraId="33FF81A6" w14:textId="03E143D8" w:rsidR="00505A0C" w:rsidRPr="00505A0C" w:rsidRDefault="00505A0C" w:rsidP="00505A0C">
      <w:pPr>
        <w:pStyle w:val="Prrafodelista"/>
        <w:numPr>
          <w:ilvl w:val="0"/>
          <w:numId w:val="39"/>
        </w:numPr>
        <w:spacing w:line="276" w:lineRule="auto"/>
        <w:jc w:val="both"/>
        <w:rPr>
          <w:rFonts w:cs="Arial"/>
          <w:sz w:val="18"/>
          <w:szCs w:val="18"/>
        </w:rPr>
      </w:pPr>
      <w:r w:rsidRPr="00505A0C">
        <w:rPr>
          <w:rFonts w:cs="Arial"/>
          <w:sz w:val="18"/>
          <w:szCs w:val="18"/>
        </w:rPr>
        <w:t>Si la moneda extranjera son dólares de los Estados Unidos de América se deberá considerar el tipo de cambio FIX publicado por el Banco de México en el Diario Oficial de la Federación el día hábil inmediato anterior a aquel en que se realizó la transacción.</w:t>
      </w:r>
    </w:p>
    <w:p w14:paraId="6C1D9E98" w14:textId="77777777" w:rsidR="00505A0C" w:rsidRPr="00505A0C" w:rsidRDefault="00505A0C" w:rsidP="00505A0C">
      <w:pPr>
        <w:pStyle w:val="Prrafodelista"/>
        <w:spacing w:line="276" w:lineRule="auto"/>
        <w:ind w:left="720"/>
        <w:jc w:val="both"/>
        <w:rPr>
          <w:rFonts w:cs="Arial"/>
          <w:sz w:val="18"/>
          <w:szCs w:val="18"/>
        </w:rPr>
      </w:pPr>
    </w:p>
    <w:p w14:paraId="475A243E" w14:textId="73F4620C" w:rsidR="00505A0C" w:rsidRPr="00505A0C" w:rsidRDefault="00505A0C" w:rsidP="00505A0C">
      <w:pPr>
        <w:pStyle w:val="Prrafodelista"/>
        <w:numPr>
          <w:ilvl w:val="0"/>
          <w:numId w:val="39"/>
        </w:numPr>
        <w:spacing w:line="276" w:lineRule="auto"/>
        <w:jc w:val="both"/>
        <w:rPr>
          <w:rFonts w:cs="Arial"/>
          <w:sz w:val="18"/>
          <w:szCs w:val="18"/>
        </w:rPr>
      </w:pPr>
      <w:r w:rsidRPr="00505A0C">
        <w:rPr>
          <w:rFonts w:cs="Arial"/>
          <w:sz w:val="18"/>
          <w:szCs w:val="18"/>
        </w:rPr>
        <w:t>Si se trata de otra moneda a las arriba descritas, se deberá realizar la conversión a Dólares de los Estados Unidos de América y aplicar el supuesto del inciso b, anterior.</w:t>
      </w:r>
    </w:p>
    <w:p w14:paraId="682D39DC" w14:textId="77777777" w:rsidR="00505A0C" w:rsidRPr="00505A0C" w:rsidRDefault="00505A0C" w:rsidP="00505A0C">
      <w:pPr>
        <w:pStyle w:val="Prrafodelista"/>
        <w:spacing w:line="276" w:lineRule="auto"/>
        <w:ind w:left="720"/>
        <w:jc w:val="both"/>
        <w:rPr>
          <w:rFonts w:cs="Arial"/>
          <w:sz w:val="18"/>
          <w:szCs w:val="18"/>
        </w:rPr>
      </w:pPr>
      <w:r w:rsidRPr="00505A0C">
        <w:rPr>
          <w:rFonts w:cs="Arial"/>
          <w:sz w:val="18"/>
          <w:szCs w:val="18"/>
        </w:rPr>
        <w:t xml:space="preserve"> </w:t>
      </w:r>
    </w:p>
    <w:p w14:paraId="2A1196DF" w14:textId="30FB275F"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lastRenderedPageBreak/>
        <w:t>Para fines de los Instructivos de los eFormato, se considerarán X-play a aquellos paquetes que incluyan exactamente “X” servicios de telecomunicaciones de los definidos en el Lineamiento Tercero numerales f) y g) de los presentes Lineamientos, siendo “X” el número de servicios definidos incluidos. Estos pueden ser uniplay (un solo servicio), doble play (2 servicios), triple play (3 servicios), cuádruple play (4 servicios), quíntuple play (5 servicios), o incluso séxtuple play (6 servicios), según aplique.</w:t>
      </w:r>
    </w:p>
    <w:p w14:paraId="7FD5BCB4" w14:textId="77777777" w:rsidR="00505A0C" w:rsidRPr="00505A0C" w:rsidRDefault="00505A0C" w:rsidP="00505A0C">
      <w:pPr>
        <w:pStyle w:val="Prrafodelista"/>
        <w:spacing w:line="276" w:lineRule="auto"/>
        <w:ind w:left="720"/>
        <w:jc w:val="both"/>
        <w:rPr>
          <w:rFonts w:cs="Arial"/>
          <w:sz w:val="18"/>
          <w:szCs w:val="18"/>
        </w:rPr>
      </w:pPr>
    </w:p>
    <w:p w14:paraId="45B54179" w14:textId="2E224699"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Los ingresos se deberán contabilizar en el período en que se ejercen.</w:t>
      </w:r>
    </w:p>
    <w:p w14:paraId="559D9101" w14:textId="1A492216" w:rsidR="00505A0C" w:rsidRPr="00505A0C" w:rsidRDefault="00505A0C" w:rsidP="00505A0C">
      <w:pPr>
        <w:pStyle w:val="Prrafodelista"/>
        <w:spacing w:line="276" w:lineRule="auto"/>
        <w:ind w:left="720" w:firstLine="45"/>
        <w:jc w:val="both"/>
        <w:rPr>
          <w:rFonts w:cs="Arial"/>
          <w:sz w:val="18"/>
          <w:szCs w:val="18"/>
        </w:rPr>
      </w:pPr>
    </w:p>
    <w:p w14:paraId="18D0A93C" w14:textId="73FB2250"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 xml:space="preserve">Los valores de las claves de cualquier desagregador utilizado en el reporte de información de un indicador en particular deben ser consistentes entre formatos. Es decir, se considerará como defecto de llenado al hecho de no utilizar las mismas claves de un desagregador para el mismo indicador o un indicador comparable. El Operador es responsable de asegurarse de la consistencia del reporte de información que presenta ante el Instituto. </w:t>
      </w:r>
    </w:p>
    <w:p w14:paraId="17F91C6B" w14:textId="77777777" w:rsidR="00505A0C" w:rsidRPr="00505A0C" w:rsidRDefault="00505A0C" w:rsidP="00505A0C">
      <w:pPr>
        <w:pStyle w:val="Prrafodelista"/>
        <w:spacing w:line="276" w:lineRule="auto"/>
        <w:ind w:left="720"/>
        <w:jc w:val="both"/>
        <w:rPr>
          <w:rFonts w:cs="Arial"/>
          <w:sz w:val="18"/>
          <w:szCs w:val="18"/>
        </w:rPr>
      </w:pPr>
    </w:p>
    <w:p w14:paraId="4AC4027F" w14:textId="046042E3"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Para el llenado de los reportes el Operador deberá distinguir dos tipos de variables:</w:t>
      </w:r>
    </w:p>
    <w:p w14:paraId="5CA0A2DE" w14:textId="77777777" w:rsidR="00505A0C" w:rsidRPr="00505A0C" w:rsidRDefault="00505A0C" w:rsidP="00505A0C">
      <w:pPr>
        <w:pStyle w:val="Prrafodelista"/>
        <w:spacing w:line="276" w:lineRule="auto"/>
        <w:ind w:left="720"/>
        <w:jc w:val="both"/>
        <w:rPr>
          <w:rFonts w:cs="Arial"/>
          <w:sz w:val="18"/>
          <w:szCs w:val="18"/>
        </w:rPr>
      </w:pPr>
    </w:p>
    <w:p w14:paraId="19950B99" w14:textId="09784A81" w:rsidR="00505A0C" w:rsidRPr="00505A0C" w:rsidRDefault="00505A0C" w:rsidP="00505A0C">
      <w:pPr>
        <w:pStyle w:val="Prrafodelista"/>
        <w:numPr>
          <w:ilvl w:val="0"/>
          <w:numId w:val="41"/>
        </w:numPr>
        <w:spacing w:line="276" w:lineRule="auto"/>
        <w:jc w:val="both"/>
        <w:rPr>
          <w:rFonts w:cs="Arial"/>
          <w:sz w:val="18"/>
          <w:szCs w:val="18"/>
        </w:rPr>
      </w:pPr>
      <w:r w:rsidRPr="00505A0C">
        <w:rPr>
          <w:rFonts w:cs="Arial"/>
          <w:sz w:val="18"/>
          <w:szCs w:val="18"/>
        </w:rPr>
        <w:t xml:space="preserve">Aquellas en que el estado de la comercialización se refleja al tomar en cuenta la información del día de cierre del período. Ejemplo de este tipo de variables son las líneas, accesos, enlaces dedicados, suscripciones, ancho de banda, coubicaciones, capacidad (Mbps), acuerdos vigentes de itinerancia, entre otras, para las cuales el valor que deberán reportar será el del último día del periodo a reportar. Es decir, si se requiere el reporte de líneas activas de telefonía móvil del segundo trimestre, se debe reportar el número de líneas activas al 30 de junio, y no se deben sumar las líneas activas de cada día del segundo trimestre, ya que eso multiplicaría dichas líneas y no reflejaría el nivel real de comercialización del Operador. </w:t>
      </w:r>
    </w:p>
    <w:p w14:paraId="05EAA41C" w14:textId="77777777" w:rsidR="00505A0C" w:rsidRPr="00505A0C" w:rsidRDefault="00505A0C" w:rsidP="00505A0C">
      <w:pPr>
        <w:pStyle w:val="Prrafodelista"/>
        <w:spacing w:line="276" w:lineRule="auto"/>
        <w:ind w:left="720"/>
        <w:jc w:val="both"/>
        <w:rPr>
          <w:rFonts w:cs="Arial"/>
          <w:sz w:val="18"/>
          <w:szCs w:val="18"/>
        </w:rPr>
      </w:pPr>
    </w:p>
    <w:p w14:paraId="15A66A24" w14:textId="66CEED7C" w:rsidR="00505A0C" w:rsidRPr="00505A0C" w:rsidRDefault="00505A0C" w:rsidP="00505A0C">
      <w:pPr>
        <w:pStyle w:val="Prrafodelista"/>
        <w:numPr>
          <w:ilvl w:val="0"/>
          <w:numId w:val="41"/>
        </w:numPr>
        <w:spacing w:line="276" w:lineRule="auto"/>
        <w:jc w:val="both"/>
        <w:rPr>
          <w:rFonts w:cs="Arial"/>
          <w:sz w:val="18"/>
          <w:szCs w:val="18"/>
        </w:rPr>
      </w:pPr>
      <w:r w:rsidRPr="00505A0C">
        <w:rPr>
          <w:rFonts w:cs="Arial"/>
          <w:sz w:val="18"/>
          <w:szCs w:val="18"/>
        </w:rPr>
        <w:t xml:space="preserve">Aquellas para las cuales deben sumarse los valores a lo largo del período. Ejemplo de este tipo de variables son los minutos, gigabytes (GB), altas de suscripciones, bajas de suscripciones, ingresos, egresos, inversiones, mensajes SMS, horas, días, entre otras, para las cuales el valor que deberán reportar será la suma de todo lo registrado dentro del periodo a reportar. Es decir, si se requiere el reporte del tráfico de GigaBytes durante el segundo trimestre, se deberá sumar el tráfico de todos los días del 1 de marzo al 30 de junio. </w:t>
      </w:r>
    </w:p>
    <w:p w14:paraId="2C42A1C0" w14:textId="77777777" w:rsidR="00505A0C" w:rsidRPr="00505A0C" w:rsidRDefault="00505A0C" w:rsidP="00505A0C">
      <w:pPr>
        <w:pStyle w:val="Prrafodelista"/>
        <w:spacing w:line="276" w:lineRule="auto"/>
        <w:ind w:left="720"/>
        <w:jc w:val="both"/>
        <w:rPr>
          <w:rFonts w:cs="Arial"/>
          <w:sz w:val="18"/>
          <w:szCs w:val="18"/>
        </w:rPr>
      </w:pPr>
    </w:p>
    <w:p w14:paraId="6C27ABAE" w14:textId="457F4CB6" w:rsidR="00505A0C" w:rsidRDefault="00505A0C" w:rsidP="00505A0C">
      <w:pPr>
        <w:pStyle w:val="Prrafodelista"/>
        <w:numPr>
          <w:ilvl w:val="0"/>
          <w:numId w:val="41"/>
        </w:numPr>
        <w:spacing w:line="276" w:lineRule="auto"/>
        <w:jc w:val="both"/>
        <w:rPr>
          <w:rFonts w:cs="Arial"/>
          <w:sz w:val="18"/>
          <w:szCs w:val="18"/>
        </w:rPr>
      </w:pPr>
      <w:r w:rsidRPr="00505A0C">
        <w:rPr>
          <w:rFonts w:cs="Arial"/>
          <w:sz w:val="18"/>
          <w:szCs w:val="18"/>
        </w:rPr>
        <w:t>Cabe señalar que, en el caso de comercialización de servicios mayoristas para reventa, los indicadores de Líneas, Accesos y Paquetes sí deben sumarse durante el periodo a reportar</w:t>
      </w:r>
    </w:p>
    <w:p w14:paraId="3FAECA31" w14:textId="7100D5E9" w:rsidR="00505A0C" w:rsidRDefault="00505A0C" w:rsidP="00505A0C">
      <w:pPr>
        <w:pStyle w:val="Prrafodelista"/>
        <w:spacing w:line="276" w:lineRule="auto"/>
        <w:ind w:left="720"/>
        <w:jc w:val="both"/>
        <w:rPr>
          <w:rFonts w:cs="Arial"/>
          <w:sz w:val="18"/>
          <w:szCs w:val="18"/>
        </w:rPr>
      </w:pPr>
    </w:p>
    <w:p w14:paraId="7133025C" w14:textId="4CEE6966" w:rsid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 xml:space="preserve">Los indicadores relacionados con Inversiones realizadas deben reportarse anualmente, por lo que los Operadores con obligaciones de reportes trimestrales solo deben enviar esta información en el cuarto trimestre de cada año. Durante los trimestres primero, segundo y tercero de cada año, el formato debe enviarse llenado con ceros. </w:t>
      </w:r>
    </w:p>
    <w:p w14:paraId="714E5022" w14:textId="77777777" w:rsidR="00505A0C" w:rsidRDefault="00505A0C" w:rsidP="00505A0C">
      <w:pPr>
        <w:pStyle w:val="Prrafodelista"/>
        <w:spacing w:line="276" w:lineRule="auto"/>
        <w:ind w:left="720"/>
        <w:jc w:val="both"/>
        <w:rPr>
          <w:rFonts w:cs="Arial"/>
          <w:sz w:val="18"/>
          <w:szCs w:val="18"/>
        </w:rPr>
      </w:pPr>
    </w:p>
    <w:p w14:paraId="5AE7794B" w14:textId="58CAA544"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Para el cálculo del ARPU (ingreso promedio por suscriptor) se debe usar la siguiente formula:</w:t>
      </w:r>
    </w:p>
    <w:p w14:paraId="1549EBC2" w14:textId="77777777" w:rsidR="00505A0C" w:rsidRDefault="00505A0C" w:rsidP="00505A0C">
      <w:pPr>
        <w:pStyle w:val="Prrafodelista"/>
        <w:spacing w:line="276" w:lineRule="auto"/>
        <w:ind w:left="720"/>
        <w:jc w:val="both"/>
        <w:rPr>
          <w:rFonts w:cs="Arial"/>
          <w:sz w:val="18"/>
          <w:szCs w:val="18"/>
        </w:rPr>
      </w:pPr>
    </w:p>
    <w:p w14:paraId="4CE019C4" w14:textId="7D2526AE" w:rsidR="00505A0C" w:rsidRPr="00505A0C" w:rsidRDefault="00505A0C" w:rsidP="00505A0C">
      <w:pPr>
        <w:pStyle w:val="Prrafodelista"/>
        <w:spacing w:line="276" w:lineRule="auto"/>
        <w:ind w:left="720"/>
        <w:jc w:val="center"/>
        <w:rPr>
          <w:rFonts w:cs="Arial"/>
          <w:sz w:val="18"/>
          <w:szCs w:val="18"/>
        </w:rPr>
      </w:pPr>
      <w:r w:rsidRPr="00505A0C">
        <w:rPr>
          <w:rFonts w:cs="Arial"/>
          <w:sz w:val="18"/>
          <w:szCs w:val="18"/>
        </w:rPr>
        <w:t>ARPU= Ingresos Totales / número total de usuarios o suscriptores</w:t>
      </w:r>
    </w:p>
    <w:p w14:paraId="4C495370" w14:textId="77777777" w:rsidR="00505A0C" w:rsidRPr="00505A0C" w:rsidRDefault="00505A0C" w:rsidP="00505A0C">
      <w:pPr>
        <w:pStyle w:val="Prrafodelista"/>
        <w:spacing w:line="276" w:lineRule="auto"/>
        <w:ind w:left="720"/>
        <w:jc w:val="both"/>
        <w:rPr>
          <w:rFonts w:cs="Arial"/>
          <w:sz w:val="18"/>
          <w:szCs w:val="18"/>
        </w:rPr>
      </w:pPr>
    </w:p>
    <w:p w14:paraId="3412C45C" w14:textId="77777777" w:rsidR="00505A0C" w:rsidRPr="00505A0C" w:rsidRDefault="00505A0C" w:rsidP="00505A0C">
      <w:pPr>
        <w:pStyle w:val="Prrafodelista"/>
        <w:spacing w:line="276" w:lineRule="auto"/>
        <w:ind w:left="720"/>
        <w:jc w:val="both"/>
        <w:rPr>
          <w:rFonts w:cs="Arial"/>
          <w:sz w:val="18"/>
          <w:szCs w:val="18"/>
        </w:rPr>
      </w:pPr>
      <w:r w:rsidRPr="00505A0C">
        <w:rPr>
          <w:rFonts w:cs="Arial"/>
          <w:sz w:val="18"/>
          <w:szCs w:val="18"/>
        </w:rPr>
        <w:t xml:space="preserve">Para lo cual se deben calcular los ingresos totales como la suma todos los ingresos generados por los servicios de telecomunicaciones durante el periodo seleccionado. Esto incluye ingresos por suscripciones a cualquier servicio de telecomunicaciones. Así como el número total de usuarios o suscriptores, el cual corresponde al total de usuarios o suscriptores activos únicos de todos los servicios comercializados por el Operador. </w:t>
      </w:r>
    </w:p>
    <w:p w14:paraId="4F03BAA3" w14:textId="77777777" w:rsidR="00505A0C" w:rsidRPr="00505A0C" w:rsidRDefault="00505A0C" w:rsidP="00505A0C">
      <w:pPr>
        <w:pStyle w:val="Prrafodelista"/>
        <w:spacing w:line="276" w:lineRule="auto"/>
        <w:ind w:left="720"/>
        <w:jc w:val="both"/>
        <w:rPr>
          <w:rFonts w:cs="Arial"/>
          <w:sz w:val="18"/>
          <w:szCs w:val="18"/>
        </w:rPr>
      </w:pPr>
    </w:p>
    <w:p w14:paraId="5D1BE86A" w14:textId="24A2F9D6"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 xml:space="preserve">Para las desagregaciones geográficas solicitadas, como entidad y municipio, se debe reportar el lugar en que se presta el servicio, es decir, la ubicación geográfica en la que se encuentra el usuario y a la cual llega la conexión del Operador del servicio de telecomunicaciones correspondiente. </w:t>
      </w:r>
    </w:p>
    <w:p w14:paraId="12B00540" w14:textId="77777777" w:rsidR="00505A0C" w:rsidRPr="00505A0C" w:rsidRDefault="00505A0C" w:rsidP="00505A0C">
      <w:pPr>
        <w:pStyle w:val="Prrafodelista"/>
        <w:spacing w:line="276" w:lineRule="auto"/>
        <w:ind w:left="720"/>
        <w:jc w:val="both"/>
        <w:rPr>
          <w:rFonts w:cs="Arial"/>
          <w:sz w:val="18"/>
          <w:szCs w:val="18"/>
        </w:rPr>
      </w:pPr>
    </w:p>
    <w:p w14:paraId="05C61A75" w14:textId="1B574A08" w:rsidR="00505A0C" w:rsidRPr="00505A0C" w:rsidRDefault="00505A0C" w:rsidP="00505A0C">
      <w:pPr>
        <w:pStyle w:val="Prrafodelista"/>
        <w:numPr>
          <w:ilvl w:val="0"/>
          <w:numId w:val="38"/>
        </w:numPr>
        <w:spacing w:line="276" w:lineRule="auto"/>
        <w:jc w:val="both"/>
        <w:rPr>
          <w:rFonts w:cs="Arial"/>
          <w:sz w:val="18"/>
          <w:szCs w:val="18"/>
        </w:rPr>
      </w:pPr>
      <w:r w:rsidRPr="00505A0C">
        <w:rPr>
          <w:rFonts w:cs="Arial"/>
          <w:sz w:val="18"/>
          <w:szCs w:val="18"/>
        </w:rPr>
        <w:t>Los indicadores asociados con los siguientes conceptos deberán reportarse como números enteros:</w:t>
      </w:r>
    </w:p>
    <w:p w14:paraId="1BF1A271" w14:textId="77777777" w:rsidR="00505A0C" w:rsidRPr="00505A0C" w:rsidRDefault="00505A0C" w:rsidP="00505A0C">
      <w:pPr>
        <w:pStyle w:val="Prrafodelista"/>
        <w:spacing w:line="276" w:lineRule="auto"/>
        <w:ind w:left="720"/>
        <w:jc w:val="both"/>
        <w:rPr>
          <w:rFonts w:cs="Arial"/>
          <w:sz w:val="18"/>
          <w:szCs w:val="18"/>
        </w:rPr>
      </w:pPr>
      <w:r w:rsidRPr="00505A0C">
        <w:rPr>
          <w:rFonts w:cs="Arial"/>
          <w:sz w:val="18"/>
          <w:szCs w:val="18"/>
        </w:rPr>
        <w:t xml:space="preserve"> </w:t>
      </w:r>
    </w:p>
    <w:p w14:paraId="1FF19BC6" w14:textId="5E376FB7" w:rsidR="00505A0C" w:rsidRPr="00505A0C" w:rsidRDefault="00505A0C" w:rsidP="00505A0C">
      <w:pPr>
        <w:pStyle w:val="Prrafodelista"/>
        <w:numPr>
          <w:ilvl w:val="0"/>
          <w:numId w:val="43"/>
        </w:numPr>
        <w:spacing w:line="276" w:lineRule="auto"/>
        <w:ind w:left="1434" w:hanging="357"/>
        <w:jc w:val="both"/>
        <w:rPr>
          <w:rFonts w:cs="Arial"/>
          <w:sz w:val="18"/>
          <w:szCs w:val="18"/>
        </w:rPr>
      </w:pPr>
      <w:r w:rsidRPr="00505A0C">
        <w:rPr>
          <w:rFonts w:cs="Arial"/>
          <w:sz w:val="18"/>
          <w:szCs w:val="18"/>
        </w:rPr>
        <w:t>Líneas</w:t>
      </w:r>
    </w:p>
    <w:p w14:paraId="12F1C2CA" w14:textId="0FC5AE9A" w:rsidR="00505A0C" w:rsidRPr="00505A0C" w:rsidRDefault="00505A0C" w:rsidP="00505A0C">
      <w:pPr>
        <w:pStyle w:val="Prrafodelista"/>
        <w:numPr>
          <w:ilvl w:val="0"/>
          <w:numId w:val="43"/>
        </w:numPr>
        <w:spacing w:line="276" w:lineRule="auto"/>
        <w:ind w:left="1434" w:hanging="357"/>
        <w:jc w:val="both"/>
        <w:rPr>
          <w:rFonts w:cs="Arial"/>
          <w:sz w:val="18"/>
          <w:szCs w:val="18"/>
        </w:rPr>
      </w:pPr>
      <w:r w:rsidRPr="00505A0C">
        <w:rPr>
          <w:rFonts w:cs="Arial"/>
          <w:sz w:val="18"/>
          <w:szCs w:val="18"/>
        </w:rPr>
        <w:t>Accesos</w:t>
      </w:r>
    </w:p>
    <w:p w14:paraId="5FCA7A46" w14:textId="2DC80BBC" w:rsidR="00505A0C" w:rsidRPr="00505A0C" w:rsidRDefault="00505A0C" w:rsidP="00505A0C">
      <w:pPr>
        <w:pStyle w:val="Prrafodelista"/>
        <w:numPr>
          <w:ilvl w:val="0"/>
          <w:numId w:val="43"/>
        </w:numPr>
        <w:spacing w:line="276" w:lineRule="auto"/>
        <w:ind w:left="1434" w:hanging="357"/>
        <w:jc w:val="both"/>
        <w:rPr>
          <w:rFonts w:cs="Arial"/>
          <w:sz w:val="18"/>
          <w:szCs w:val="18"/>
        </w:rPr>
      </w:pPr>
      <w:r w:rsidRPr="00505A0C">
        <w:rPr>
          <w:rFonts w:cs="Arial"/>
          <w:sz w:val="18"/>
          <w:szCs w:val="18"/>
        </w:rPr>
        <w:t>Enlaces dedicados</w:t>
      </w:r>
    </w:p>
    <w:p w14:paraId="75C1C6CA" w14:textId="6E76F134" w:rsidR="00505A0C" w:rsidRPr="00505A0C" w:rsidRDefault="00505A0C" w:rsidP="00505A0C">
      <w:pPr>
        <w:pStyle w:val="Prrafodelista"/>
        <w:numPr>
          <w:ilvl w:val="0"/>
          <w:numId w:val="43"/>
        </w:numPr>
        <w:spacing w:line="276" w:lineRule="auto"/>
        <w:ind w:left="1434" w:hanging="357"/>
        <w:jc w:val="both"/>
        <w:rPr>
          <w:rFonts w:cs="Arial"/>
          <w:sz w:val="18"/>
          <w:szCs w:val="18"/>
        </w:rPr>
      </w:pPr>
      <w:r w:rsidRPr="00505A0C">
        <w:rPr>
          <w:rFonts w:cs="Arial"/>
          <w:sz w:val="18"/>
          <w:szCs w:val="18"/>
        </w:rPr>
        <w:t>Suscripciones</w:t>
      </w:r>
    </w:p>
    <w:p w14:paraId="25F41AC9" w14:textId="641043C9" w:rsidR="00505A0C" w:rsidRPr="00505A0C" w:rsidRDefault="00505A0C" w:rsidP="00505A0C">
      <w:pPr>
        <w:pStyle w:val="Prrafodelista"/>
        <w:numPr>
          <w:ilvl w:val="0"/>
          <w:numId w:val="43"/>
        </w:numPr>
        <w:spacing w:line="276" w:lineRule="auto"/>
        <w:ind w:left="1434" w:hanging="357"/>
        <w:jc w:val="both"/>
        <w:rPr>
          <w:rFonts w:cs="Arial"/>
          <w:sz w:val="18"/>
          <w:szCs w:val="18"/>
        </w:rPr>
      </w:pPr>
      <w:r w:rsidRPr="00505A0C">
        <w:rPr>
          <w:rFonts w:cs="Arial"/>
          <w:sz w:val="18"/>
          <w:szCs w:val="18"/>
        </w:rPr>
        <w:t>Mensajes SMS</w:t>
      </w:r>
    </w:p>
    <w:p w14:paraId="20B45DF9" w14:textId="5F056570" w:rsidR="00505A0C" w:rsidRPr="00505A0C" w:rsidRDefault="00505A0C" w:rsidP="00505A0C">
      <w:pPr>
        <w:pStyle w:val="Prrafodelista"/>
        <w:numPr>
          <w:ilvl w:val="0"/>
          <w:numId w:val="43"/>
        </w:numPr>
        <w:spacing w:line="276" w:lineRule="auto"/>
        <w:ind w:left="1434" w:hanging="357"/>
        <w:jc w:val="both"/>
        <w:rPr>
          <w:rFonts w:cs="Arial"/>
          <w:sz w:val="18"/>
          <w:szCs w:val="18"/>
        </w:rPr>
      </w:pPr>
      <w:r w:rsidRPr="00505A0C">
        <w:rPr>
          <w:rFonts w:cs="Arial"/>
          <w:sz w:val="18"/>
          <w:szCs w:val="18"/>
        </w:rPr>
        <w:t>Viviendas</w:t>
      </w:r>
    </w:p>
    <w:p w14:paraId="4285E1D7" w14:textId="77777777" w:rsidR="00505A0C" w:rsidRPr="00505A0C" w:rsidRDefault="00505A0C" w:rsidP="00505A0C">
      <w:pPr>
        <w:pStyle w:val="Prrafodelista"/>
        <w:spacing w:line="276" w:lineRule="auto"/>
        <w:ind w:left="720"/>
        <w:jc w:val="both"/>
        <w:rPr>
          <w:rFonts w:cs="Arial"/>
          <w:sz w:val="18"/>
          <w:szCs w:val="18"/>
        </w:rPr>
      </w:pPr>
      <w:r w:rsidRPr="00505A0C">
        <w:rPr>
          <w:rFonts w:cs="Arial"/>
          <w:sz w:val="18"/>
          <w:szCs w:val="18"/>
        </w:rPr>
        <w:t xml:space="preserve"> </w:t>
      </w:r>
    </w:p>
    <w:p w14:paraId="2535BA6B" w14:textId="562802CB" w:rsidR="00505A0C" w:rsidRPr="005057F8" w:rsidRDefault="00505A0C" w:rsidP="00623A16">
      <w:pPr>
        <w:pStyle w:val="Prrafodelista"/>
        <w:numPr>
          <w:ilvl w:val="0"/>
          <w:numId w:val="38"/>
        </w:numPr>
        <w:jc w:val="both"/>
        <w:rPr>
          <w:rFonts w:cs="Arial"/>
          <w:sz w:val="18"/>
          <w:szCs w:val="18"/>
        </w:rPr>
      </w:pPr>
      <w:r w:rsidRPr="00A31116">
        <w:rPr>
          <w:rFonts w:cs="Arial"/>
          <w:sz w:val="18"/>
          <w:szCs w:val="18"/>
        </w:rPr>
        <w:t>Los</w:t>
      </w:r>
      <w:r w:rsidRPr="005057F8">
        <w:rPr>
          <w:rFonts w:cs="Arial"/>
          <w:sz w:val="18"/>
          <w:szCs w:val="18"/>
        </w:rPr>
        <w:t xml:space="preserve"> indicadores asociados con los siguientes conceptos podrán ser reportados como datos numéricos con hasta dos decimales:</w:t>
      </w:r>
    </w:p>
    <w:p w14:paraId="193D4F06" w14:textId="77777777" w:rsidR="00505A0C" w:rsidRPr="00505A0C" w:rsidRDefault="00505A0C" w:rsidP="00505A0C">
      <w:pPr>
        <w:pStyle w:val="Prrafodelista"/>
        <w:spacing w:line="276" w:lineRule="auto"/>
        <w:ind w:left="720"/>
        <w:jc w:val="both"/>
        <w:rPr>
          <w:rFonts w:cs="Arial"/>
          <w:sz w:val="18"/>
          <w:szCs w:val="18"/>
        </w:rPr>
      </w:pPr>
      <w:r w:rsidRPr="00505A0C">
        <w:rPr>
          <w:rFonts w:cs="Arial"/>
          <w:sz w:val="18"/>
          <w:szCs w:val="18"/>
        </w:rPr>
        <w:t xml:space="preserve"> </w:t>
      </w:r>
    </w:p>
    <w:p w14:paraId="600D5CD7" w14:textId="5CEFBC2B" w:rsidR="00505A0C" w:rsidRPr="00505A0C" w:rsidRDefault="00505A0C" w:rsidP="00505A0C">
      <w:pPr>
        <w:pStyle w:val="Prrafodelista"/>
        <w:numPr>
          <w:ilvl w:val="0"/>
          <w:numId w:val="44"/>
        </w:numPr>
        <w:spacing w:line="276" w:lineRule="auto"/>
        <w:ind w:left="1434" w:hanging="357"/>
        <w:jc w:val="both"/>
        <w:rPr>
          <w:rFonts w:cs="Arial"/>
          <w:sz w:val="18"/>
          <w:szCs w:val="18"/>
        </w:rPr>
      </w:pPr>
      <w:r w:rsidRPr="00505A0C">
        <w:rPr>
          <w:rFonts w:cs="Arial"/>
          <w:sz w:val="18"/>
          <w:szCs w:val="18"/>
        </w:rPr>
        <w:t xml:space="preserve">Ingresos </w:t>
      </w:r>
    </w:p>
    <w:p w14:paraId="7BAF7EC4" w14:textId="44286677" w:rsidR="00505A0C" w:rsidRPr="00505A0C" w:rsidRDefault="00505A0C" w:rsidP="00505A0C">
      <w:pPr>
        <w:pStyle w:val="Prrafodelista"/>
        <w:numPr>
          <w:ilvl w:val="0"/>
          <w:numId w:val="44"/>
        </w:numPr>
        <w:spacing w:line="276" w:lineRule="auto"/>
        <w:ind w:left="1434" w:hanging="357"/>
        <w:jc w:val="both"/>
        <w:rPr>
          <w:rFonts w:cs="Arial"/>
          <w:sz w:val="18"/>
          <w:szCs w:val="18"/>
        </w:rPr>
      </w:pPr>
      <w:r w:rsidRPr="00505A0C">
        <w:rPr>
          <w:rFonts w:cs="Arial"/>
          <w:sz w:val="18"/>
          <w:szCs w:val="18"/>
        </w:rPr>
        <w:t>Egresos</w:t>
      </w:r>
    </w:p>
    <w:p w14:paraId="169F1D2B" w14:textId="6B47FFAC" w:rsidR="00505A0C" w:rsidRPr="00505A0C" w:rsidRDefault="00505A0C" w:rsidP="00505A0C">
      <w:pPr>
        <w:pStyle w:val="Prrafodelista"/>
        <w:numPr>
          <w:ilvl w:val="0"/>
          <w:numId w:val="44"/>
        </w:numPr>
        <w:spacing w:line="276" w:lineRule="auto"/>
        <w:ind w:left="1434" w:hanging="357"/>
        <w:jc w:val="both"/>
        <w:rPr>
          <w:rFonts w:cs="Arial"/>
          <w:sz w:val="18"/>
          <w:szCs w:val="18"/>
        </w:rPr>
      </w:pPr>
      <w:r w:rsidRPr="00505A0C">
        <w:rPr>
          <w:rFonts w:cs="Arial"/>
          <w:sz w:val="18"/>
          <w:szCs w:val="18"/>
        </w:rPr>
        <w:t>Inversiones</w:t>
      </w:r>
    </w:p>
    <w:p w14:paraId="712EA6C0" w14:textId="0C2B116B" w:rsidR="00505A0C" w:rsidRPr="00505A0C" w:rsidRDefault="00505A0C" w:rsidP="00505A0C">
      <w:pPr>
        <w:pStyle w:val="Prrafodelista"/>
        <w:numPr>
          <w:ilvl w:val="0"/>
          <w:numId w:val="44"/>
        </w:numPr>
        <w:spacing w:line="276" w:lineRule="auto"/>
        <w:ind w:left="1434" w:hanging="357"/>
        <w:jc w:val="both"/>
        <w:rPr>
          <w:rFonts w:cs="Arial"/>
          <w:sz w:val="18"/>
          <w:szCs w:val="18"/>
        </w:rPr>
      </w:pPr>
      <w:r w:rsidRPr="00505A0C">
        <w:rPr>
          <w:rFonts w:cs="Arial"/>
          <w:sz w:val="18"/>
          <w:szCs w:val="18"/>
        </w:rPr>
        <w:t>Minutos</w:t>
      </w:r>
    </w:p>
    <w:p w14:paraId="33D79877" w14:textId="380DA565" w:rsidR="00505A0C" w:rsidRDefault="00505A0C" w:rsidP="00D977DD">
      <w:pPr>
        <w:pStyle w:val="Prrafodelista"/>
        <w:numPr>
          <w:ilvl w:val="0"/>
          <w:numId w:val="44"/>
        </w:numPr>
        <w:spacing w:after="160" w:line="259" w:lineRule="auto"/>
        <w:ind w:left="1434" w:hanging="357"/>
        <w:jc w:val="both"/>
        <w:rPr>
          <w:rFonts w:cs="Arial"/>
          <w:sz w:val="18"/>
          <w:szCs w:val="18"/>
        </w:rPr>
      </w:pPr>
      <w:r w:rsidRPr="00DC61E8">
        <w:rPr>
          <w:rFonts w:cs="Arial"/>
          <w:sz w:val="18"/>
          <w:szCs w:val="18"/>
        </w:rPr>
        <w:t>GB</w:t>
      </w:r>
    </w:p>
    <w:p w14:paraId="094C4E6D" w14:textId="66AB7DD1" w:rsidR="00805FB9" w:rsidRDefault="00805FB9" w:rsidP="00805FB9">
      <w:pPr>
        <w:spacing w:after="160" w:line="259" w:lineRule="auto"/>
        <w:jc w:val="both"/>
        <w:rPr>
          <w:rFonts w:cs="Arial"/>
          <w:sz w:val="18"/>
          <w:szCs w:val="18"/>
        </w:rPr>
      </w:pPr>
    </w:p>
    <w:p w14:paraId="5C06B62E" w14:textId="77777777" w:rsidR="00805FB9" w:rsidRDefault="00805FB9">
      <w:pPr>
        <w:spacing w:after="160" w:line="259" w:lineRule="auto"/>
        <w:rPr>
          <w:rFonts w:cs="Arial"/>
          <w:sz w:val="18"/>
          <w:szCs w:val="18"/>
        </w:rPr>
      </w:pPr>
      <w:r>
        <w:rPr>
          <w:rFonts w:cs="Arial"/>
          <w:sz w:val="18"/>
          <w:szCs w:val="18"/>
        </w:rPr>
        <w:br w:type="page"/>
      </w:r>
    </w:p>
    <w:p w14:paraId="037C8703" w14:textId="0291BC73" w:rsidR="005A1B59" w:rsidRDefault="005A1B59" w:rsidP="005A1B59">
      <w:pPr>
        <w:spacing w:after="0"/>
        <w:rPr>
          <w:rFonts w:ascii="Arial" w:eastAsia="Times New Roman" w:hAnsi="Arial" w:cs="Arial"/>
          <w:b/>
          <w:sz w:val="18"/>
          <w:szCs w:val="18"/>
          <w:lang w:val="es-MX" w:eastAsia="es-MX"/>
        </w:rPr>
      </w:pPr>
      <w:r w:rsidRPr="00435F02">
        <w:rPr>
          <w:rFonts w:ascii="Arial" w:eastAsia="Times New Roman" w:hAnsi="Arial" w:cs="Arial"/>
          <w:b/>
          <w:sz w:val="18"/>
          <w:szCs w:val="18"/>
          <w:lang w:eastAsia="es-MX"/>
        </w:rPr>
        <w:lastRenderedPageBreak/>
        <w:t xml:space="preserve">Anexo </w:t>
      </w:r>
      <w:r>
        <w:rPr>
          <w:rFonts w:ascii="Arial" w:eastAsia="Times New Roman" w:hAnsi="Arial" w:cs="Arial"/>
          <w:b/>
          <w:sz w:val="18"/>
          <w:szCs w:val="18"/>
          <w:lang w:eastAsia="es-MX"/>
        </w:rPr>
        <w:t>C</w:t>
      </w:r>
      <w:r w:rsidRPr="00435F02">
        <w:rPr>
          <w:rFonts w:ascii="Arial" w:eastAsia="Times New Roman" w:hAnsi="Arial" w:cs="Arial"/>
          <w:b/>
          <w:sz w:val="18"/>
          <w:szCs w:val="18"/>
          <w:lang w:eastAsia="es-MX"/>
        </w:rPr>
        <w:t xml:space="preserve">. </w:t>
      </w:r>
      <w:r>
        <w:rPr>
          <w:rFonts w:ascii="Arial" w:eastAsia="Times New Roman" w:hAnsi="Arial" w:cs="Arial"/>
          <w:b/>
          <w:sz w:val="18"/>
          <w:szCs w:val="18"/>
          <w:lang w:eastAsia="es-MX"/>
        </w:rPr>
        <w:t>Catálogo de Claves de Información de los Lineamientos para integrar el Acervo Estadístico del Instituto Federal de Telecomunicaciones</w:t>
      </w:r>
      <w:r w:rsidRPr="00435F02">
        <w:rPr>
          <w:rFonts w:ascii="Arial" w:eastAsia="Times New Roman" w:hAnsi="Arial" w:cs="Arial"/>
          <w:b/>
          <w:sz w:val="18"/>
          <w:szCs w:val="18"/>
          <w:lang w:val="es-MX" w:eastAsia="es-MX"/>
        </w:rPr>
        <w:t>.</w:t>
      </w:r>
    </w:p>
    <w:p w14:paraId="5B542640" w14:textId="77777777" w:rsidR="005A1B59" w:rsidRDefault="005A1B59" w:rsidP="005A1B59">
      <w:pPr>
        <w:spacing w:after="0"/>
        <w:rPr>
          <w:rFonts w:ascii="Arial" w:eastAsia="Times New Roman" w:hAnsi="Arial" w:cs="Arial"/>
          <w:b/>
          <w:sz w:val="18"/>
          <w:szCs w:val="18"/>
          <w:lang w:val="es-MX" w:eastAsia="es-MX"/>
        </w:rPr>
      </w:pPr>
    </w:p>
    <w:tbl>
      <w:tblPr>
        <w:tblStyle w:val="Tablaconcuadrcula"/>
        <w:tblW w:w="0" w:type="auto"/>
        <w:tblLook w:val="04A0" w:firstRow="1" w:lastRow="0" w:firstColumn="1" w:lastColumn="0" w:noHBand="0" w:noVBand="1"/>
      </w:tblPr>
      <w:tblGrid>
        <w:gridCol w:w="3131"/>
        <w:gridCol w:w="3131"/>
        <w:gridCol w:w="3132"/>
      </w:tblGrid>
      <w:tr w:rsidR="005A1B59" w14:paraId="782E0F3A" w14:textId="77777777" w:rsidTr="00C755E8">
        <w:tc>
          <w:tcPr>
            <w:tcW w:w="9394" w:type="dxa"/>
            <w:gridSpan w:val="3"/>
            <w:shd w:val="clear" w:color="auto" w:fill="D9D9D9" w:themeFill="background1" w:themeFillShade="D9"/>
          </w:tcPr>
          <w:p w14:paraId="464C4CE0" w14:textId="77777777" w:rsidR="005A1B59" w:rsidRPr="00667871" w:rsidRDefault="005A1B59" w:rsidP="00C755E8">
            <w:pPr>
              <w:spacing w:after="0"/>
              <w:jc w:val="center"/>
              <w:rPr>
                <w:rFonts w:ascii="Arial" w:hAnsi="Arial" w:cs="Arial"/>
                <w:b/>
                <w:sz w:val="18"/>
                <w:szCs w:val="18"/>
              </w:rPr>
            </w:pPr>
            <w:r w:rsidRPr="00667871">
              <w:rPr>
                <w:rFonts w:ascii="Arial" w:hAnsi="Arial" w:cs="Arial"/>
                <w:b/>
                <w:sz w:val="18"/>
                <w:szCs w:val="18"/>
              </w:rPr>
              <w:t>ÍNDICE DEL CATÁLOGO DE CLAVES DE INFORMACIÓN</w:t>
            </w:r>
          </w:p>
        </w:tc>
      </w:tr>
      <w:tr w:rsidR="005A1B59" w14:paraId="20AFC1FA" w14:textId="77777777" w:rsidTr="00C755E8">
        <w:tc>
          <w:tcPr>
            <w:tcW w:w="3131" w:type="dxa"/>
            <w:shd w:val="clear" w:color="auto" w:fill="D9D9D9" w:themeFill="background1" w:themeFillShade="D9"/>
          </w:tcPr>
          <w:p w14:paraId="1A0B2CD1" w14:textId="77777777" w:rsidR="005A1B59" w:rsidRPr="00667871" w:rsidRDefault="005A1B59" w:rsidP="00C755E8">
            <w:pPr>
              <w:spacing w:after="0"/>
              <w:rPr>
                <w:rFonts w:ascii="Arial" w:hAnsi="Arial" w:cs="Arial"/>
                <w:b/>
                <w:sz w:val="18"/>
                <w:szCs w:val="18"/>
              </w:rPr>
            </w:pPr>
            <w:r w:rsidRPr="00667871">
              <w:rPr>
                <w:rFonts w:ascii="Arial" w:hAnsi="Arial" w:cs="Arial"/>
                <w:b/>
                <w:sz w:val="18"/>
                <w:szCs w:val="18"/>
              </w:rPr>
              <w:t>Geográficas</w:t>
            </w:r>
          </w:p>
        </w:tc>
        <w:tc>
          <w:tcPr>
            <w:tcW w:w="3131" w:type="dxa"/>
            <w:shd w:val="clear" w:color="auto" w:fill="D9D9D9" w:themeFill="background1" w:themeFillShade="D9"/>
          </w:tcPr>
          <w:p w14:paraId="39C3146F" w14:textId="77777777" w:rsidR="005A1B59" w:rsidRPr="00667871" w:rsidRDefault="005A1B59" w:rsidP="00C755E8">
            <w:pPr>
              <w:spacing w:after="0"/>
              <w:rPr>
                <w:rFonts w:ascii="Arial" w:hAnsi="Arial" w:cs="Arial"/>
                <w:b/>
                <w:sz w:val="18"/>
                <w:szCs w:val="18"/>
              </w:rPr>
            </w:pPr>
            <w:r w:rsidRPr="00667871">
              <w:rPr>
                <w:rFonts w:ascii="Arial" w:hAnsi="Arial" w:cs="Arial"/>
                <w:b/>
                <w:sz w:val="18"/>
                <w:szCs w:val="18"/>
              </w:rPr>
              <w:t>Comerciales</w:t>
            </w:r>
          </w:p>
        </w:tc>
        <w:tc>
          <w:tcPr>
            <w:tcW w:w="3132" w:type="dxa"/>
            <w:shd w:val="clear" w:color="auto" w:fill="D9D9D9" w:themeFill="background1" w:themeFillShade="D9"/>
          </w:tcPr>
          <w:p w14:paraId="0BF3BD3F" w14:textId="77777777" w:rsidR="005A1B59" w:rsidRPr="00667871" w:rsidRDefault="005A1B59" w:rsidP="00C755E8">
            <w:pPr>
              <w:spacing w:after="0"/>
              <w:rPr>
                <w:rFonts w:ascii="Arial" w:hAnsi="Arial" w:cs="Arial"/>
                <w:b/>
                <w:sz w:val="18"/>
                <w:szCs w:val="18"/>
              </w:rPr>
            </w:pPr>
            <w:r w:rsidRPr="00667871">
              <w:rPr>
                <w:rFonts w:ascii="Arial" w:hAnsi="Arial" w:cs="Arial"/>
                <w:b/>
                <w:sz w:val="18"/>
                <w:szCs w:val="18"/>
              </w:rPr>
              <w:t>Por Infraestructura</w:t>
            </w:r>
          </w:p>
        </w:tc>
      </w:tr>
      <w:tr w:rsidR="005A1B59" w14:paraId="2E1B828A" w14:textId="77777777" w:rsidTr="00C755E8">
        <w:tc>
          <w:tcPr>
            <w:tcW w:w="3131" w:type="dxa"/>
          </w:tcPr>
          <w:p w14:paraId="11B14E1E" w14:textId="77777777" w:rsidR="005A1B59" w:rsidRDefault="005A1B59" w:rsidP="00C755E8">
            <w:pPr>
              <w:spacing w:after="0"/>
              <w:rPr>
                <w:rFonts w:ascii="Arial" w:hAnsi="Arial" w:cs="Arial"/>
                <w:sz w:val="18"/>
                <w:szCs w:val="18"/>
              </w:rPr>
            </w:pPr>
            <w:r>
              <w:rPr>
                <w:rFonts w:ascii="Arial" w:hAnsi="Arial" w:cs="Arial"/>
                <w:sz w:val="18"/>
                <w:szCs w:val="18"/>
              </w:rPr>
              <w:t>C001_MUNICIPIOS</w:t>
            </w:r>
          </w:p>
        </w:tc>
        <w:tc>
          <w:tcPr>
            <w:tcW w:w="3131" w:type="dxa"/>
          </w:tcPr>
          <w:p w14:paraId="5A0E9483" w14:textId="77777777" w:rsidR="005A1B59" w:rsidRDefault="005A1B59" w:rsidP="00C755E8">
            <w:pPr>
              <w:spacing w:after="0"/>
              <w:rPr>
                <w:rFonts w:ascii="Arial" w:hAnsi="Arial" w:cs="Arial"/>
                <w:sz w:val="18"/>
                <w:szCs w:val="18"/>
              </w:rPr>
            </w:pPr>
            <w:r>
              <w:rPr>
                <w:rFonts w:ascii="Arial" w:hAnsi="Arial" w:cs="Arial"/>
                <w:sz w:val="18"/>
                <w:szCs w:val="18"/>
              </w:rPr>
              <w:t>C101_PAQUETE_COMERCIAL</w:t>
            </w:r>
          </w:p>
        </w:tc>
        <w:tc>
          <w:tcPr>
            <w:tcW w:w="3132" w:type="dxa"/>
          </w:tcPr>
          <w:p w14:paraId="7C644798" w14:textId="77777777" w:rsidR="005A1B59" w:rsidRDefault="005A1B59" w:rsidP="00C755E8">
            <w:pPr>
              <w:spacing w:after="0"/>
              <w:rPr>
                <w:rFonts w:ascii="Arial" w:hAnsi="Arial" w:cs="Arial"/>
                <w:sz w:val="18"/>
                <w:szCs w:val="18"/>
              </w:rPr>
            </w:pPr>
            <w:r>
              <w:rPr>
                <w:rFonts w:ascii="Arial" w:hAnsi="Arial" w:cs="Arial"/>
                <w:sz w:val="18"/>
                <w:szCs w:val="18"/>
              </w:rPr>
              <w:t>C201_RED_ACCESO_GENERAL</w:t>
            </w:r>
          </w:p>
        </w:tc>
      </w:tr>
      <w:tr w:rsidR="005A1B59" w14:paraId="066002AA" w14:textId="77777777" w:rsidTr="00C755E8">
        <w:tc>
          <w:tcPr>
            <w:tcW w:w="3131" w:type="dxa"/>
          </w:tcPr>
          <w:p w14:paraId="706BA665" w14:textId="77777777" w:rsidR="005A1B59" w:rsidRDefault="005A1B59" w:rsidP="00C755E8">
            <w:pPr>
              <w:spacing w:after="0"/>
              <w:rPr>
                <w:rFonts w:ascii="Arial" w:hAnsi="Arial" w:cs="Arial"/>
                <w:sz w:val="18"/>
                <w:szCs w:val="18"/>
              </w:rPr>
            </w:pPr>
            <w:r>
              <w:rPr>
                <w:rFonts w:ascii="Arial" w:hAnsi="Arial" w:cs="Arial"/>
                <w:sz w:val="18"/>
                <w:szCs w:val="18"/>
              </w:rPr>
              <w:t>C002_REGIONES_ESPECTRO</w:t>
            </w:r>
          </w:p>
        </w:tc>
        <w:tc>
          <w:tcPr>
            <w:tcW w:w="3131" w:type="dxa"/>
          </w:tcPr>
          <w:p w14:paraId="6CDB6EB8" w14:textId="77777777" w:rsidR="005A1B59" w:rsidRDefault="005A1B59" w:rsidP="00C755E8">
            <w:pPr>
              <w:spacing w:after="0"/>
              <w:rPr>
                <w:rFonts w:ascii="Arial" w:hAnsi="Arial" w:cs="Arial"/>
                <w:sz w:val="18"/>
                <w:szCs w:val="18"/>
              </w:rPr>
            </w:pPr>
            <w:r>
              <w:rPr>
                <w:rFonts w:ascii="Arial" w:hAnsi="Arial" w:cs="Arial"/>
                <w:sz w:val="18"/>
                <w:szCs w:val="18"/>
              </w:rPr>
              <w:t>C102_MODALIDAD_CONTRATO</w:t>
            </w:r>
          </w:p>
        </w:tc>
        <w:tc>
          <w:tcPr>
            <w:tcW w:w="3132" w:type="dxa"/>
          </w:tcPr>
          <w:p w14:paraId="393376C4" w14:textId="77777777" w:rsidR="005A1B59" w:rsidRDefault="005A1B59" w:rsidP="00C755E8">
            <w:pPr>
              <w:spacing w:after="0"/>
              <w:rPr>
                <w:rFonts w:ascii="Arial" w:hAnsi="Arial" w:cs="Arial"/>
                <w:sz w:val="18"/>
                <w:szCs w:val="18"/>
              </w:rPr>
            </w:pPr>
          </w:p>
        </w:tc>
      </w:tr>
      <w:tr w:rsidR="005A1B59" w14:paraId="6207B74F" w14:textId="77777777" w:rsidTr="00C755E8">
        <w:tc>
          <w:tcPr>
            <w:tcW w:w="3131" w:type="dxa"/>
          </w:tcPr>
          <w:p w14:paraId="2C52F5D9" w14:textId="77777777" w:rsidR="005A1B59" w:rsidRDefault="005A1B59" w:rsidP="00C755E8">
            <w:pPr>
              <w:spacing w:after="0"/>
              <w:rPr>
                <w:rFonts w:ascii="Arial" w:hAnsi="Arial" w:cs="Arial"/>
                <w:sz w:val="18"/>
                <w:szCs w:val="18"/>
              </w:rPr>
            </w:pPr>
            <w:r>
              <w:rPr>
                <w:rFonts w:ascii="Arial" w:hAnsi="Arial" w:cs="Arial"/>
                <w:sz w:val="18"/>
                <w:szCs w:val="18"/>
              </w:rPr>
              <w:t>C003_PAISES</w:t>
            </w:r>
          </w:p>
        </w:tc>
        <w:tc>
          <w:tcPr>
            <w:tcW w:w="3131" w:type="dxa"/>
          </w:tcPr>
          <w:p w14:paraId="05AE4141" w14:textId="77777777" w:rsidR="005A1B59" w:rsidRDefault="005A1B59" w:rsidP="00C755E8">
            <w:pPr>
              <w:spacing w:after="0"/>
              <w:rPr>
                <w:rFonts w:ascii="Arial" w:hAnsi="Arial" w:cs="Arial"/>
                <w:sz w:val="18"/>
                <w:szCs w:val="18"/>
              </w:rPr>
            </w:pPr>
            <w:r>
              <w:rPr>
                <w:rFonts w:ascii="Arial" w:hAnsi="Arial" w:cs="Arial"/>
                <w:sz w:val="18"/>
                <w:szCs w:val="18"/>
              </w:rPr>
              <w:t>C103_ESQUEMA_PAGO</w:t>
            </w:r>
          </w:p>
        </w:tc>
        <w:tc>
          <w:tcPr>
            <w:tcW w:w="3132" w:type="dxa"/>
          </w:tcPr>
          <w:p w14:paraId="090A0FAB" w14:textId="77777777" w:rsidR="005A1B59" w:rsidRDefault="005A1B59" w:rsidP="00C755E8">
            <w:pPr>
              <w:spacing w:after="0"/>
              <w:rPr>
                <w:rFonts w:ascii="Arial" w:hAnsi="Arial" w:cs="Arial"/>
                <w:sz w:val="18"/>
                <w:szCs w:val="18"/>
              </w:rPr>
            </w:pPr>
          </w:p>
        </w:tc>
      </w:tr>
      <w:tr w:rsidR="005A1B59" w14:paraId="79096154" w14:textId="77777777" w:rsidTr="00C755E8">
        <w:tc>
          <w:tcPr>
            <w:tcW w:w="3131" w:type="dxa"/>
          </w:tcPr>
          <w:p w14:paraId="5D1047A3" w14:textId="77777777" w:rsidR="005A1B59" w:rsidRDefault="005A1B59" w:rsidP="00C755E8">
            <w:pPr>
              <w:spacing w:after="0"/>
              <w:rPr>
                <w:rFonts w:ascii="Arial" w:hAnsi="Arial" w:cs="Arial"/>
                <w:sz w:val="18"/>
                <w:szCs w:val="18"/>
              </w:rPr>
            </w:pPr>
          </w:p>
        </w:tc>
        <w:tc>
          <w:tcPr>
            <w:tcW w:w="3131" w:type="dxa"/>
          </w:tcPr>
          <w:p w14:paraId="54990E4E" w14:textId="77777777" w:rsidR="005A1B59" w:rsidRDefault="005A1B59" w:rsidP="00C755E8">
            <w:pPr>
              <w:spacing w:after="0"/>
              <w:rPr>
                <w:rFonts w:ascii="Arial" w:hAnsi="Arial" w:cs="Arial"/>
                <w:sz w:val="18"/>
                <w:szCs w:val="18"/>
              </w:rPr>
            </w:pPr>
            <w:r>
              <w:rPr>
                <w:rFonts w:ascii="Arial" w:hAnsi="Arial" w:cs="Arial"/>
                <w:sz w:val="18"/>
                <w:szCs w:val="18"/>
              </w:rPr>
              <w:t>C104_REGION_INTERNACIONAL</w:t>
            </w:r>
          </w:p>
        </w:tc>
        <w:tc>
          <w:tcPr>
            <w:tcW w:w="3132" w:type="dxa"/>
          </w:tcPr>
          <w:p w14:paraId="0EC6BB3A" w14:textId="77777777" w:rsidR="005A1B59" w:rsidRDefault="005A1B59" w:rsidP="00C755E8">
            <w:pPr>
              <w:spacing w:after="0"/>
              <w:rPr>
                <w:rFonts w:ascii="Arial" w:hAnsi="Arial" w:cs="Arial"/>
                <w:sz w:val="18"/>
                <w:szCs w:val="18"/>
              </w:rPr>
            </w:pPr>
          </w:p>
        </w:tc>
      </w:tr>
      <w:tr w:rsidR="005A1B59" w14:paraId="2939578B" w14:textId="77777777" w:rsidTr="00C755E8">
        <w:tc>
          <w:tcPr>
            <w:tcW w:w="3131" w:type="dxa"/>
            <w:shd w:val="clear" w:color="auto" w:fill="D9D9D9" w:themeFill="background1" w:themeFillShade="D9"/>
          </w:tcPr>
          <w:p w14:paraId="77E7DBBB" w14:textId="77777777" w:rsidR="005A1B59" w:rsidRPr="00667871" w:rsidRDefault="005A1B59" w:rsidP="00C755E8">
            <w:pPr>
              <w:spacing w:after="0"/>
              <w:rPr>
                <w:rFonts w:ascii="Arial" w:hAnsi="Arial" w:cs="Arial"/>
                <w:b/>
                <w:sz w:val="18"/>
                <w:szCs w:val="18"/>
              </w:rPr>
            </w:pPr>
            <w:r w:rsidRPr="00667871">
              <w:rPr>
                <w:rFonts w:ascii="Arial" w:hAnsi="Arial" w:cs="Arial"/>
                <w:b/>
                <w:sz w:val="18"/>
                <w:szCs w:val="18"/>
              </w:rPr>
              <w:t>Por Tecnología</w:t>
            </w:r>
          </w:p>
        </w:tc>
        <w:tc>
          <w:tcPr>
            <w:tcW w:w="3131" w:type="dxa"/>
            <w:shd w:val="clear" w:color="auto" w:fill="D9D9D9" w:themeFill="background1" w:themeFillShade="D9"/>
          </w:tcPr>
          <w:p w14:paraId="14E59DD5" w14:textId="77777777" w:rsidR="005A1B59" w:rsidRPr="00667871" w:rsidRDefault="005A1B59" w:rsidP="00C755E8">
            <w:pPr>
              <w:spacing w:after="0"/>
              <w:rPr>
                <w:rFonts w:ascii="Arial" w:hAnsi="Arial" w:cs="Arial"/>
                <w:b/>
                <w:sz w:val="18"/>
                <w:szCs w:val="18"/>
              </w:rPr>
            </w:pPr>
            <w:r w:rsidRPr="00667871">
              <w:rPr>
                <w:rFonts w:ascii="Arial" w:hAnsi="Arial" w:cs="Arial"/>
                <w:b/>
                <w:sz w:val="18"/>
                <w:szCs w:val="18"/>
              </w:rPr>
              <w:t>Por Capacidad</w:t>
            </w:r>
          </w:p>
        </w:tc>
        <w:tc>
          <w:tcPr>
            <w:tcW w:w="3132" w:type="dxa"/>
            <w:shd w:val="clear" w:color="auto" w:fill="D9D9D9" w:themeFill="background1" w:themeFillShade="D9"/>
          </w:tcPr>
          <w:p w14:paraId="47E4A276" w14:textId="77777777" w:rsidR="005A1B59" w:rsidRPr="00667871" w:rsidRDefault="005A1B59" w:rsidP="00C755E8">
            <w:pPr>
              <w:spacing w:after="0"/>
              <w:rPr>
                <w:rFonts w:ascii="Arial" w:hAnsi="Arial" w:cs="Arial"/>
                <w:b/>
                <w:sz w:val="18"/>
                <w:szCs w:val="18"/>
              </w:rPr>
            </w:pPr>
            <w:r w:rsidRPr="00667871">
              <w:rPr>
                <w:rFonts w:ascii="Arial" w:hAnsi="Arial" w:cs="Arial"/>
                <w:b/>
                <w:sz w:val="18"/>
                <w:szCs w:val="18"/>
              </w:rPr>
              <w:t>Por Tiempo</w:t>
            </w:r>
          </w:p>
        </w:tc>
      </w:tr>
      <w:tr w:rsidR="005A1B59" w14:paraId="2C675D7D" w14:textId="77777777" w:rsidTr="00C755E8">
        <w:tc>
          <w:tcPr>
            <w:tcW w:w="3131" w:type="dxa"/>
          </w:tcPr>
          <w:p w14:paraId="17E03EB3" w14:textId="77777777" w:rsidR="005A1B59" w:rsidRDefault="005A1B59" w:rsidP="00C755E8">
            <w:pPr>
              <w:spacing w:after="0"/>
              <w:rPr>
                <w:rFonts w:ascii="Arial" w:hAnsi="Arial" w:cs="Arial"/>
                <w:sz w:val="18"/>
                <w:szCs w:val="18"/>
              </w:rPr>
            </w:pPr>
            <w:r>
              <w:rPr>
                <w:rFonts w:ascii="Arial" w:hAnsi="Arial" w:cs="Arial"/>
                <w:sz w:val="18"/>
                <w:szCs w:val="18"/>
              </w:rPr>
              <w:t>C301_TECNO_GENERAL</w:t>
            </w:r>
          </w:p>
        </w:tc>
        <w:tc>
          <w:tcPr>
            <w:tcW w:w="3131" w:type="dxa"/>
          </w:tcPr>
          <w:p w14:paraId="10D20C48" w14:textId="77777777" w:rsidR="005A1B59" w:rsidRDefault="005A1B59" w:rsidP="00C755E8">
            <w:pPr>
              <w:spacing w:after="0"/>
              <w:rPr>
                <w:rFonts w:ascii="Arial" w:hAnsi="Arial" w:cs="Arial"/>
                <w:sz w:val="18"/>
                <w:szCs w:val="18"/>
              </w:rPr>
            </w:pPr>
            <w:r>
              <w:rPr>
                <w:rFonts w:ascii="Arial" w:hAnsi="Arial" w:cs="Arial"/>
                <w:sz w:val="18"/>
                <w:szCs w:val="18"/>
              </w:rPr>
              <w:t>C401_CAP_ENLACES</w:t>
            </w:r>
          </w:p>
        </w:tc>
        <w:tc>
          <w:tcPr>
            <w:tcW w:w="3132" w:type="dxa"/>
          </w:tcPr>
          <w:p w14:paraId="652DE2EC" w14:textId="77777777" w:rsidR="005A1B59" w:rsidRDefault="005A1B59" w:rsidP="00C755E8">
            <w:pPr>
              <w:spacing w:after="0"/>
              <w:rPr>
                <w:rFonts w:ascii="Arial" w:hAnsi="Arial" w:cs="Arial"/>
                <w:sz w:val="18"/>
                <w:szCs w:val="18"/>
              </w:rPr>
            </w:pPr>
            <w:r>
              <w:rPr>
                <w:rFonts w:ascii="Arial" w:hAnsi="Arial" w:cs="Arial"/>
                <w:sz w:val="18"/>
                <w:szCs w:val="18"/>
              </w:rPr>
              <w:t>C501_AÑO</w:t>
            </w:r>
          </w:p>
        </w:tc>
      </w:tr>
      <w:tr w:rsidR="005A1B59" w14:paraId="5445D061" w14:textId="77777777" w:rsidTr="00C755E8">
        <w:tc>
          <w:tcPr>
            <w:tcW w:w="3131" w:type="dxa"/>
          </w:tcPr>
          <w:p w14:paraId="147A5184" w14:textId="77777777" w:rsidR="005A1B59" w:rsidRDefault="005A1B59" w:rsidP="00C755E8">
            <w:pPr>
              <w:spacing w:after="0"/>
              <w:rPr>
                <w:rFonts w:ascii="Arial" w:hAnsi="Arial" w:cs="Arial"/>
                <w:sz w:val="18"/>
                <w:szCs w:val="18"/>
              </w:rPr>
            </w:pPr>
          </w:p>
        </w:tc>
        <w:tc>
          <w:tcPr>
            <w:tcW w:w="3131" w:type="dxa"/>
          </w:tcPr>
          <w:p w14:paraId="3395E4E9" w14:textId="77777777" w:rsidR="005A1B59" w:rsidRDefault="005A1B59" w:rsidP="00C755E8">
            <w:pPr>
              <w:spacing w:after="0"/>
              <w:rPr>
                <w:rFonts w:ascii="Arial" w:hAnsi="Arial" w:cs="Arial"/>
                <w:sz w:val="18"/>
                <w:szCs w:val="18"/>
              </w:rPr>
            </w:pPr>
            <w:r>
              <w:rPr>
                <w:rFonts w:ascii="Arial" w:hAnsi="Arial" w:cs="Arial"/>
                <w:sz w:val="18"/>
                <w:szCs w:val="18"/>
              </w:rPr>
              <w:t>C402_VELOCIDAD</w:t>
            </w:r>
          </w:p>
        </w:tc>
        <w:tc>
          <w:tcPr>
            <w:tcW w:w="3132" w:type="dxa"/>
          </w:tcPr>
          <w:p w14:paraId="187B7BB7" w14:textId="77777777" w:rsidR="005A1B59" w:rsidRDefault="005A1B59" w:rsidP="00C755E8">
            <w:pPr>
              <w:spacing w:after="0"/>
              <w:rPr>
                <w:rFonts w:ascii="Arial" w:hAnsi="Arial" w:cs="Arial"/>
                <w:sz w:val="18"/>
                <w:szCs w:val="18"/>
              </w:rPr>
            </w:pPr>
            <w:r>
              <w:rPr>
                <w:rFonts w:ascii="Arial" w:hAnsi="Arial" w:cs="Arial"/>
                <w:sz w:val="18"/>
                <w:szCs w:val="18"/>
              </w:rPr>
              <w:t>C502_TRIMESTRE</w:t>
            </w:r>
          </w:p>
        </w:tc>
      </w:tr>
    </w:tbl>
    <w:p w14:paraId="1557FC39" w14:textId="77777777" w:rsidR="005A1B59" w:rsidRPr="00435F02" w:rsidRDefault="005A1B59" w:rsidP="005A1B59">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9394"/>
      </w:tblGrid>
      <w:tr w:rsidR="005A1B59" w14:paraId="53D2A23D" w14:textId="77777777" w:rsidTr="3DED8FF9">
        <w:tc>
          <w:tcPr>
            <w:tcW w:w="9394" w:type="dxa"/>
            <w:shd w:val="clear" w:color="auto" w:fill="D9D9D9" w:themeFill="background1" w:themeFillShade="D9"/>
          </w:tcPr>
          <w:p w14:paraId="6B73C828" w14:textId="77777777" w:rsidR="005A1B59" w:rsidRPr="00057A43" w:rsidRDefault="005A1B59" w:rsidP="00C755E8">
            <w:pPr>
              <w:spacing w:after="0"/>
              <w:rPr>
                <w:rFonts w:ascii="Arial" w:hAnsi="Arial" w:cs="Arial"/>
                <w:b/>
              </w:rPr>
            </w:pPr>
            <w:r w:rsidRPr="00057A43">
              <w:rPr>
                <w:rFonts w:ascii="Arial" w:hAnsi="Arial" w:cs="Arial"/>
                <w:b/>
                <w:sz w:val="18"/>
              </w:rPr>
              <w:t>Grupo de claves C001</w:t>
            </w:r>
          </w:p>
        </w:tc>
      </w:tr>
      <w:tr w:rsidR="005A1B59" w14:paraId="651850EA" w14:textId="77777777" w:rsidTr="3DED8FF9">
        <w:tc>
          <w:tcPr>
            <w:tcW w:w="9394" w:type="dxa"/>
          </w:tcPr>
          <w:p w14:paraId="52A6D3CD" w14:textId="75267E62" w:rsidR="005A1B59" w:rsidRDefault="005A1B59" w:rsidP="00C755E8">
            <w:pPr>
              <w:spacing w:after="0"/>
              <w:jc w:val="both"/>
              <w:rPr>
                <w:rFonts w:ascii="Arial" w:hAnsi="Arial" w:cs="Arial"/>
              </w:rPr>
            </w:pPr>
            <w:r w:rsidRPr="00667871">
              <w:rPr>
                <w:rFonts w:ascii="Arial" w:hAnsi="Arial" w:cs="Arial"/>
                <w:sz w:val="18"/>
              </w:rPr>
              <w:t xml:space="preserve">Los valores de este grupo de Claves se pueden encontrar en la pestaña “C001_MUNICIPIOS” del CCI, el cual se puede consultar en la siguiente dirección </w:t>
            </w:r>
            <w:r w:rsidRPr="00057A43">
              <w:rPr>
                <w:rFonts w:ascii="Arial" w:hAnsi="Arial" w:cs="Arial"/>
                <w:sz w:val="18"/>
              </w:rPr>
              <w:t>http://www.ift.org.mx/CCI</w:t>
            </w:r>
            <w:r w:rsidRPr="00667871">
              <w:rPr>
                <w:rFonts w:ascii="Arial" w:hAnsi="Arial" w:cs="Arial"/>
                <w:sz w:val="18"/>
              </w:rPr>
              <w:t>. Las Claves de este grupo están relacionadas a las que emite el INEGI y su actualización está sujeta a lo dispuesto en el Lineamiento Décimo tercero de los Lineamientos para integrar el Acervo Estadístico del Instituto Federal de Telecomunicaciones.</w:t>
            </w:r>
          </w:p>
        </w:tc>
      </w:tr>
    </w:tbl>
    <w:p w14:paraId="70E4FAFE"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48438A09" w14:textId="77777777" w:rsidTr="00C755E8">
        <w:tc>
          <w:tcPr>
            <w:tcW w:w="9394" w:type="dxa"/>
            <w:shd w:val="clear" w:color="auto" w:fill="D9D9D9" w:themeFill="background1" w:themeFillShade="D9"/>
          </w:tcPr>
          <w:p w14:paraId="1B7DE83F" w14:textId="77777777" w:rsidR="005A1B59" w:rsidRPr="00057A43" w:rsidRDefault="005A1B59" w:rsidP="00C755E8">
            <w:pPr>
              <w:spacing w:after="0"/>
              <w:rPr>
                <w:rFonts w:ascii="Arial" w:hAnsi="Arial" w:cs="Arial"/>
                <w:b/>
              </w:rPr>
            </w:pPr>
            <w:r w:rsidRPr="00057A43">
              <w:rPr>
                <w:rFonts w:ascii="Arial" w:hAnsi="Arial" w:cs="Arial"/>
                <w:b/>
                <w:sz w:val="18"/>
              </w:rPr>
              <w:t>Grupo de claves C002</w:t>
            </w:r>
          </w:p>
        </w:tc>
      </w:tr>
      <w:tr w:rsidR="005A1B59" w14:paraId="19141799" w14:textId="77777777" w:rsidTr="00C755E8">
        <w:tc>
          <w:tcPr>
            <w:tcW w:w="9394" w:type="dxa"/>
          </w:tcPr>
          <w:p w14:paraId="62134A3E"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“C00</w:t>
            </w:r>
            <w:r>
              <w:rPr>
                <w:rFonts w:ascii="Arial" w:hAnsi="Arial" w:cs="Arial"/>
                <w:sz w:val="18"/>
              </w:rPr>
              <w:t>2</w:t>
            </w:r>
            <w:r w:rsidRPr="00667871">
              <w:rPr>
                <w:rFonts w:ascii="Arial" w:hAnsi="Arial" w:cs="Arial"/>
                <w:sz w:val="18"/>
              </w:rPr>
              <w:t>_</w:t>
            </w:r>
            <w:r>
              <w:rPr>
                <w:rFonts w:ascii="Arial" w:hAnsi="Arial" w:cs="Arial"/>
                <w:sz w:val="18"/>
              </w:rPr>
              <w:t>REGIONES_ESPECTRO</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32DA11B7"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09C1120E" w14:textId="77777777" w:rsidTr="00C755E8">
        <w:tc>
          <w:tcPr>
            <w:tcW w:w="9394" w:type="dxa"/>
            <w:shd w:val="clear" w:color="auto" w:fill="D9D9D9" w:themeFill="background1" w:themeFillShade="D9"/>
          </w:tcPr>
          <w:p w14:paraId="72E657BE" w14:textId="77777777" w:rsidR="005A1B59" w:rsidRPr="00057A43" w:rsidRDefault="005A1B59" w:rsidP="00C755E8">
            <w:pPr>
              <w:spacing w:after="0"/>
              <w:rPr>
                <w:rFonts w:ascii="Arial" w:hAnsi="Arial" w:cs="Arial"/>
                <w:b/>
              </w:rPr>
            </w:pPr>
            <w:r w:rsidRPr="00057A43">
              <w:rPr>
                <w:rFonts w:ascii="Arial" w:hAnsi="Arial" w:cs="Arial"/>
                <w:b/>
                <w:sz w:val="18"/>
              </w:rPr>
              <w:t>Grupo de claves C003</w:t>
            </w:r>
          </w:p>
        </w:tc>
      </w:tr>
      <w:tr w:rsidR="005A1B59" w14:paraId="45AE0153" w14:textId="77777777" w:rsidTr="00C755E8">
        <w:tc>
          <w:tcPr>
            <w:tcW w:w="9394" w:type="dxa"/>
          </w:tcPr>
          <w:p w14:paraId="4EDE6AA4"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“C00</w:t>
            </w:r>
            <w:r>
              <w:rPr>
                <w:rFonts w:ascii="Arial" w:hAnsi="Arial" w:cs="Arial"/>
                <w:sz w:val="18"/>
              </w:rPr>
              <w:t>3_PAISES</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3F75AEA2"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030E6128" w14:textId="77777777" w:rsidTr="00C755E8">
        <w:tc>
          <w:tcPr>
            <w:tcW w:w="9394" w:type="dxa"/>
            <w:shd w:val="clear" w:color="auto" w:fill="D9D9D9" w:themeFill="background1" w:themeFillShade="D9"/>
          </w:tcPr>
          <w:p w14:paraId="20B962C2" w14:textId="77777777" w:rsidR="005A1B59" w:rsidRPr="00057A43" w:rsidRDefault="005A1B59" w:rsidP="00C755E8">
            <w:pPr>
              <w:spacing w:after="0"/>
              <w:rPr>
                <w:rFonts w:ascii="Arial" w:hAnsi="Arial" w:cs="Arial"/>
                <w:b/>
              </w:rPr>
            </w:pPr>
            <w:r w:rsidRPr="00057A43">
              <w:rPr>
                <w:rFonts w:ascii="Arial" w:hAnsi="Arial" w:cs="Arial"/>
                <w:b/>
                <w:sz w:val="18"/>
              </w:rPr>
              <w:t>Grupo de claves C101</w:t>
            </w:r>
          </w:p>
        </w:tc>
      </w:tr>
      <w:tr w:rsidR="005A1B59" w14:paraId="1867A5B5" w14:textId="77777777" w:rsidTr="00C755E8">
        <w:tc>
          <w:tcPr>
            <w:tcW w:w="9394" w:type="dxa"/>
          </w:tcPr>
          <w:p w14:paraId="59B1E33E"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101_PAQUETE_COMERCIAL</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5B4CD59D"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30CF24D5" w14:textId="77777777" w:rsidTr="00C755E8">
        <w:tc>
          <w:tcPr>
            <w:tcW w:w="9394" w:type="dxa"/>
            <w:shd w:val="clear" w:color="auto" w:fill="D9D9D9" w:themeFill="background1" w:themeFillShade="D9"/>
          </w:tcPr>
          <w:p w14:paraId="2DABBF1A" w14:textId="77777777" w:rsidR="005A1B59" w:rsidRPr="00057A43" w:rsidRDefault="005A1B59" w:rsidP="00C755E8">
            <w:pPr>
              <w:spacing w:after="0"/>
              <w:rPr>
                <w:rFonts w:ascii="Arial" w:hAnsi="Arial" w:cs="Arial"/>
                <w:b/>
              </w:rPr>
            </w:pPr>
            <w:r w:rsidRPr="00057A43">
              <w:rPr>
                <w:rFonts w:ascii="Arial" w:hAnsi="Arial" w:cs="Arial"/>
                <w:b/>
                <w:sz w:val="18"/>
              </w:rPr>
              <w:t>Grupo de claves C102</w:t>
            </w:r>
          </w:p>
        </w:tc>
      </w:tr>
      <w:tr w:rsidR="005A1B59" w14:paraId="3B976D79" w14:textId="77777777" w:rsidTr="00C755E8">
        <w:tc>
          <w:tcPr>
            <w:tcW w:w="9394" w:type="dxa"/>
          </w:tcPr>
          <w:p w14:paraId="15C4D7CC"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102_MODALIDAD_CONTRATO</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3B4F95EC"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1E7F3168" w14:textId="77777777" w:rsidTr="00C755E8">
        <w:tc>
          <w:tcPr>
            <w:tcW w:w="9394" w:type="dxa"/>
            <w:shd w:val="clear" w:color="auto" w:fill="D9D9D9" w:themeFill="background1" w:themeFillShade="D9"/>
          </w:tcPr>
          <w:p w14:paraId="773745D7" w14:textId="77777777" w:rsidR="005A1B59" w:rsidRPr="00057A43" w:rsidRDefault="005A1B59" w:rsidP="00C755E8">
            <w:pPr>
              <w:spacing w:after="0"/>
              <w:rPr>
                <w:rFonts w:ascii="Arial" w:hAnsi="Arial" w:cs="Arial"/>
                <w:b/>
              </w:rPr>
            </w:pPr>
            <w:r w:rsidRPr="00057A43">
              <w:rPr>
                <w:rFonts w:ascii="Arial" w:hAnsi="Arial" w:cs="Arial"/>
                <w:b/>
                <w:sz w:val="18"/>
              </w:rPr>
              <w:t>Grupo de claves C103</w:t>
            </w:r>
          </w:p>
        </w:tc>
      </w:tr>
      <w:tr w:rsidR="005A1B59" w14:paraId="14177BC8" w14:textId="77777777" w:rsidTr="00C755E8">
        <w:tc>
          <w:tcPr>
            <w:tcW w:w="9394" w:type="dxa"/>
          </w:tcPr>
          <w:p w14:paraId="109736A1"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103_ESQUEMA_PAGO</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63F47175"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3E4D77FD" w14:textId="77777777" w:rsidTr="00C755E8">
        <w:tc>
          <w:tcPr>
            <w:tcW w:w="9394" w:type="dxa"/>
            <w:shd w:val="clear" w:color="auto" w:fill="D9D9D9" w:themeFill="background1" w:themeFillShade="D9"/>
          </w:tcPr>
          <w:p w14:paraId="33B1927C" w14:textId="77777777" w:rsidR="005A1B59" w:rsidRPr="00057A43" w:rsidRDefault="005A1B59" w:rsidP="00C755E8">
            <w:pPr>
              <w:spacing w:after="0"/>
              <w:rPr>
                <w:rFonts w:ascii="Arial" w:hAnsi="Arial" w:cs="Arial"/>
                <w:b/>
              </w:rPr>
            </w:pPr>
            <w:r w:rsidRPr="00057A43">
              <w:rPr>
                <w:rFonts w:ascii="Arial" w:hAnsi="Arial" w:cs="Arial"/>
                <w:b/>
                <w:sz w:val="18"/>
              </w:rPr>
              <w:t>Grupo de claves C104</w:t>
            </w:r>
          </w:p>
        </w:tc>
      </w:tr>
      <w:tr w:rsidR="005A1B59" w14:paraId="67F8176A" w14:textId="77777777" w:rsidTr="00C755E8">
        <w:tc>
          <w:tcPr>
            <w:tcW w:w="9394" w:type="dxa"/>
          </w:tcPr>
          <w:p w14:paraId="3D00EFB0" w14:textId="77777777" w:rsidR="005A1B59" w:rsidRDefault="005A1B59" w:rsidP="00C755E8">
            <w:pPr>
              <w:spacing w:after="0"/>
              <w:jc w:val="both"/>
              <w:rPr>
                <w:rFonts w:ascii="Arial" w:hAnsi="Arial" w:cs="Arial"/>
              </w:rPr>
            </w:pPr>
            <w:r w:rsidRPr="00667871">
              <w:rPr>
                <w:rFonts w:ascii="Arial" w:hAnsi="Arial" w:cs="Arial"/>
                <w:sz w:val="18"/>
              </w:rPr>
              <w:lastRenderedPageBreak/>
              <w:t>Los valores de este grupo de Claves se pueden encontrar en la pestaña “C</w:t>
            </w:r>
            <w:r>
              <w:rPr>
                <w:rFonts w:ascii="Arial" w:hAnsi="Arial" w:cs="Arial"/>
                <w:sz w:val="18"/>
              </w:rPr>
              <w:t>104_REGION_COMERCIAL</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33A72D9A"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585A7047" w14:textId="77777777" w:rsidTr="00C755E8">
        <w:tc>
          <w:tcPr>
            <w:tcW w:w="9394" w:type="dxa"/>
            <w:shd w:val="clear" w:color="auto" w:fill="D9D9D9" w:themeFill="background1" w:themeFillShade="D9"/>
          </w:tcPr>
          <w:p w14:paraId="2F8D3C98" w14:textId="77777777" w:rsidR="005A1B59" w:rsidRPr="00057A43" w:rsidRDefault="005A1B59" w:rsidP="00C755E8">
            <w:pPr>
              <w:spacing w:after="0"/>
              <w:rPr>
                <w:rFonts w:ascii="Arial" w:hAnsi="Arial" w:cs="Arial"/>
                <w:b/>
              </w:rPr>
            </w:pPr>
            <w:r w:rsidRPr="00057A43">
              <w:rPr>
                <w:rFonts w:ascii="Arial" w:hAnsi="Arial" w:cs="Arial"/>
                <w:b/>
                <w:sz w:val="18"/>
              </w:rPr>
              <w:t>Grupo de claves C201</w:t>
            </w:r>
          </w:p>
        </w:tc>
      </w:tr>
      <w:tr w:rsidR="005A1B59" w14:paraId="265D09F4" w14:textId="77777777" w:rsidTr="00C755E8">
        <w:tc>
          <w:tcPr>
            <w:tcW w:w="9394" w:type="dxa"/>
          </w:tcPr>
          <w:p w14:paraId="20924490"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201_RED_ACCESO_GENERAL</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5A538D9C"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29892CDF" w14:textId="77777777" w:rsidTr="00C755E8">
        <w:tc>
          <w:tcPr>
            <w:tcW w:w="9394" w:type="dxa"/>
            <w:shd w:val="clear" w:color="auto" w:fill="D9D9D9" w:themeFill="background1" w:themeFillShade="D9"/>
          </w:tcPr>
          <w:p w14:paraId="526C8DCF" w14:textId="77777777" w:rsidR="005A1B59" w:rsidRPr="00057A43" w:rsidRDefault="005A1B59" w:rsidP="00C755E8">
            <w:pPr>
              <w:spacing w:after="0"/>
              <w:rPr>
                <w:rFonts w:ascii="Arial" w:hAnsi="Arial" w:cs="Arial"/>
                <w:b/>
              </w:rPr>
            </w:pPr>
            <w:r w:rsidRPr="00057A43">
              <w:rPr>
                <w:rFonts w:ascii="Arial" w:hAnsi="Arial" w:cs="Arial"/>
                <w:b/>
                <w:sz w:val="18"/>
              </w:rPr>
              <w:t>Grupo de claves C301</w:t>
            </w:r>
          </w:p>
        </w:tc>
      </w:tr>
      <w:tr w:rsidR="005A1B59" w14:paraId="0B24CC55" w14:textId="77777777" w:rsidTr="00C755E8">
        <w:tc>
          <w:tcPr>
            <w:tcW w:w="9394" w:type="dxa"/>
          </w:tcPr>
          <w:p w14:paraId="0E8B255B"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301_TECNO_GENERAL</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1DBF9C2B"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7EC73640" w14:textId="77777777" w:rsidTr="00C755E8">
        <w:tc>
          <w:tcPr>
            <w:tcW w:w="9394" w:type="dxa"/>
            <w:shd w:val="clear" w:color="auto" w:fill="D9D9D9" w:themeFill="background1" w:themeFillShade="D9"/>
          </w:tcPr>
          <w:p w14:paraId="5AD6D571" w14:textId="77777777" w:rsidR="005A1B59" w:rsidRPr="00057A43" w:rsidRDefault="005A1B59" w:rsidP="00C755E8">
            <w:pPr>
              <w:spacing w:after="0"/>
              <w:rPr>
                <w:rFonts w:ascii="Arial" w:hAnsi="Arial" w:cs="Arial"/>
                <w:b/>
              </w:rPr>
            </w:pPr>
            <w:r w:rsidRPr="00057A43">
              <w:rPr>
                <w:rFonts w:ascii="Arial" w:hAnsi="Arial" w:cs="Arial"/>
                <w:b/>
                <w:sz w:val="18"/>
              </w:rPr>
              <w:t>Grupo de claves C401</w:t>
            </w:r>
          </w:p>
        </w:tc>
      </w:tr>
      <w:tr w:rsidR="005A1B59" w14:paraId="32A004ED" w14:textId="77777777" w:rsidTr="00C755E8">
        <w:tc>
          <w:tcPr>
            <w:tcW w:w="9394" w:type="dxa"/>
          </w:tcPr>
          <w:p w14:paraId="3B792C29"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401_CAP_ENLACES</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3FE9BE61"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08AE9CDA" w14:textId="77777777" w:rsidTr="00C755E8">
        <w:tc>
          <w:tcPr>
            <w:tcW w:w="9394" w:type="dxa"/>
            <w:shd w:val="clear" w:color="auto" w:fill="D9D9D9" w:themeFill="background1" w:themeFillShade="D9"/>
          </w:tcPr>
          <w:p w14:paraId="0539779E" w14:textId="77777777" w:rsidR="005A1B59" w:rsidRPr="00057A43" w:rsidRDefault="005A1B59" w:rsidP="00C755E8">
            <w:pPr>
              <w:spacing w:after="0"/>
              <w:rPr>
                <w:rFonts w:ascii="Arial" w:hAnsi="Arial" w:cs="Arial"/>
                <w:b/>
              </w:rPr>
            </w:pPr>
            <w:r w:rsidRPr="00057A43">
              <w:rPr>
                <w:rFonts w:ascii="Arial" w:hAnsi="Arial" w:cs="Arial"/>
                <w:b/>
                <w:sz w:val="18"/>
              </w:rPr>
              <w:t>Grupo de claves C402</w:t>
            </w:r>
          </w:p>
        </w:tc>
      </w:tr>
      <w:tr w:rsidR="005A1B59" w14:paraId="55B4B054" w14:textId="77777777" w:rsidTr="00C755E8">
        <w:tc>
          <w:tcPr>
            <w:tcW w:w="9394" w:type="dxa"/>
          </w:tcPr>
          <w:p w14:paraId="2DC4105E"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402_VELOCIDAD</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0FDD599D"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20EC292A" w14:textId="77777777" w:rsidTr="00C755E8">
        <w:tc>
          <w:tcPr>
            <w:tcW w:w="9394" w:type="dxa"/>
            <w:shd w:val="clear" w:color="auto" w:fill="D9D9D9" w:themeFill="background1" w:themeFillShade="D9"/>
          </w:tcPr>
          <w:p w14:paraId="39C3A05F" w14:textId="77777777" w:rsidR="005A1B59" w:rsidRPr="00057A43" w:rsidRDefault="005A1B59" w:rsidP="00C755E8">
            <w:pPr>
              <w:spacing w:after="0"/>
              <w:rPr>
                <w:rFonts w:ascii="Arial" w:hAnsi="Arial" w:cs="Arial"/>
                <w:b/>
              </w:rPr>
            </w:pPr>
            <w:r w:rsidRPr="00057A43">
              <w:rPr>
                <w:rFonts w:ascii="Arial" w:hAnsi="Arial" w:cs="Arial"/>
                <w:b/>
                <w:sz w:val="18"/>
              </w:rPr>
              <w:t>Grupo de claves C501</w:t>
            </w:r>
          </w:p>
        </w:tc>
      </w:tr>
      <w:tr w:rsidR="005A1B59" w14:paraId="1228DEC9" w14:textId="77777777" w:rsidTr="00C755E8">
        <w:tc>
          <w:tcPr>
            <w:tcW w:w="9394" w:type="dxa"/>
          </w:tcPr>
          <w:p w14:paraId="1EF40321"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501_AÑO</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44F777AC" w14:textId="77777777" w:rsidR="005A1B59" w:rsidRDefault="005A1B59" w:rsidP="005A1B59">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5A1B59" w14:paraId="54D25ECA" w14:textId="77777777" w:rsidTr="00C755E8">
        <w:tc>
          <w:tcPr>
            <w:tcW w:w="9394" w:type="dxa"/>
            <w:shd w:val="clear" w:color="auto" w:fill="D9D9D9" w:themeFill="background1" w:themeFillShade="D9"/>
          </w:tcPr>
          <w:p w14:paraId="64B6D33B" w14:textId="77777777" w:rsidR="005A1B59" w:rsidRPr="00057A43" w:rsidRDefault="005A1B59" w:rsidP="00C755E8">
            <w:pPr>
              <w:spacing w:after="0"/>
              <w:rPr>
                <w:rFonts w:ascii="Arial" w:hAnsi="Arial" w:cs="Arial"/>
                <w:b/>
              </w:rPr>
            </w:pPr>
            <w:r w:rsidRPr="00057A43">
              <w:rPr>
                <w:rFonts w:ascii="Arial" w:hAnsi="Arial" w:cs="Arial"/>
                <w:b/>
                <w:sz w:val="18"/>
              </w:rPr>
              <w:t>Grupo de claves C502</w:t>
            </w:r>
          </w:p>
        </w:tc>
      </w:tr>
      <w:tr w:rsidR="005A1B59" w14:paraId="6E4F8652" w14:textId="77777777" w:rsidTr="00C755E8">
        <w:tc>
          <w:tcPr>
            <w:tcW w:w="9394" w:type="dxa"/>
          </w:tcPr>
          <w:p w14:paraId="258B5BDA" w14:textId="77777777" w:rsidR="005A1B59" w:rsidRDefault="005A1B59" w:rsidP="00C755E8">
            <w:pPr>
              <w:spacing w:after="0"/>
              <w:jc w:val="both"/>
              <w:rPr>
                <w:rFonts w:ascii="Arial" w:hAnsi="Arial" w:cs="Arial"/>
              </w:rPr>
            </w:pPr>
            <w:r w:rsidRPr="00667871">
              <w:rPr>
                <w:rFonts w:ascii="Arial" w:hAnsi="Arial" w:cs="Arial"/>
                <w:sz w:val="18"/>
              </w:rPr>
              <w:t>Los valores de este grupo de Claves se pueden encontrar en la pestaña “C</w:t>
            </w:r>
            <w:r>
              <w:rPr>
                <w:rFonts w:ascii="Arial" w:hAnsi="Arial" w:cs="Arial"/>
                <w:sz w:val="18"/>
              </w:rPr>
              <w:t>502_TRIMESTRE</w:t>
            </w:r>
            <w:r w:rsidRPr="00667871">
              <w:rPr>
                <w:rFonts w:ascii="Arial" w:hAnsi="Arial" w:cs="Arial"/>
                <w:sz w:val="18"/>
              </w:rPr>
              <w:t xml:space="preserve">” del CCI, el cual se puede consultar en la siguiente dirección </w:t>
            </w:r>
            <w:r w:rsidRPr="00057A43">
              <w:rPr>
                <w:rFonts w:ascii="Arial" w:hAnsi="Arial" w:cs="Arial"/>
                <w:sz w:val="18"/>
              </w:rPr>
              <w:t>http://www.ift.org.mx/CCI</w:t>
            </w:r>
            <w:r w:rsidRPr="00667871">
              <w:rPr>
                <w:rFonts w:ascii="Arial" w:hAnsi="Arial" w:cs="Arial"/>
                <w:sz w:val="18"/>
              </w:rPr>
              <w:t xml:space="preserve">. </w:t>
            </w:r>
            <w:r>
              <w:rPr>
                <w:rFonts w:ascii="Arial" w:hAnsi="Arial" w:cs="Arial"/>
                <w:sz w:val="18"/>
              </w:rPr>
              <w:t xml:space="preserve">La actualización de estas claves está sujeta a lo dispuesto en el Lineamiento Décimo tercero </w:t>
            </w:r>
            <w:r w:rsidRPr="00667871">
              <w:rPr>
                <w:rFonts w:ascii="Arial" w:hAnsi="Arial" w:cs="Arial"/>
                <w:sz w:val="18"/>
              </w:rPr>
              <w:t>de los Lineamientos para integrar el Acervo Estadístico del Instituto Federal de Telecomunicaciones.</w:t>
            </w:r>
          </w:p>
        </w:tc>
      </w:tr>
    </w:tbl>
    <w:p w14:paraId="4515DF8D" w14:textId="77777777" w:rsidR="00805FB9" w:rsidRPr="005A1B59" w:rsidRDefault="00805FB9" w:rsidP="005A1B59">
      <w:pPr>
        <w:spacing w:after="160" w:line="259" w:lineRule="auto"/>
        <w:jc w:val="both"/>
      </w:pPr>
    </w:p>
    <w:sectPr w:rsidR="00805FB9" w:rsidRPr="005A1B59" w:rsidSect="00483B13">
      <w:footnotePr>
        <w:numStart w:val="12"/>
      </w:footnotePr>
      <w:type w:val="continuous"/>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1279" w14:textId="77777777" w:rsidR="004F4C02" w:rsidRDefault="004F4C02" w:rsidP="000F1667">
      <w:pPr>
        <w:spacing w:after="0" w:line="240" w:lineRule="auto"/>
      </w:pPr>
      <w:r>
        <w:separator/>
      </w:r>
    </w:p>
  </w:endnote>
  <w:endnote w:type="continuationSeparator" w:id="0">
    <w:p w14:paraId="431DA21A" w14:textId="77777777" w:rsidR="004F4C02" w:rsidRDefault="004F4C02" w:rsidP="000F1667">
      <w:pPr>
        <w:spacing w:after="0" w:line="240" w:lineRule="auto"/>
      </w:pPr>
      <w:r>
        <w:continuationSeparator/>
      </w:r>
    </w:p>
  </w:endnote>
  <w:endnote w:type="continuationNotice" w:id="1">
    <w:p w14:paraId="5DB2F3B3" w14:textId="77777777" w:rsidR="004F4C02" w:rsidRDefault="004F4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51F3" w14:textId="77777777" w:rsidR="00CE6A0F" w:rsidRPr="00483B13" w:rsidRDefault="00000000" w:rsidP="00BB6A0B">
    <w:pPr>
      <w:pStyle w:val="Piedepgina"/>
      <w:jc w:val="right"/>
      <w:rPr>
        <w:rFonts w:ascii="Arial" w:hAnsi="Arial" w:cs="Arial"/>
        <w:sz w:val="12"/>
        <w:szCs w:val="12"/>
      </w:rPr>
    </w:pPr>
    <w:sdt>
      <w:sdtPr>
        <w:rPr>
          <w:rFonts w:ascii="Arial" w:hAnsi="Arial" w:cs="Arial"/>
          <w:sz w:val="12"/>
          <w:szCs w:val="12"/>
        </w:rPr>
        <w:id w:val="-366610312"/>
        <w:docPartObj>
          <w:docPartGallery w:val="Page Numbers (Bottom of Page)"/>
          <w:docPartUnique/>
        </w:docPartObj>
      </w:sdtPr>
      <w:sdtContent>
        <w:sdt>
          <w:sdtPr>
            <w:rPr>
              <w:rFonts w:ascii="Arial" w:hAnsi="Arial" w:cs="Arial"/>
              <w:sz w:val="12"/>
              <w:szCs w:val="12"/>
            </w:rPr>
            <w:id w:val="-1769616900"/>
            <w:docPartObj>
              <w:docPartGallery w:val="Page Numbers (Top of Page)"/>
              <w:docPartUnique/>
            </w:docPartObj>
          </w:sdtPr>
          <w:sdtContent>
            <w:r w:rsidR="00CE6A0F" w:rsidRPr="00483B13">
              <w:rPr>
                <w:rFonts w:ascii="Arial" w:hAnsi="Arial" w:cs="Arial"/>
                <w:sz w:val="12"/>
                <w:szCs w:val="12"/>
              </w:rPr>
              <w:t xml:space="preserve">Página </w:t>
            </w:r>
            <w:r w:rsidR="00CE6A0F" w:rsidRPr="00483B13">
              <w:rPr>
                <w:rFonts w:ascii="Arial" w:hAnsi="Arial" w:cs="Arial"/>
                <w:sz w:val="12"/>
                <w:szCs w:val="12"/>
              </w:rPr>
              <w:fldChar w:fldCharType="begin"/>
            </w:r>
            <w:r w:rsidR="00CE6A0F" w:rsidRPr="00483B13">
              <w:rPr>
                <w:rFonts w:ascii="Arial" w:hAnsi="Arial" w:cs="Arial"/>
                <w:sz w:val="12"/>
                <w:szCs w:val="12"/>
              </w:rPr>
              <w:instrText>PAGE</w:instrText>
            </w:r>
            <w:r w:rsidR="00CE6A0F" w:rsidRPr="00483B13">
              <w:rPr>
                <w:rFonts w:ascii="Arial" w:hAnsi="Arial" w:cs="Arial"/>
                <w:sz w:val="12"/>
                <w:szCs w:val="12"/>
              </w:rPr>
              <w:fldChar w:fldCharType="separate"/>
            </w:r>
            <w:r w:rsidR="00CE6A0F" w:rsidRPr="00483B13">
              <w:rPr>
                <w:rFonts w:ascii="Arial" w:hAnsi="Arial" w:cs="Arial"/>
                <w:sz w:val="12"/>
                <w:szCs w:val="12"/>
              </w:rPr>
              <w:t>1</w:t>
            </w:r>
            <w:r w:rsidR="00CE6A0F" w:rsidRPr="00483B13">
              <w:rPr>
                <w:rFonts w:ascii="Arial" w:hAnsi="Arial" w:cs="Arial"/>
                <w:sz w:val="12"/>
                <w:szCs w:val="12"/>
              </w:rPr>
              <w:fldChar w:fldCharType="end"/>
            </w:r>
            <w:r w:rsidR="00CE6A0F" w:rsidRPr="00483B13">
              <w:rPr>
                <w:rFonts w:ascii="Arial" w:hAnsi="Arial" w:cs="Arial"/>
                <w:sz w:val="12"/>
                <w:szCs w:val="12"/>
              </w:rPr>
              <w:t xml:space="preserve"> de </w:t>
            </w:r>
            <w:r w:rsidR="00CE6A0F" w:rsidRPr="00483B13">
              <w:rPr>
                <w:rFonts w:ascii="Arial" w:hAnsi="Arial" w:cs="Arial"/>
                <w:sz w:val="12"/>
                <w:szCs w:val="12"/>
              </w:rPr>
              <w:fldChar w:fldCharType="begin"/>
            </w:r>
            <w:r w:rsidR="00CE6A0F" w:rsidRPr="00483B13">
              <w:rPr>
                <w:rFonts w:ascii="Arial" w:hAnsi="Arial" w:cs="Arial"/>
                <w:sz w:val="12"/>
                <w:szCs w:val="12"/>
              </w:rPr>
              <w:instrText>NUMPAGES</w:instrText>
            </w:r>
            <w:r w:rsidR="00CE6A0F" w:rsidRPr="00483B13">
              <w:rPr>
                <w:rFonts w:ascii="Arial" w:hAnsi="Arial" w:cs="Arial"/>
                <w:sz w:val="12"/>
                <w:szCs w:val="12"/>
              </w:rPr>
              <w:fldChar w:fldCharType="separate"/>
            </w:r>
            <w:r w:rsidR="00CE6A0F" w:rsidRPr="00483B13">
              <w:rPr>
                <w:rFonts w:ascii="Arial" w:hAnsi="Arial" w:cs="Arial"/>
                <w:sz w:val="12"/>
                <w:szCs w:val="12"/>
              </w:rPr>
              <w:t>1</w:t>
            </w:r>
            <w:r w:rsidR="00CE6A0F" w:rsidRPr="00483B13">
              <w:rPr>
                <w:rFonts w:ascii="Arial" w:hAnsi="Arial" w:cs="Arial"/>
                <w:sz w:val="12"/>
                <w:szCs w:val="1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F1288" w14:textId="77777777" w:rsidR="004F4C02" w:rsidRDefault="004F4C02" w:rsidP="000F1667">
      <w:pPr>
        <w:spacing w:after="0" w:line="240" w:lineRule="auto"/>
      </w:pPr>
      <w:r>
        <w:separator/>
      </w:r>
    </w:p>
  </w:footnote>
  <w:footnote w:type="continuationSeparator" w:id="0">
    <w:p w14:paraId="4364A6E7" w14:textId="77777777" w:rsidR="004F4C02" w:rsidRDefault="004F4C02" w:rsidP="000F1667">
      <w:pPr>
        <w:spacing w:after="0" w:line="240" w:lineRule="auto"/>
      </w:pPr>
      <w:r>
        <w:continuationSeparator/>
      </w:r>
    </w:p>
  </w:footnote>
  <w:footnote w:type="continuationNotice" w:id="1">
    <w:p w14:paraId="178CED56" w14:textId="77777777" w:rsidR="004F4C02" w:rsidRDefault="004F4C02">
      <w:pPr>
        <w:spacing w:after="0" w:line="240" w:lineRule="auto"/>
      </w:pPr>
    </w:p>
  </w:footnote>
  <w:footnote w:id="2">
    <w:p w14:paraId="5685F1C9" w14:textId="5833AC59" w:rsidR="00CE6A0F" w:rsidRPr="0047518E" w:rsidRDefault="00CE6A0F" w:rsidP="0047518E">
      <w:pPr>
        <w:pStyle w:val="Textonotapie"/>
        <w:jc w:val="both"/>
        <w:rPr>
          <w:rFonts w:ascii="Arial" w:hAnsi="Arial" w:cs="Arial"/>
          <w:sz w:val="16"/>
          <w:szCs w:val="16"/>
          <w:lang w:val="es-MX"/>
        </w:rPr>
      </w:pPr>
      <w:r w:rsidRPr="0047518E">
        <w:rPr>
          <w:rStyle w:val="Refdenotaalpie"/>
          <w:rFonts w:ascii="Arial" w:hAnsi="Arial" w:cs="Arial"/>
          <w:sz w:val="16"/>
          <w:szCs w:val="16"/>
        </w:rPr>
        <w:footnoteRef/>
      </w:r>
      <w:r w:rsidRPr="0047518E">
        <w:rPr>
          <w:rFonts w:ascii="Arial" w:hAnsi="Arial" w:cs="Arial"/>
          <w:sz w:val="16"/>
          <w:szCs w:val="16"/>
        </w:rPr>
        <w:t xml:space="preserve"> Comité de Política Regulatoria de la OCDE. (2012). “Recomendación del Consejo sobre Política y Gobernanza Regulatoria”. OCDE. Recuperado el 26 de abril de 2019, de: https://www.oecd.org/es/publications/recomendacion-del-consejo-sobre-politica-y-gobernanza-regulatoria_9789264209046-es.html</w:t>
      </w:r>
    </w:p>
  </w:footnote>
  <w:footnote w:id="3">
    <w:p w14:paraId="516823A7" w14:textId="7059CAF6" w:rsidR="00CE6A0F" w:rsidRPr="0047518E" w:rsidRDefault="00CE6A0F" w:rsidP="0047518E">
      <w:pPr>
        <w:pStyle w:val="Textonotapie"/>
        <w:jc w:val="both"/>
        <w:rPr>
          <w:rFonts w:ascii="Arial" w:hAnsi="Arial" w:cs="Arial"/>
          <w:sz w:val="16"/>
          <w:szCs w:val="16"/>
          <w:lang w:val="es-MX"/>
        </w:rPr>
      </w:pPr>
      <w:r w:rsidRPr="0047518E">
        <w:rPr>
          <w:rStyle w:val="Refdenotaalpie"/>
          <w:rFonts w:ascii="Arial" w:hAnsi="Arial" w:cs="Arial"/>
          <w:sz w:val="16"/>
          <w:szCs w:val="16"/>
        </w:rPr>
        <w:footnoteRef/>
      </w:r>
      <w:r w:rsidRPr="0047518E">
        <w:rPr>
          <w:rFonts w:ascii="Arial" w:hAnsi="Arial" w:cs="Arial"/>
          <w:sz w:val="16"/>
          <w:szCs w:val="16"/>
        </w:rPr>
        <w:t xml:space="preserve"> El Instituto es sujeto obligado de conformidad con el artículo 6º, Apartado A, fracción I de la Constitución, en relación con los artículos 23 de la Ley General de Transparencia y Acceso a la Información Pública, y 1º y 9º de la Ley Federal de Transparencia y Acceso a la Información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6CAF" w14:textId="51AA06C6" w:rsidR="000D1B55" w:rsidRDefault="000D1B55">
    <w:pPr>
      <w:pStyle w:val="Encabezado"/>
    </w:pPr>
    <w:r>
      <w:rPr>
        <w:noProof/>
      </w:rPr>
      <w:pict w14:anchorId="5865B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017454" o:spid="_x0000_s1033"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7757" w14:textId="515A95F1" w:rsidR="00CE6A0F" w:rsidRDefault="000D1B55">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35" type="#_x0000_t75" alt="hoja membretada s dir-01" style="position:absolute;margin-left:-71pt;margin-top:-120.35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22E14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017455" o:spid="_x0000_s1034"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5691" w14:textId="0F03BBCD" w:rsidR="000D1B55" w:rsidRDefault="000D1B55">
    <w:pPr>
      <w:pStyle w:val="Encabezado"/>
    </w:pPr>
    <w:r>
      <w:rPr>
        <w:noProof/>
      </w:rPr>
      <w:pict w14:anchorId="36EBC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017453" o:spid="_x0000_s1032"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BC6"/>
    <w:multiLevelType w:val="hybridMultilevel"/>
    <w:tmpl w:val="292614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A1164"/>
    <w:multiLevelType w:val="hybridMultilevel"/>
    <w:tmpl w:val="6EFAF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E5626E"/>
    <w:multiLevelType w:val="hybridMultilevel"/>
    <w:tmpl w:val="C1D22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1B61D3"/>
    <w:multiLevelType w:val="hybridMultilevel"/>
    <w:tmpl w:val="5AC499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22B34"/>
    <w:multiLevelType w:val="hybridMultilevel"/>
    <w:tmpl w:val="59B88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1A237793"/>
    <w:multiLevelType w:val="hybridMultilevel"/>
    <w:tmpl w:val="191493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B32348"/>
    <w:multiLevelType w:val="hybridMultilevel"/>
    <w:tmpl w:val="877AFA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 w15:restartNumberingAfterBreak="0">
    <w:nsid w:val="25F31B13"/>
    <w:multiLevelType w:val="hybridMultilevel"/>
    <w:tmpl w:val="B92674E8"/>
    <w:lvl w:ilvl="0" w:tplc="080A0001">
      <w:start w:val="1"/>
      <w:numFmt w:val="bullet"/>
      <w:lvlText w:val=""/>
      <w:lvlJc w:val="left"/>
      <w:pPr>
        <w:ind w:left="135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D1126E"/>
    <w:multiLevelType w:val="hybridMultilevel"/>
    <w:tmpl w:val="06240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2C3344"/>
    <w:multiLevelType w:val="hybridMultilevel"/>
    <w:tmpl w:val="1AF8E444"/>
    <w:lvl w:ilvl="0" w:tplc="080A000F">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6" w15:restartNumberingAfterBreak="0">
    <w:nsid w:val="35A12FF3"/>
    <w:multiLevelType w:val="hybridMultilevel"/>
    <w:tmpl w:val="59B61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4817E9"/>
    <w:multiLevelType w:val="hybridMultilevel"/>
    <w:tmpl w:val="4D56695E"/>
    <w:lvl w:ilvl="0" w:tplc="9FB0D25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9" w15:restartNumberingAfterBreak="0">
    <w:nsid w:val="40B64871"/>
    <w:multiLevelType w:val="hybridMultilevel"/>
    <w:tmpl w:val="B582B59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4827269"/>
    <w:multiLevelType w:val="hybridMultilevel"/>
    <w:tmpl w:val="0A2211B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224222"/>
    <w:multiLevelType w:val="hybridMultilevel"/>
    <w:tmpl w:val="1E7CE1CA"/>
    <w:lvl w:ilvl="0" w:tplc="7CE61B9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C06F62"/>
    <w:multiLevelType w:val="hybridMultilevel"/>
    <w:tmpl w:val="B54E21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4D6E23"/>
    <w:multiLevelType w:val="hybridMultilevel"/>
    <w:tmpl w:val="3392C7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556336"/>
    <w:multiLevelType w:val="hybridMultilevel"/>
    <w:tmpl w:val="A1223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23665"/>
    <w:multiLevelType w:val="hybridMultilevel"/>
    <w:tmpl w:val="EBA60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072B30"/>
    <w:multiLevelType w:val="hybridMultilevel"/>
    <w:tmpl w:val="39EA36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E6AB9"/>
    <w:multiLevelType w:val="hybridMultilevel"/>
    <w:tmpl w:val="03BCBD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BD05C6"/>
    <w:multiLevelType w:val="hybridMultilevel"/>
    <w:tmpl w:val="BFA25C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3B5837"/>
    <w:multiLevelType w:val="hybridMultilevel"/>
    <w:tmpl w:val="0EC8530A"/>
    <w:lvl w:ilvl="0" w:tplc="080A0001">
      <w:start w:val="1"/>
      <w:numFmt w:val="bullet"/>
      <w:lvlText w:val=""/>
      <w:lvlJc w:val="left"/>
      <w:pPr>
        <w:ind w:left="1352" w:hanging="360"/>
      </w:pPr>
      <w:rPr>
        <w:rFonts w:ascii="Symbol" w:hAnsi="Symbol"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31" w15:restartNumberingAfterBreak="0">
    <w:nsid w:val="5C0D2410"/>
    <w:multiLevelType w:val="hybridMultilevel"/>
    <w:tmpl w:val="62C4821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0D5204B"/>
    <w:multiLevelType w:val="hybridMultilevel"/>
    <w:tmpl w:val="1BBEC8CE"/>
    <w:lvl w:ilvl="0" w:tplc="9FB0D25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AE1DEE"/>
    <w:multiLevelType w:val="hybridMultilevel"/>
    <w:tmpl w:val="D4F8AE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2402DA"/>
    <w:multiLevelType w:val="hybridMultilevel"/>
    <w:tmpl w:val="1AA6B0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CD36DD"/>
    <w:multiLevelType w:val="hybridMultilevel"/>
    <w:tmpl w:val="EBC80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0E1E96"/>
    <w:multiLevelType w:val="hybridMultilevel"/>
    <w:tmpl w:val="1B9EE10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C99666B"/>
    <w:multiLevelType w:val="hybridMultilevel"/>
    <w:tmpl w:val="CD8C0A0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104D50"/>
    <w:multiLevelType w:val="hybridMultilevel"/>
    <w:tmpl w:val="5FB2AA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4110BC7"/>
    <w:multiLevelType w:val="hybridMultilevel"/>
    <w:tmpl w:val="F1A601B0"/>
    <w:lvl w:ilvl="0" w:tplc="080A0001">
      <w:start w:val="1"/>
      <w:numFmt w:val="bullet"/>
      <w:lvlText w:val=""/>
      <w:lvlJc w:val="left"/>
      <w:pPr>
        <w:ind w:left="2344"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AA26AC1"/>
    <w:multiLevelType w:val="hybridMultilevel"/>
    <w:tmpl w:val="BE507D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D55F6E"/>
    <w:multiLevelType w:val="hybridMultilevel"/>
    <w:tmpl w:val="A6ACB4A2"/>
    <w:lvl w:ilvl="0" w:tplc="080A0019">
      <w:start w:val="1"/>
      <w:numFmt w:val="lowerLetter"/>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43" w15:restartNumberingAfterBreak="0">
    <w:nsid w:val="7CAF2B36"/>
    <w:multiLevelType w:val="hybridMultilevel"/>
    <w:tmpl w:val="BFA25C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BE3D8E"/>
    <w:multiLevelType w:val="hybridMultilevel"/>
    <w:tmpl w:val="60BEBBB2"/>
    <w:lvl w:ilvl="0" w:tplc="080A0019">
      <w:start w:val="1"/>
      <w:numFmt w:val="lowerLetter"/>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45" w15:restartNumberingAfterBreak="0">
    <w:nsid w:val="7DF86444"/>
    <w:multiLevelType w:val="hybridMultilevel"/>
    <w:tmpl w:val="BE1CB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8333892">
    <w:abstractNumId w:val="21"/>
  </w:num>
  <w:num w:numId="2" w16cid:durableId="1648390188">
    <w:abstractNumId w:val="5"/>
  </w:num>
  <w:num w:numId="3" w16cid:durableId="171259294">
    <w:abstractNumId w:val="7"/>
  </w:num>
  <w:num w:numId="4" w16cid:durableId="1205947386">
    <w:abstractNumId w:val="10"/>
  </w:num>
  <w:num w:numId="5" w16cid:durableId="1114860703">
    <w:abstractNumId w:val="12"/>
  </w:num>
  <w:num w:numId="6" w16cid:durableId="323053291">
    <w:abstractNumId w:val="39"/>
  </w:num>
  <w:num w:numId="7" w16cid:durableId="1010985029">
    <w:abstractNumId w:val="18"/>
  </w:num>
  <w:num w:numId="8" w16cid:durableId="1148933427">
    <w:abstractNumId w:val="15"/>
  </w:num>
  <w:num w:numId="9" w16cid:durableId="1746343838">
    <w:abstractNumId w:val="2"/>
  </w:num>
  <w:num w:numId="10" w16cid:durableId="1339502295">
    <w:abstractNumId w:val="35"/>
  </w:num>
  <w:num w:numId="11" w16cid:durableId="1266767210">
    <w:abstractNumId w:val="28"/>
  </w:num>
  <w:num w:numId="12" w16cid:durableId="1625580679">
    <w:abstractNumId w:val="45"/>
  </w:num>
  <w:num w:numId="13" w16cid:durableId="1180192774">
    <w:abstractNumId w:val="0"/>
  </w:num>
  <w:num w:numId="14" w16cid:durableId="420222145">
    <w:abstractNumId w:val="4"/>
  </w:num>
  <w:num w:numId="15" w16cid:durableId="1613442361">
    <w:abstractNumId w:val="9"/>
  </w:num>
  <w:num w:numId="16" w16cid:durableId="385105120">
    <w:abstractNumId w:val="8"/>
  </w:num>
  <w:num w:numId="17" w16cid:durableId="2146046332">
    <w:abstractNumId w:val="17"/>
  </w:num>
  <w:num w:numId="18" w16cid:durableId="1624002014">
    <w:abstractNumId w:val="32"/>
  </w:num>
  <w:num w:numId="19" w16cid:durableId="99103432">
    <w:abstractNumId w:val="22"/>
  </w:num>
  <w:num w:numId="20" w16cid:durableId="1862161944">
    <w:abstractNumId w:val="29"/>
  </w:num>
  <w:num w:numId="21" w16cid:durableId="383911344">
    <w:abstractNumId w:val="34"/>
  </w:num>
  <w:num w:numId="22" w16cid:durableId="1570770836">
    <w:abstractNumId w:val="43"/>
  </w:num>
  <w:num w:numId="23" w16cid:durableId="1075084631">
    <w:abstractNumId w:val="33"/>
  </w:num>
  <w:num w:numId="24" w16cid:durableId="1616908897">
    <w:abstractNumId w:val="13"/>
  </w:num>
  <w:num w:numId="25" w16cid:durableId="770392474">
    <w:abstractNumId w:val="41"/>
  </w:num>
  <w:num w:numId="26" w16cid:durableId="1615091089">
    <w:abstractNumId w:val="1"/>
  </w:num>
  <w:num w:numId="27" w16cid:durableId="368147428">
    <w:abstractNumId w:val="42"/>
  </w:num>
  <w:num w:numId="28" w16cid:durableId="1275671261">
    <w:abstractNumId w:val="26"/>
  </w:num>
  <w:num w:numId="29" w16cid:durableId="279268706">
    <w:abstractNumId w:val="44"/>
  </w:num>
  <w:num w:numId="30" w16cid:durableId="987977386">
    <w:abstractNumId w:val="16"/>
  </w:num>
  <w:num w:numId="31" w16cid:durableId="721632451">
    <w:abstractNumId w:val="6"/>
  </w:num>
  <w:num w:numId="32" w16cid:durableId="33234543">
    <w:abstractNumId w:val="11"/>
  </w:num>
  <w:num w:numId="33" w16cid:durableId="951278720">
    <w:abstractNumId w:val="23"/>
  </w:num>
  <w:num w:numId="34" w16cid:durableId="1721711580">
    <w:abstractNumId w:val="30"/>
  </w:num>
  <w:num w:numId="35" w16cid:durableId="372122154">
    <w:abstractNumId w:val="27"/>
  </w:num>
  <w:num w:numId="36" w16cid:durableId="1499733286">
    <w:abstractNumId w:val="25"/>
  </w:num>
  <w:num w:numId="37" w16cid:durableId="1491747519">
    <w:abstractNumId w:val="24"/>
  </w:num>
  <w:num w:numId="38" w16cid:durableId="2106919486">
    <w:abstractNumId w:val="3"/>
  </w:num>
  <w:num w:numId="39" w16cid:durableId="2054689536">
    <w:abstractNumId w:val="20"/>
  </w:num>
  <w:num w:numId="40" w16cid:durableId="1549759527">
    <w:abstractNumId w:val="19"/>
  </w:num>
  <w:num w:numId="41" w16cid:durableId="112788577">
    <w:abstractNumId w:val="31"/>
  </w:num>
  <w:num w:numId="42" w16cid:durableId="1805149122">
    <w:abstractNumId w:val="36"/>
  </w:num>
  <w:num w:numId="43" w16cid:durableId="1439137022">
    <w:abstractNumId w:val="38"/>
  </w:num>
  <w:num w:numId="44" w16cid:durableId="1210918591">
    <w:abstractNumId w:val="40"/>
  </w:num>
  <w:num w:numId="45" w16cid:durableId="1518150838">
    <w:abstractNumId w:val="14"/>
  </w:num>
  <w:num w:numId="46" w16cid:durableId="100416786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798E"/>
    <w:rsid w:val="000103B3"/>
    <w:rsid w:val="00011227"/>
    <w:rsid w:val="0001224C"/>
    <w:rsid w:val="00015C2E"/>
    <w:rsid w:val="00017429"/>
    <w:rsid w:val="00017712"/>
    <w:rsid w:val="00021555"/>
    <w:rsid w:val="000217F6"/>
    <w:rsid w:val="000234B4"/>
    <w:rsid w:val="0002426D"/>
    <w:rsid w:val="00024AF5"/>
    <w:rsid w:val="00024EF0"/>
    <w:rsid w:val="000250C1"/>
    <w:rsid w:val="00034C40"/>
    <w:rsid w:val="00036160"/>
    <w:rsid w:val="00040DEF"/>
    <w:rsid w:val="0004749E"/>
    <w:rsid w:val="00050531"/>
    <w:rsid w:val="00050A90"/>
    <w:rsid w:val="0005359F"/>
    <w:rsid w:val="00056B6B"/>
    <w:rsid w:val="000577B5"/>
    <w:rsid w:val="00065D74"/>
    <w:rsid w:val="0006607E"/>
    <w:rsid w:val="0006709A"/>
    <w:rsid w:val="00081414"/>
    <w:rsid w:val="00084D49"/>
    <w:rsid w:val="000857D6"/>
    <w:rsid w:val="00086F4B"/>
    <w:rsid w:val="000934CA"/>
    <w:rsid w:val="00093AE8"/>
    <w:rsid w:val="0009571C"/>
    <w:rsid w:val="0009713D"/>
    <w:rsid w:val="000A18C3"/>
    <w:rsid w:val="000B0DA5"/>
    <w:rsid w:val="000B33AD"/>
    <w:rsid w:val="000B569E"/>
    <w:rsid w:val="000B58EC"/>
    <w:rsid w:val="000B663C"/>
    <w:rsid w:val="000C5017"/>
    <w:rsid w:val="000C67C8"/>
    <w:rsid w:val="000D1B55"/>
    <w:rsid w:val="000D389A"/>
    <w:rsid w:val="000D443C"/>
    <w:rsid w:val="000D70AE"/>
    <w:rsid w:val="000E20F9"/>
    <w:rsid w:val="000E2A24"/>
    <w:rsid w:val="000E6076"/>
    <w:rsid w:val="000F1667"/>
    <w:rsid w:val="000F17A9"/>
    <w:rsid w:val="000F40CA"/>
    <w:rsid w:val="001019E0"/>
    <w:rsid w:val="0010351A"/>
    <w:rsid w:val="0010495D"/>
    <w:rsid w:val="00105B84"/>
    <w:rsid w:val="0010770D"/>
    <w:rsid w:val="0011347F"/>
    <w:rsid w:val="00114F1F"/>
    <w:rsid w:val="001152B1"/>
    <w:rsid w:val="00115D2F"/>
    <w:rsid w:val="00117036"/>
    <w:rsid w:val="00117045"/>
    <w:rsid w:val="001225FE"/>
    <w:rsid w:val="00130E65"/>
    <w:rsid w:val="001359C4"/>
    <w:rsid w:val="00141817"/>
    <w:rsid w:val="00141E31"/>
    <w:rsid w:val="00142C05"/>
    <w:rsid w:val="00142E5E"/>
    <w:rsid w:val="001461F4"/>
    <w:rsid w:val="0014639D"/>
    <w:rsid w:val="001468CF"/>
    <w:rsid w:val="00146B5E"/>
    <w:rsid w:val="00147288"/>
    <w:rsid w:val="00150F9F"/>
    <w:rsid w:val="00153C8B"/>
    <w:rsid w:val="001556CF"/>
    <w:rsid w:val="001563EA"/>
    <w:rsid w:val="00160399"/>
    <w:rsid w:val="001612D4"/>
    <w:rsid w:val="0016322D"/>
    <w:rsid w:val="00166A85"/>
    <w:rsid w:val="00167413"/>
    <w:rsid w:val="001700E9"/>
    <w:rsid w:val="001712AB"/>
    <w:rsid w:val="00172329"/>
    <w:rsid w:val="00172335"/>
    <w:rsid w:val="0017341C"/>
    <w:rsid w:val="00173DFC"/>
    <w:rsid w:val="00173F38"/>
    <w:rsid w:val="00182381"/>
    <w:rsid w:val="00196829"/>
    <w:rsid w:val="001A0AF1"/>
    <w:rsid w:val="001A13DD"/>
    <w:rsid w:val="001A25F9"/>
    <w:rsid w:val="001A2A44"/>
    <w:rsid w:val="001A6A90"/>
    <w:rsid w:val="001B2838"/>
    <w:rsid w:val="001B32CE"/>
    <w:rsid w:val="001C233B"/>
    <w:rsid w:val="001C6A71"/>
    <w:rsid w:val="001D12ED"/>
    <w:rsid w:val="001D5AE8"/>
    <w:rsid w:val="001E04FE"/>
    <w:rsid w:val="001E5901"/>
    <w:rsid w:val="001E5A39"/>
    <w:rsid w:val="001F203A"/>
    <w:rsid w:val="001F31EE"/>
    <w:rsid w:val="001F77D9"/>
    <w:rsid w:val="002023E9"/>
    <w:rsid w:val="002025C4"/>
    <w:rsid w:val="0020527C"/>
    <w:rsid w:val="0020692C"/>
    <w:rsid w:val="002107E6"/>
    <w:rsid w:val="00211123"/>
    <w:rsid w:val="00211884"/>
    <w:rsid w:val="002126CE"/>
    <w:rsid w:val="002157E2"/>
    <w:rsid w:val="00216DC5"/>
    <w:rsid w:val="00216E8F"/>
    <w:rsid w:val="00220801"/>
    <w:rsid w:val="002255F9"/>
    <w:rsid w:val="0022638F"/>
    <w:rsid w:val="002322A9"/>
    <w:rsid w:val="00233BE0"/>
    <w:rsid w:val="00241935"/>
    <w:rsid w:val="00244004"/>
    <w:rsid w:val="002444E9"/>
    <w:rsid w:val="002455D5"/>
    <w:rsid w:val="002468A1"/>
    <w:rsid w:val="00255540"/>
    <w:rsid w:val="0026248F"/>
    <w:rsid w:val="00263BA2"/>
    <w:rsid w:val="002731A7"/>
    <w:rsid w:val="0028705D"/>
    <w:rsid w:val="002873A4"/>
    <w:rsid w:val="00290BDC"/>
    <w:rsid w:val="0029170E"/>
    <w:rsid w:val="00291737"/>
    <w:rsid w:val="00292BB8"/>
    <w:rsid w:val="002976BA"/>
    <w:rsid w:val="00297A60"/>
    <w:rsid w:val="002A03E9"/>
    <w:rsid w:val="002A0E6B"/>
    <w:rsid w:val="002A29C2"/>
    <w:rsid w:val="002A3C3A"/>
    <w:rsid w:val="002C0E05"/>
    <w:rsid w:val="002C2350"/>
    <w:rsid w:val="002C3077"/>
    <w:rsid w:val="002D53F5"/>
    <w:rsid w:val="002D55FA"/>
    <w:rsid w:val="002E187C"/>
    <w:rsid w:val="00301288"/>
    <w:rsid w:val="00302543"/>
    <w:rsid w:val="00303232"/>
    <w:rsid w:val="003034E1"/>
    <w:rsid w:val="00311107"/>
    <w:rsid w:val="003115C1"/>
    <w:rsid w:val="0031638B"/>
    <w:rsid w:val="00317527"/>
    <w:rsid w:val="003260D3"/>
    <w:rsid w:val="0032647B"/>
    <w:rsid w:val="003310CC"/>
    <w:rsid w:val="0033402E"/>
    <w:rsid w:val="003352AD"/>
    <w:rsid w:val="003403AB"/>
    <w:rsid w:val="00340F7D"/>
    <w:rsid w:val="003637BB"/>
    <w:rsid w:val="00365CA2"/>
    <w:rsid w:val="00370D45"/>
    <w:rsid w:val="00375230"/>
    <w:rsid w:val="00377499"/>
    <w:rsid w:val="00377CBA"/>
    <w:rsid w:val="003813E3"/>
    <w:rsid w:val="00387884"/>
    <w:rsid w:val="00390D88"/>
    <w:rsid w:val="003953DA"/>
    <w:rsid w:val="00396FA4"/>
    <w:rsid w:val="0039731A"/>
    <w:rsid w:val="003A2EF9"/>
    <w:rsid w:val="003A35DA"/>
    <w:rsid w:val="003A3AF9"/>
    <w:rsid w:val="003A4D54"/>
    <w:rsid w:val="003A50DE"/>
    <w:rsid w:val="003A523B"/>
    <w:rsid w:val="003A6FD5"/>
    <w:rsid w:val="003A7F61"/>
    <w:rsid w:val="003B0462"/>
    <w:rsid w:val="003D0554"/>
    <w:rsid w:val="003D085B"/>
    <w:rsid w:val="003D2CF5"/>
    <w:rsid w:val="003E2E34"/>
    <w:rsid w:val="003E6265"/>
    <w:rsid w:val="003F1F15"/>
    <w:rsid w:val="003F5473"/>
    <w:rsid w:val="003F6541"/>
    <w:rsid w:val="00401260"/>
    <w:rsid w:val="0040135C"/>
    <w:rsid w:val="00404C0B"/>
    <w:rsid w:val="00404D6C"/>
    <w:rsid w:val="0040628E"/>
    <w:rsid w:val="00414ADB"/>
    <w:rsid w:val="00421550"/>
    <w:rsid w:val="00423A91"/>
    <w:rsid w:val="00434054"/>
    <w:rsid w:val="004353BF"/>
    <w:rsid w:val="00435C95"/>
    <w:rsid w:val="00440974"/>
    <w:rsid w:val="00446BDD"/>
    <w:rsid w:val="00457A8B"/>
    <w:rsid w:val="004650C6"/>
    <w:rsid w:val="00467E39"/>
    <w:rsid w:val="00470C13"/>
    <w:rsid w:val="00474FD5"/>
    <w:rsid w:val="0047518E"/>
    <w:rsid w:val="00483762"/>
    <w:rsid w:val="00483B13"/>
    <w:rsid w:val="00487709"/>
    <w:rsid w:val="004915D6"/>
    <w:rsid w:val="00493105"/>
    <w:rsid w:val="0049346A"/>
    <w:rsid w:val="00493B5A"/>
    <w:rsid w:val="004960E7"/>
    <w:rsid w:val="0049700C"/>
    <w:rsid w:val="00497B88"/>
    <w:rsid w:val="004A1653"/>
    <w:rsid w:val="004A5F6C"/>
    <w:rsid w:val="004B1BC0"/>
    <w:rsid w:val="004B2672"/>
    <w:rsid w:val="004B48FA"/>
    <w:rsid w:val="004C0D02"/>
    <w:rsid w:val="004C2D28"/>
    <w:rsid w:val="004C673C"/>
    <w:rsid w:val="004D3BA7"/>
    <w:rsid w:val="004E2287"/>
    <w:rsid w:val="004E2A34"/>
    <w:rsid w:val="004E343B"/>
    <w:rsid w:val="004E49FE"/>
    <w:rsid w:val="004F0417"/>
    <w:rsid w:val="004F3326"/>
    <w:rsid w:val="004F49DF"/>
    <w:rsid w:val="004F4C02"/>
    <w:rsid w:val="005002AA"/>
    <w:rsid w:val="00500965"/>
    <w:rsid w:val="005057F8"/>
    <w:rsid w:val="00505A0C"/>
    <w:rsid w:val="005105C3"/>
    <w:rsid w:val="00511DA9"/>
    <w:rsid w:val="00522D16"/>
    <w:rsid w:val="00531C8B"/>
    <w:rsid w:val="00532E03"/>
    <w:rsid w:val="0053373A"/>
    <w:rsid w:val="00533C2F"/>
    <w:rsid w:val="00546B3A"/>
    <w:rsid w:val="00556EC1"/>
    <w:rsid w:val="005642DD"/>
    <w:rsid w:val="00566590"/>
    <w:rsid w:val="0057199D"/>
    <w:rsid w:val="00574ACD"/>
    <w:rsid w:val="00580DC2"/>
    <w:rsid w:val="00585140"/>
    <w:rsid w:val="00586FCA"/>
    <w:rsid w:val="00591F45"/>
    <w:rsid w:val="00594F1F"/>
    <w:rsid w:val="00595151"/>
    <w:rsid w:val="005964CC"/>
    <w:rsid w:val="00597903"/>
    <w:rsid w:val="00597B65"/>
    <w:rsid w:val="00597B8A"/>
    <w:rsid w:val="005A1B59"/>
    <w:rsid w:val="005A1BEA"/>
    <w:rsid w:val="005A64CE"/>
    <w:rsid w:val="005B03CA"/>
    <w:rsid w:val="005B1025"/>
    <w:rsid w:val="005B38F7"/>
    <w:rsid w:val="005B7894"/>
    <w:rsid w:val="005C28C1"/>
    <w:rsid w:val="005C37EA"/>
    <w:rsid w:val="005C584C"/>
    <w:rsid w:val="005C765A"/>
    <w:rsid w:val="005C7ED6"/>
    <w:rsid w:val="005D1983"/>
    <w:rsid w:val="005D3651"/>
    <w:rsid w:val="005D4690"/>
    <w:rsid w:val="005E7BBE"/>
    <w:rsid w:val="005F2DCB"/>
    <w:rsid w:val="005F4F3D"/>
    <w:rsid w:val="00602B68"/>
    <w:rsid w:val="006051DD"/>
    <w:rsid w:val="00606A05"/>
    <w:rsid w:val="00610BA5"/>
    <w:rsid w:val="00620661"/>
    <w:rsid w:val="00623A16"/>
    <w:rsid w:val="006242D1"/>
    <w:rsid w:val="0062679A"/>
    <w:rsid w:val="00626B37"/>
    <w:rsid w:val="00626ED3"/>
    <w:rsid w:val="00627453"/>
    <w:rsid w:val="006279CC"/>
    <w:rsid w:val="006314C5"/>
    <w:rsid w:val="00631733"/>
    <w:rsid w:val="0063343A"/>
    <w:rsid w:val="00634B49"/>
    <w:rsid w:val="0063527F"/>
    <w:rsid w:val="00635534"/>
    <w:rsid w:val="00636761"/>
    <w:rsid w:val="006413F4"/>
    <w:rsid w:val="00641D04"/>
    <w:rsid w:val="00643E82"/>
    <w:rsid w:val="00646089"/>
    <w:rsid w:val="00646DE9"/>
    <w:rsid w:val="00647D55"/>
    <w:rsid w:val="00650BE9"/>
    <w:rsid w:val="0065159F"/>
    <w:rsid w:val="00663B54"/>
    <w:rsid w:val="00672D0A"/>
    <w:rsid w:val="0067713B"/>
    <w:rsid w:val="006774FD"/>
    <w:rsid w:val="00681C64"/>
    <w:rsid w:val="00681C66"/>
    <w:rsid w:val="00684444"/>
    <w:rsid w:val="00685E3E"/>
    <w:rsid w:val="006876F3"/>
    <w:rsid w:val="006915AC"/>
    <w:rsid w:val="00696C51"/>
    <w:rsid w:val="00697B64"/>
    <w:rsid w:val="006A478A"/>
    <w:rsid w:val="006B03F7"/>
    <w:rsid w:val="006B4FB9"/>
    <w:rsid w:val="006B770B"/>
    <w:rsid w:val="006C18EB"/>
    <w:rsid w:val="006C1966"/>
    <w:rsid w:val="006C458D"/>
    <w:rsid w:val="006C4B14"/>
    <w:rsid w:val="006C4DD2"/>
    <w:rsid w:val="006D24CB"/>
    <w:rsid w:val="006D6915"/>
    <w:rsid w:val="006E0C17"/>
    <w:rsid w:val="006E2278"/>
    <w:rsid w:val="006E3DF0"/>
    <w:rsid w:val="006E5A46"/>
    <w:rsid w:val="006E5F09"/>
    <w:rsid w:val="006F0AF3"/>
    <w:rsid w:val="007002C0"/>
    <w:rsid w:val="00703E66"/>
    <w:rsid w:val="00704F51"/>
    <w:rsid w:val="00706A5E"/>
    <w:rsid w:val="00712DD0"/>
    <w:rsid w:val="0071603D"/>
    <w:rsid w:val="00721257"/>
    <w:rsid w:val="00722EB9"/>
    <w:rsid w:val="00724254"/>
    <w:rsid w:val="007243B7"/>
    <w:rsid w:val="0072572F"/>
    <w:rsid w:val="0073371D"/>
    <w:rsid w:val="00735221"/>
    <w:rsid w:val="007362F7"/>
    <w:rsid w:val="007369A2"/>
    <w:rsid w:val="00741A07"/>
    <w:rsid w:val="00742B40"/>
    <w:rsid w:val="00743B0B"/>
    <w:rsid w:val="007448D0"/>
    <w:rsid w:val="0074738F"/>
    <w:rsid w:val="00753A55"/>
    <w:rsid w:val="00755905"/>
    <w:rsid w:val="0076003B"/>
    <w:rsid w:val="00762F25"/>
    <w:rsid w:val="007674A8"/>
    <w:rsid w:val="00771778"/>
    <w:rsid w:val="0078795B"/>
    <w:rsid w:val="00791DAE"/>
    <w:rsid w:val="00791DB3"/>
    <w:rsid w:val="00797559"/>
    <w:rsid w:val="007A220A"/>
    <w:rsid w:val="007A3DC5"/>
    <w:rsid w:val="007A70EF"/>
    <w:rsid w:val="007B019D"/>
    <w:rsid w:val="007B0382"/>
    <w:rsid w:val="007B3838"/>
    <w:rsid w:val="007B70AA"/>
    <w:rsid w:val="007C453E"/>
    <w:rsid w:val="007D13BF"/>
    <w:rsid w:val="007D1FEB"/>
    <w:rsid w:val="007D31FF"/>
    <w:rsid w:val="007E23DC"/>
    <w:rsid w:val="007E3A22"/>
    <w:rsid w:val="007E6A86"/>
    <w:rsid w:val="008038D5"/>
    <w:rsid w:val="00804DB0"/>
    <w:rsid w:val="00805FB9"/>
    <w:rsid w:val="00806FC5"/>
    <w:rsid w:val="00810B2C"/>
    <w:rsid w:val="00812D26"/>
    <w:rsid w:val="00814FE3"/>
    <w:rsid w:val="00821EB5"/>
    <w:rsid w:val="008240E8"/>
    <w:rsid w:val="00824A3E"/>
    <w:rsid w:val="008253F1"/>
    <w:rsid w:val="0082755C"/>
    <w:rsid w:val="00831E1E"/>
    <w:rsid w:val="0083490C"/>
    <w:rsid w:val="00835C4C"/>
    <w:rsid w:val="008410DE"/>
    <w:rsid w:val="008420C6"/>
    <w:rsid w:val="008430F5"/>
    <w:rsid w:val="00845041"/>
    <w:rsid w:val="0084680E"/>
    <w:rsid w:val="00846E6C"/>
    <w:rsid w:val="00846F1E"/>
    <w:rsid w:val="00852F64"/>
    <w:rsid w:val="0086085E"/>
    <w:rsid w:val="0086384C"/>
    <w:rsid w:val="008706BC"/>
    <w:rsid w:val="00872FB9"/>
    <w:rsid w:val="008741B3"/>
    <w:rsid w:val="008771C6"/>
    <w:rsid w:val="008772D9"/>
    <w:rsid w:val="008806F9"/>
    <w:rsid w:val="00884DDC"/>
    <w:rsid w:val="00887443"/>
    <w:rsid w:val="00887CD4"/>
    <w:rsid w:val="008915BC"/>
    <w:rsid w:val="00895B6C"/>
    <w:rsid w:val="00897736"/>
    <w:rsid w:val="008B6343"/>
    <w:rsid w:val="008C0415"/>
    <w:rsid w:val="008C5D54"/>
    <w:rsid w:val="008C67C0"/>
    <w:rsid w:val="008D266D"/>
    <w:rsid w:val="008D4FEE"/>
    <w:rsid w:val="008D525D"/>
    <w:rsid w:val="008E08CA"/>
    <w:rsid w:val="008E309C"/>
    <w:rsid w:val="008E5057"/>
    <w:rsid w:val="008E638B"/>
    <w:rsid w:val="008F6593"/>
    <w:rsid w:val="008F7680"/>
    <w:rsid w:val="00903387"/>
    <w:rsid w:val="00903576"/>
    <w:rsid w:val="009040A7"/>
    <w:rsid w:val="0092611E"/>
    <w:rsid w:val="00927ADD"/>
    <w:rsid w:val="00935104"/>
    <w:rsid w:val="00941C94"/>
    <w:rsid w:val="00946017"/>
    <w:rsid w:val="00953B05"/>
    <w:rsid w:val="00962E0C"/>
    <w:rsid w:val="0097529C"/>
    <w:rsid w:val="00976A6A"/>
    <w:rsid w:val="00976FFD"/>
    <w:rsid w:val="00980AAF"/>
    <w:rsid w:val="009825E8"/>
    <w:rsid w:val="0098358B"/>
    <w:rsid w:val="00985C15"/>
    <w:rsid w:val="00986A87"/>
    <w:rsid w:val="00994F77"/>
    <w:rsid w:val="009A2D08"/>
    <w:rsid w:val="009B503E"/>
    <w:rsid w:val="009C096A"/>
    <w:rsid w:val="009C097A"/>
    <w:rsid w:val="009C2C21"/>
    <w:rsid w:val="009C4A24"/>
    <w:rsid w:val="009D4BBD"/>
    <w:rsid w:val="009D53FE"/>
    <w:rsid w:val="009E02BC"/>
    <w:rsid w:val="009E439F"/>
    <w:rsid w:val="009F528D"/>
    <w:rsid w:val="00A02DE5"/>
    <w:rsid w:val="00A04740"/>
    <w:rsid w:val="00A060C3"/>
    <w:rsid w:val="00A064F3"/>
    <w:rsid w:val="00A068EA"/>
    <w:rsid w:val="00A07A31"/>
    <w:rsid w:val="00A115C5"/>
    <w:rsid w:val="00A12019"/>
    <w:rsid w:val="00A13A15"/>
    <w:rsid w:val="00A1421C"/>
    <w:rsid w:val="00A20691"/>
    <w:rsid w:val="00A24193"/>
    <w:rsid w:val="00A31116"/>
    <w:rsid w:val="00A35CA5"/>
    <w:rsid w:val="00A360D0"/>
    <w:rsid w:val="00A37F50"/>
    <w:rsid w:val="00A4546E"/>
    <w:rsid w:val="00A50BBB"/>
    <w:rsid w:val="00A5245E"/>
    <w:rsid w:val="00A5282F"/>
    <w:rsid w:val="00A53EF9"/>
    <w:rsid w:val="00A54135"/>
    <w:rsid w:val="00A65DE0"/>
    <w:rsid w:val="00A664DC"/>
    <w:rsid w:val="00A7368E"/>
    <w:rsid w:val="00A748B3"/>
    <w:rsid w:val="00A77D1F"/>
    <w:rsid w:val="00A82A4E"/>
    <w:rsid w:val="00A84713"/>
    <w:rsid w:val="00A94C22"/>
    <w:rsid w:val="00AB0787"/>
    <w:rsid w:val="00AB0788"/>
    <w:rsid w:val="00AB4619"/>
    <w:rsid w:val="00AC09A4"/>
    <w:rsid w:val="00AD22D4"/>
    <w:rsid w:val="00AE0DEA"/>
    <w:rsid w:val="00AE30C2"/>
    <w:rsid w:val="00AF2292"/>
    <w:rsid w:val="00AF42A4"/>
    <w:rsid w:val="00AF6028"/>
    <w:rsid w:val="00B025D1"/>
    <w:rsid w:val="00B071EE"/>
    <w:rsid w:val="00B10381"/>
    <w:rsid w:val="00B115F2"/>
    <w:rsid w:val="00B15B13"/>
    <w:rsid w:val="00B20244"/>
    <w:rsid w:val="00B231CE"/>
    <w:rsid w:val="00B25448"/>
    <w:rsid w:val="00B25979"/>
    <w:rsid w:val="00B25B73"/>
    <w:rsid w:val="00B27019"/>
    <w:rsid w:val="00B33833"/>
    <w:rsid w:val="00B35339"/>
    <w:rsid w:val="00B44FC9"/>
    <w:rsid w:val="00B46C86"/>
    <w:rsid w:val="00B4708D"/>
    <w:rsid w:val="00B509BD"/>
    <w:rsid w:val="00B523AF"/>
    <w:rsid w:val="00B550DB"/>
    <w:rsid w:val="00B573E8"/>
    <w:rsid w:val="00B60625"/>
    <w:rsid w:val="00B65841"/>
    <w:rsid w:val="00B6650C"/>
    <w:rsid w:val="00B66C08"/>
    <w:rsid w:val="00B70BD3"/>
    <w:rsid w:val="00B7140B"/>
    <w:rsid w:val="00B7565E"/>
    <w:rsid w:val="00B7567C"/>
    <w:rsid w:val="00B83F47"/>
    <w:rsid w:val="00B86AF8"/>
    <w:rsid w:val="00B92AF5"/>
    <w:rsid w:val="00B93228"/>
    <w:rsid w:val="00B949A7"/>
    <w:rsid w:val="00BA3BBD"/>
    <w:rsid w:val="00BA74DA"/>
    <w:rsid w:val="00BA7DC7"/>
    <w:rsid w:val="00BB0A9C"/>
    <w:rsid w:val="00BB6713"/>
    <w:rsid w:val="00BB6A0B"/>
    <w:rsid w:val="00BB6CFA"/>
    <w:rsid w:val="00BC2262"/>
    <w:rsid w:val="00BC663C"/>
    <w:rsid w:val="00BD0A86"/>
    <w:rsid w:val="00BD4A92"/>
    <w:rsid w:val="00BD4B2D"/>
    <w:rsid w:val="00BE093A"/>
    <w:rsid w:val="00BE27A8"/>
    <w:rsid w:val="00BF05B1"/>
    <w:rsid w:val="00BF11CC"/>
    <w:rsid w:val="00C03BBA"/>
    <w:rsid w:val="00C04F5B"/>
    <w:rsid w:val="00C0545C"/>
    <w:rsid w:val="00C05604"/>
    <w:rsid w:val="00C0573D"/>
    <w:rsid w:val="00C1628E"/>
    <w:rsid w:val="00C16DF5"/>
    <w:rsid w:val="00C16E9A"/>
    <w:rsid w:val="00C20F36"/>
    <w:rsid w:val="00C252FB"/>
    <w:rsid w:val="00C26495"/>
    <w:rsid w:val="00C27CB7"/>
    <w:rsid w:val="00C302D7"/>
    <w:rsid w:val="00C344BD"/>
    <w:rsid w:val="00C35F1A"/>
    <w:rsid w:val="00C36AEB"/>
    <w:rsid w:val="00C4084B"/>
    <w:rsid w:val="00C4436C"/>
    <w:rsid w:val="00C565A9"/>
    <w:rsid w:val="00C60AAD"/>
    <w:rsid w:val="00C639F5"/>
    <w:rsid w:val="00C658F7"/>
    <w:rsid w:val="00C662CA"/>
    <w:rsid w:val="00C675B5"/>
    <w:rsid w:val="00C7013D"/>
    <w:rsid w:val="00C71BA8"/>
    <w:rsid w:val="00C73249"/>
    <w:rsid w:val="00C73676"/>
    <w:rsid w:val="00C7458F"/>
    <w:rsid w:val="00C755E8"/>
    <w:rsid w:val="00C76E41"/>
    <w:rsid w:val="00C84559"/>
    <w:rsid w:val="00C85629"/>
    <w:rsid w:val="00C8657F"/>
    <w:rsid w:val="00C91AFB"/>
    <w:rsid w:val="00C93FC5"/>
    <w:rsid w:val="00C9456B"/>
    <w:rsid w:val="00C96EE0"/>
    <w:rsid w:val="00C9799C"/>
    <w:rsid w:val="00CA0E9F"/>
    <w:rsid w:val="00CA2357"/>
    <w:rsid w:val="00CA56D6"/>
    <w:rsid w:val="00CA6D78"/>
    <w:rsid w:val="00CA7CBB"/>
    <w:rsid w:val="00CB03CE"/>
    <w:rsid w:val="00CB0A9D"/>
    <w:rsid w:val="00CB48F3"/>
    <w:rsid w:val="00CC5467"/>
    <w:rsid w:val="00CC6182"/>
    <w:rsid w:val="00CD1DB6"/>
    <w:rsid w:val="00CD51CA"/>
    <w:rsid w:val="00CD521F"/>
    <w:rsid w:val="00CD5F9E"/>
    <w:rsid w:val="00CD60CE"/>
    <w:rsid w:val="00CE0B10"/>
    <w:rsid w:val="00CE11DD"/>
    <w:rsid w:val="00CE4332"/>
    <w:rsid w:val="00CE6A0F"/>
    <w:rsid w:val="00CE7A10"/>
    <w:rsid w:val="00CF4A75"/>
    <w:rsid w:val="00D00D27"/>
    <w:rsid w:val="00D02180"/>
    <w:rsid w:val="00D024A4"/>
    <w:rsid w:val="00D03B35"/>
    <w:rsid w:val="00D05817"/>
    <w:rsid w:val="00D07F14"/>
    <w:rsid w:val="00D23FFD"/>
    <w:rsid w:val="00D2471F"/>
    <w:rsid w:val="00D269EB"/>
    <w:rsid w:val="00D26F7D"/>
    <w:rsid w:val="00D3285F"/>
    <w:rsid w:val="00D35CF1"/>
    <w:rsid w:val="00D403CE"/>
    <w:rsid w:val="00D424C3"/>
    <w:rsid w:val="00D43CF6"/>
    <w:rsid w:val="00D503E6"/>
    <w:rsid w:val="00D53474"/>
    <w:rsid w:val="00D56BC3"/>
    <w:rsid w:val="00D60CCE"/>
    <w:rsid w:val="00D6510A"/>
    <w:rsid w:val="00D72888"/>
    <w:rsid w:val="00D76E21"/>
    <w:rsid w:val="00D805F6"/>
    <w:rsid w:val="00D82191"/>
    <w:rsid w:val="00D82951"/>
    <w:rsid w:val="00D82BF9"/>
    <w:rsid w:val="00D871E5"/>
    <w:rsid w:val="00D919BC"/>
    <w:rsid w:val="00D91FCA"/>
    <w:rsid w:val="00D928FC"/>
    <w:rsid w:val="00D977DD"/>
    <w:rsid w:val="00DA0181"/>
    <w:rsid w:val="00DA0C3A"/>
    <w:rsid w:val="00DA151B"/>
    <w:rsid w:val="00DA1D60"/>
    <w:rsid w:val="00DA3043"/>
    <w:rsid w:val="00DA41C8"/>
    <w:rsid w:val="00DA53B9"/>
    <w:rsid w:val="00DA604E"/>
    <w:rsid w:val="00DA70EA"/>
    <w:rsid w:val="00DA7F41"/>
    <w:rsid w:val="00DB2D7B"/>
    <w:rsid w:val="00DB64F8"/>
    <w:rsid w:val="00DC1A43"/>
    <w:rsid w:val="00DC2EF7"/>
    <w:rsid w:val="00DC420A"/>
    <w:rsid w:val="00DC60CF"/>
    <w:rsid w:val="00DC61E8"/>
    <w:rsid w:val="00DC7C89"/>
    <w:rsid w:val="00DD27C1"/>
    <w:rsid w:val="00DD4EA6"/>
    <w:rsid w:val="00DD4FCD"/>
    <w:rsid w:val="00DD5A0B"/>
    <w:rsid w:val="00DD5E68"/>
    <w:rsid w:val="00DE000F"/>
    <w:rsid w:val="00DE20A8"/>
    <w:rsid w:val="00DF3E81"/>
    <w:rsid w:val="00E005A6"/>
    <w:rsid w:val="00E02B30"/>
    <w:rsid w:val="00E0490C"/>
    <w:rsid w:val="00E06194"/>
    <w:rsid w:val="00E0735D"/>
    <w:rsid w:val="00E10A60"/>
    <w:rsid w:val="00E11369"/>
    <w:rsid w:val="00E11FC5"/>
    <w:rsid w:val="00E16518"/>
    <w:rsid w:val="00E179A8"/>
    <w:rsid w:val="00E22BB7"/>
    <w:rsid w:val="00E3668D"/>
    <w:rsid w:val="00E44A4D"/>
    <w:rsid w:val="00E44E01"/>
    <w:rsid w:val="00E45065"/>
    <w:rsid w:val="00E47B82"/>
    <w:rsid w:val="00E51DCD"/>
    <w:rsid w:val="00E53363"/>
    <w:rsid w:val="00E5768B"/>
    <w:rsid w:val="00E612D5"/>
    <w:rsid w:val="00E61B01"/>
    <w:rsid w:val="00E621CB"/>
    <w:rsid w:val="00E63A7A"/>
    <w:rsid w:val="00E64094"/>
    <w:rsid w:val="00E735F5"/>
    <w:rsid w:val="00E74406"/>
    <w:rsid w:val="00E76AFD"/>
    <w:rsid w:val="00E778D8"/>
    <w:rsid w:val="00E81F57"/>
    <w:rsid w:val="00E8202C"/>
    <w:rsid w:val="00E82C13"/>
    <w:rsid w:val="00E90F27"/>
    <w:rsid w:val="00E95AAA"/>
    <w:rsid w:val="00EB2BA2"/>
    <w:rsid w:val="00EB35B6"/>
    <w:rsid w:val="00EB39C6"/>
    <w:rsid w:val="00EB3C4B"/>
    <w:rsid w:val="00EB7A55"/>
    <w:rsid w:val="00ED0195"/>
    <w:rsid w:val="00ED215A"/>
    <w:rsid w:val="00ED613B"/>
    <w:rsid w:val="00ED62C0"/>
    <w:rsid w:val="00ED7717"/>
    <w:rsid w:val="00EE0558"/>
    <w:rsid w:val="00EE1C59"/>
    <w:rsid w:val="00EE33AB"/>
    <w:rsid w:val="00EE3732"/>
    <w:rsid w:val="00EE62EA"/>
    <w:rsid w:val="00EE7E30"/>
    <w:rsid w:val="00EF241D"/>
    <w:rsid w:val="00EF410D"/>
    <w:rsid w:val="00F00339"/>
    <w:rsid w:val="00F051BE"/>
    <w:rsid w:val="00F0772B"/>
    <w:rsid w:val="00F10BDE"/>
    <w:rsid w:val="00F20A3A"/>
    <w:rsid w:val="00F21E89"/>
    <w:rsid w:val="00F25421"/>
    <w:rsid w:val="00F321A9"/>
    <w:rsid w:val="00F32C64"/>
    <w:rsid w:val="00F33CBE"/>
    <w:rsid w:val="00F33F9C"/>
    <w:rsid w:val="00F354E6"/>
    <w:rsid w:val="00F52C1B"/>
    <w:rsid w:val="00F55C92"/>
    <w:rsid w:val="00F55CB6"/>
    <w:rsid w:val="00F63510"/>
    <w:rsid w:val="00F73233"/>
    <w:rsid w:val="00F7441D"/>
    <w:rsid w:val="00F76D2C"/>
    <w:rsid w:val="00F82565"/>
    <w:rsid w:val="00F83DBF"/>
    <w:rsid w:val="00F86E19"/>
    <w:rsid w:val="00F9018A"/>
    <w:rsid w:val="00F90A2E"/>
    <w:rsid w:val="00F90B12"/>
    <w:rsid w:val="00F955BF"/>
    <w:rsid w:val="00F959D7"/>
    <w:rsid w:val="00F9795D"/>
    <w:rsid w:val="00F97C3F"/>
    <w:rsid w:val="00FA5835"/>
    <w:rsid w:val="00FB1A62"/>
    <w:rsid w:val="00FB418D"/>
    <w:rsid w:val="00FB41DF"/>
    <w:rsid w:val="00FC06B9"/>
    <w:rsid w:val="00FC09F6"/>
    <w:rsid w:val="00FC672E"/>
    <w:rsid w:val="00FC7F0F"/>
    <w:rsid w:val="00FD1D43"/>
    <w:rsid w:val="00FD34C0"/>
    <w:rsid w:val="00FD3846"/>
    <w:rsid w:val="00FD4ADE"/>
    <w:rsid w:val="00FF0963"/>
    <w:rsid w:val="00FF28D0"/>
    <w:rsid w:val="00FF2C73"/>
    <w:rsid w:val="00FF672F"/>
    <w:rsid w:val="03FB38D6"/>
    <w:rsid w:val="05210F0C"/>
    <w:rsid w:val="0C2A6155"/>
    <w:rsid w:val="1071B28E"/>
    <w:rsid w:val="17CC2C2E"/>
    <w:rsid w:val="1957C3DE"/>
    <w:rsid w:val="1C8475EC"/>
    <w:rsid w:val="1F7C47FA"/>
    <w:rsid w:val="1FB482FD"/>
    <w:rsid w:val="261A3C68"/>
    <w:rsid w:val="26A53EE9"/>
    <w:rsid w:val="278DC342"/>
    <w:rsid w:val="2D5D90B1"/>
    <w:rsid w:val="2DAF4D21"/>
    <w:rsid w:val="380718EF"/>
    <w:rsid w:val="3C28E639"/>
    <w:rsid w:val="3DED8FF9"/>
    <w:rsid w:val="3E1C1808"/>
    <w:rsid w:val="403F32CF"/>
    <w:rsid w:val="431AC54C"/>
    <w:rsid w:val="4FBC7C22"/>
    <w:rsid w:val="4FC7D941"/>
    <w:rsid w:val="575185CA"/>
    <w:rsid w:val="5D3BD676"/>
    <w:rsid w:val="69AAB407"/>
    <w:rsid w:val="6A115467"/>
    <w:rsid w:val="701C2DBC"/>
    <w:rsid w:val="701F155D"/>
    <w:rsid w:val="76A328CD"/>
    <w:rsid w:val="7B12959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E1D8"/>
  <w15:chartTrackingRefBased/>
  <w15:docId w15:val="{E26933CD-0488-4EEC-8FA4-F2E740B2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styleId="Textonotaalfinal">
    <w:name w:val="endnote text"/>
    <w:basedOn w:val="Normal"/>
    <w:link w:val="TextonotaalfinalCar"/>
    <w:uiPriority w:val="99"/>
    <w:semiHidden/>
    <w:unhideWhenUsed/>
    <w:rsid w:val="00483B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3B13"/>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83B13"/>
    <w:rPr>
      <w:vertAlign w:val="superscript"/>
    </w:rPr>
  </w:style>
  <w:style w:type="character" w:styleId="Mencinsinresolver">
    <w:name w:val="Unresolved Mention"/>
    <w:basedOn w:val="Fuentedeprrafopredeter"/>
    <w:uiPriority w:val="99"/>
    <w:semiHidden/>
    <w:unhideWhenUsed/>
    <w:rsid w:val="008F7680"/>
    <w:rPr>
      <w:color w:val="605E5C"/>
      <w:shd w:val="clear" w:color="auto" w:fill="E1DFDD"/>
    </w:rPr>
  </w:style>
  <w:style w:type="table" w:customStyle="1" w:styleId="Tablanormal11">
    <w:name w:val="Tabla normal 11"/>
    <w:basedOn w:val="Tablanormal"/>
    <w:next w:val="Tablanormal1"/>
    <w:uiPriority w:val="41"/>
    <w:rsid w:val="00040DEF"/>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040D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A4546E"/>
    <w:rPr>
      <w:sz w:val="16"/>
      <w:szCs w:val="16"/>
    </w:rPr>
  </w:style>
  <w:style w:type="paragraph" w:styleId="Textocomentario">
    <w:name w:val="annotation text"/>
    <w:basedOn w:val="Normal"/>
    <w:link w:val="TextocomentarioCar"/>
    <w:uiPriority w:val="99"/>
    <w:unhideWhenUsed/>
    <w:rsid w:val="00A4546E"/>
    <w:pPr>
      <w:spacing w:line="240" w:lineRule="auto"/>
    </w:pPr>
    <w:rPr>
      <w:sz w:val="20"/>
      <w:szCs w:val="20"/>
    </w:rPr>
  </w:style>
  <w:style w:type="character" w:customStyle="1" w:styleId="TextocomentarioCar">
    <w:name w:val="Texto comentario Car"/>
    <w:basedOn w:val="Fuentedeprrafopredeter"/>
    <w:link w:val="Textocomentario"/>
    <w:uiPriority w:val="99"/>
    <w:rsid w:val="00A4546E"/>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546E"/>
    <w:rPr>
      <w:b/>
      <w:bCs/>
    </w:rPr>
  </w:style>
  <w:style w:type="character" w:customStyle="1" w:styleId="AsuntodelcomentarioCar">
    <w:name w:val="Asunto del comentario Car"/>
    <w:basedOn w:val="TextocomentarioCar"/>
    <w:link w:val="Asuntodelcomentario"/>
    <w:uiPriority w:val="99"/>
    <w:semiHidden/>
    <w:rsid w:val="00A4546E"/>
    <w:rPr>
      <w:rFonts w:ascii="Calibri" w:eastAsia="Calibri" w:hAnsi="Calibri" w:cs="Times New Roman"/>
      <w:b/>
      <w:bCs/>
      <w:sz w:val="20"/>
      <w:szCs w:val="20"/>
      <w:lang w:val="es-ES"/>
    </w:rPr>
  </w:style>
  <w:style w:type="paragraph" w:customStyle="1" w:styleId="paragraph">
    <w:name w:val="paragraph"/>
    <w:basedOn w:val="Normal"/>
    <w:rsid w:val="00976A6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76A6A"/>
  </w:style>
  <w:style w:type="character" w:customStyle="1" w:styleId="eop">
    <w:name w:val="eop"/>
    <w:basedOn w:val="Fuentedeprrafopredeter"/>
    <w:rsid w:val="00976A6A"/>
  </w:style>
  <w:style w:type="paragraph" w:styleId="Revisin">
    <w:name w:val="Revision"/>
    <w:hidden/>
    <w:uiPriority w:val="99"/>
    <w:semiHidden/>
    <w:rsid w:val="0084680E"/>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50907">
      <w:bodyDiv w:val="1"/>
      <w:marLeft w:val="0"/>
      <w:marRight w:val="0"/>
      <w:marTop w:val="0"/>
      <w:marBottom w:val="0"/>
      <w:divBdr>
        <w:top w:val="none" w:sz="0" w:space="0" w:color="auto"/>
        <w:left w:val="none" w:sz="0" w:space="0" w:color="auto"/>
        <w:bottom w:val="none" w:sz="0" w:space="0" w:color="auto"/>
        <w:right w:val="none" w:sz="0" w:space="0" w:color="auto"/>
      </w:divBdr>
      <w:divsChild>
        <w:div w:id="7684944">
          <w:marLeft w:val="0"/>
          <w:marRight w:val="0"/>
          <w:marTop w:val="0"/>
          <w:marBottom w:val="0"/>
          <w:divBdr>
            <w:top w:val="none" w:sz="0" w:space="0" w:color="auto"/>
            <w:left w:val="none" w:sz="0" w:space="0" w:color="auto"/>
            <w:bottom w:val="none" w:sz="0" w:space="0" w:color="auto"/>
            <w:right w:val="none" w:sz="0" w:space="0" w:color="auto"/>
          </w:divBdr>
          <w:divsChild>
            <w:div w:id="1644190599">
              <w:marLeft w:val="0"/>
              <w:marRight w:val="0"/>
              <w:marTop w:val="0"/>
              <w:marBottom w:val="0"/>
              <w:divBdr>
                <w:top w:val="none" w:sz="0" w:space="0" w:color="auto"/>
                <w:left w:val="none" w:sz="0" w:space="0" w:color="auto"/>
                <w:bottom w:val="none" w:sz="0" w:space="0" w:color="auto"/>
                <w:right w:val="none" w:sz="0" w:space="0" w:color="auto"/>
              </w:divBdr>
            </w:div>
          </w:divsChild>
        </w:div>
        <w:div w:id="37749391">
          <w:marLeft w:val="0"/>
          <w:marRight w:val="0"/>
          <w:marTop w:val="0"/>
          <w:marBottom w:val="0"/>
          <w:divBdr>
            <w:top w:val="none" w:sz="0" w:space="0" w:color="auto"/>
            <w:left w:val="none" w:sz="0" w:space="0" w:color="auto"/>
            <w:bottom w:val="none" w:sz="0" w:space="0" w:color="auto"/>
            <w:right w:val="none" w:sz="0" w:space="0" w:color="auto"/>
          </w:divBdr>
          <w:divsChild>
            <w:div w:id="656954607">
              <w:marLeft w:val="0"/>
              <w:marRight w:val="0"/>
              <w:marTop w:val="0"/>
              <w:marBottom w:val="0"/>
              <w:divBdr>
                <w:top w:val="none" w:sz="0" w:space="0" w:color="auto"/>
                <w:left w:val="none" w:sz="0" w:space="0" w:color="auto"/>
                <w:bottom w:val="none" w:sz="0" w:space="0" w:color="auto"/>
                <w:right w:val="none" w:sz="0" w:space="0" w:color="auto"/>
              </w:divBdr>
            </w:div>
            <w:div w:id="2041785377">
              <w:marLeft w:val="0"/>
              <w:marRight w:val="0"/>
              <w:marTop w:val="0"/>
              <w:marBottom w:val="0"/>
              <w:divBdr>
                <w:top w:val="none" w:sz="0" w:space="0" w:color="auto"/>
                <w:left w:val="none" w:sz="0" w:space="0" w:color="auto"/>
                <w:bottom w:val="none" w:sz="0" w:space="0" w:color="auto"/>
                <w:right w:val="none" w:sz="0" w:space="0" w:color="auto"/>
              </w:divBdr>
            </w:div>
          </w:divsChild>
        </w:div>
        <w:div w:id="41366542">
          <w:marLeft w:val="0"/>
          <w:marRight w:val="0"/>
          <w:marTop w:val="0"/>
          <w:marBottom w:val="0"/>
          <w:divBdr>
            <w:top w:val="none" w:sz="0" w:space="0" w:color="auto"/>
            <w:left w:val="none" w:sz="0" w:space="0" w:color="auto"/>
            <w:bottom w:val="none" w:sz="0" w:space="0" w:color="auto"/>
            <w:right w:val="none" w:sz="0" w:space="0" w:color="auto"/>
          </w:divBdr>
          <w:divsChild>
            <w:div w:id="686252209">
              <w:marLeft w:val="0"/>
              <w:marRight w:val="0"/>
              <w:marTop w:val="0"/>
              <w:marBottom w:val="0"/>
              <w:divBdr>
                <w:top w:val="none" w:sz="0" w:space="0" w:color="auto"/>
                <w:left w:val="none" w:sz="0" w:space="0" w:color="auto"/>
                <w:bottom w:val="none" w:sz="0" w:space="0" w:color="auto"/>
                <w:right w:val="none" w:sz="0" w:space="0" w:color="auto"/>
              </w:divBdr>
            </w:div>
          </w:divsChild>
        </w:div>
        <w:div w:id="64882941">
          <w:marLeft w:val="0"/>
          <w:marRight w:val="0"/>
          <w:marTop w:val="0"/>
          <w:marBottom w:val="0"/>
          <w:divBdr>
            <w:top w:val="none" w:sz="0" w:space="0" w:color="auto"/>
            <w:left w:val="none" w:sz="0" w:space="0" w:color="auto"/>
            <w:bottom w:val="none" w:sz="0" w:space="0" w:color="auto"/>
            <w:right w:val="none" w:sz="0" w:space="0" w:color="auto"/>
          </w:divBdr>
          <w:divsChild>
            <w:div w:id="1642730304">
              <w:marLeft w:val="0"/>
              <w:marRight w:val="0"/>
              <w:marTop w:val="0"/>
              <w:marBottom w:val="0"/>
              <w:divBdr>
                <w:top w:val="none" w:sz="0" w:space="0" w:color="auto"/>
                <w:left w:val="none" w:sz="0" w:space="0" w:color="auto"/>
                <w:bottom w:val="none" w:sz="0" w:space="0" w:color="auto"/>
                <w:right w:val="none" w:sz="0" w:space="0" w:color="auto"/>
              </w:divBdr>
            </w:div>
          </w:divsChild>
        </w:div>
        <w:div w:id="100729698">
          <w:marLeft w:val="0"/>
          <w:marRight w:val="0"/>
          <w:marTop w:val="0"/>
          <w:marBottom w:val="0"/>
          <w:divBdr>
            <w:top w:val="none" w:sz="0" w:space="0" w:color="auto"/>
            <w:left w:val="none" w:sz="0" w:space="0" w:color="auto"/>
            <w:bottom w:val="none" w:sz="0" w:space="0" w:color="auto"/>
            <w:right w:val="none" w:sz="0" w:space="0" w:color="auto"/>
          </w:divBdr>
          <w:divsChild>
            <w:div w:id="655571902">
              <w:marLeft w:val="0"/>
              <w:marRight w:val="0"/>
              <w:marTop w:val="0"/>
              <w:marBottom w:val="0"/>
              <w:divBdr>
                <w:top w:val="none" w:sz="0" w:space="0" w:color="auto"/>
                <w:left w:val="none" w:sz="0" w:space="0" w:color="auto"/>
                <w:bottom w:val="none" w:sz="0" w:space="0" w:color="auto"/>
                <w:right w:val="none" w:sz="0" w:space="0" w:color="auto"/>
              </w:divBdr>
            </w:div>
          </w:divsChild>
        </w:div>
        <w:div w:id="180826064">
          <w:marLeft w:val="0"/>
          <w:marRight w:val="0"/>
          <w:marTop w:val="0"/>
          <w:marBottom w:val="0"/>
          <w:divBdr>
            <w:top w:val="none" w:sz="0" w:space="0" w:color="auto"/>
            <w:left w:val="none" w:sz="0" w:space="0" w:color="auto"/>
            <w:bottom w:val="none" w:sz="0" w:space="0" w:color="auto"/>
            <w:right w:val="none" w:sz="0" w:space="0" w:color="auto"/>
          </w:divBdr>
          <w:divsChild>
            <w:div w:id="1056007722">
              <w:marLeft w:val="0"/>
              <w:marRight w:val="0"/>
              <w:marTop w:val="0"/>
              <w:marBottom w:val="0"/>
              <w:divBdr>
                <w:top w:val="none" w:sz="0" w:space="0" w:color="auto"/>
                <w:left w:val="none" w:sz="0" w:space="0" w:color="auto"/>
                <w:bottom w:val="none" w:sz="0" w:space="0" w:color="auto"/>
                <w:right w:val="none" w:sz="0" w:space="0" w:color="auto"/>
              </w:divBdr>
            </w:div>
          </w:divsChild>
        </w:div>
        <w:div w:id="210966655">
          <w:marLeft w:val="0"/>
          <w:marRight w:val="0"/>
          <w:marTop w:val="0"/>
          <w:marBottom w:val="0"/>
          <w:divBdr>
            <w:top w:val="none" w:sz="0" w:space="0" w:color="auto"/>
            <w:left w:val="none" w:sz="0" w:space="0" w:color="auto"/>
            <w:bottom w:val="none" w:sz="0" w:space="0" w:color="auto"/>
            <w:right w:val="none" w:sz="0" w:space="0" w:color="auto"/>
          </w:divBdr>
          <w:divsChild>
            <w:div w:id="2054300">
              <w:marLeft w:val="0"/>
              <w:marRight w:val="0"/>
              <w:marTop w:val="0"/>
              <w:marBottom w:val="0"/>
              <w:divBdr>
                <w:top w:val="none" w:sz="0" w:space="0" w:color="auto"/>
                <w:left w:val="none" w:sz="0" w:space="0" w:color="auto"/>
                <w:bottom w:val="none" w:sz="0" w:space="0" w:color="auto"/>
                <w:right w:val="none" w:sz="0" w:space="0" w:color="auto"/>
              </w:divBdr>
            </w:div>
          </w:divsChild>
        </w:div>
        <w:div w:id="227813213">
          <w:marLeft w:val="0"/>
          <w:marRight w:val="0"/>
          <w:marTop w:val="0"/>
          <w:marBottom w:val="0"/>
          <w:divBdr>
            <w:top w:val="none" w:sz="0" w:space="0" w:color="auto"/>
            <w:left w:val="none" w:sz="0" w:space="0" w:color="auto"/>
            <w:bottom w:val="none" w:sz="0" w:space="0" w:color="auto"/>
            <w:right w:val="none" w:sz="0" w:space="0" w:color="auto"/>
          </w:divBdr>
          <w:divsChild>
            <w:div w:id="182018588">
              <w:marLeft w:val="0"/>
              <w:marRight w:val="0"/>
              <w:marTop w:val="0"/>
              <w:marBottom w:val="0"/>
              <w:divBdr>
                <w:top w:val="none" w:sz="0" w:space="0" w:color="auto"/>
                <w:left w:val="none" w:sz="0" w:space="0" w:color="auto"/>
                <w:bottom w:val="none" w:sz="0" w:space="0" w:color="auto"/>
                <w:right w:val="none" w:sz="0" w:space="0" w:color="auto"/>
              </w:divBdr>
            </w:div>
            <w:div w:id="1313439068">
              <w:marLeft w:val="0"/>
              <w:marRight w:val="0"/>
              <w:marTop w:val="0"/>
              <w:marBottom w:val="0"/>
              <w:divBdr>
                <w:top w:val="none" w:sz="0" w:space="0" w:color="auto"/>
                <w:left w:val="none" w:sz="0" w:space="0" w:color="auto"/>
                <w:bottom w:val="none" w:sz="0" w:space="0" w:color="auto"/>
                <w:right w:val="none" w:sz="0" w:space="0" w:color="auto"/>
              </w:divBdr>
            </w:div>
            <w:div w:id="1344672269">
              <w:marLeft w:val="0"/>
              <w:marRight w:val="0"/>
              <w:marTop w:val="0"/>
              <w:marBottom w:val="0"/>
              <w:divBdr>
                <w:top w:val="none" w:sz="0" w:space="0" w:color="auto"/>
                <w:left w:val="none" w:sz="0" w:space="0" w:color="auto"/>
                <w:bottom w:val="none" w:sz="0" w:space="0" w:color="auto"/>
                <w:right w:val="none" w:sz="0" w:space="0" w:color="auto"/>
              </w:divBdr>
            </w:div>
            <w:div w:id="1716269118">
              <w:marLeft w:val="0"/>
              <w:marRight w:val="0"/>
              <w:marTop w:val="0"/>
              <w:marBottom w:val="0"/>
              <w:divBdr>
                <w:top w:val="none" w:sz="0" w:space="0" w:color="auto"/>
                <w:left w:val="none" w:sz="0" w:space="0" w:color="auto"/>
                <w:bottom w:val="none" w:sz="0" w:space="0" w:color="auto"/>
                <w:right w:val="none" w:sz="0" w:space="0" w:color="auto"/>
              </w:divBdr>
            </w:div>
            <w:div w:id="1961108690">
              <w:marLeft w:val="0"/>
              <w:marRight w:val="0"/>
              <w:marTop w:val="0"/>
              <w:marBottom w:val="0"/>
              <w:divBdr>
                <w:top w:val="none" w:sz="0" w:space="0" w:color="auto"/>
                <w:left w:val="none" w:sz="0" w:space="0" w:color="auto"/>
                <w:bottom w:val="none" w:sz="0" w:space="0" w:color="auto"/>
                <w:right w:val="none" w:sz="0" w:space="0" w:color="auto"/>
              </w:divBdr>
            </w:div>
          </w:divsChild>
        </w:div>
        <w:div w:id="232784348">
          <w:marLeft w:val="0"/>
          <w:marRight w:val="0"/>
          <w:marTop w:val="0"/>
          <w:marBottom w:val="0"/>
          <w:divBdr>
            <w:top w:val="none" w:sz="0" w:space="0" w:color="auto"/>
            <w:left w:val="none" w:sz="0" w:space="0" w:color="auto"/>
            <w:bottom w:val="none" w:sz="0" w:space="0" w:color="auto"/>
            <w:right w:val="none" w:sz="0" w:space="0" w:color="auto"/>
          </w:divBdr>
          <w:divsChild>
            <w:div w:id="143089904">
              <w:marLeft w:val="0"/>
              <w:marRight w:val="0"/>
              <w:marTop w:val="0"/>
              <w:marBottom w:val="0"/>
              <w:divBdr>
                <w:top w:val="none" w:sz="0" w:space="0" w:color="auto"/>
                <w:left w:val="none" w:sz="0" w:space="0" w:color="auto"/>
                <w:bottom w:val="none" w:sz="0" w:space="0" w:color="auto"/>
                <w:right w:val="none" w:sz="0" w:space="0" w:color="auto"/>
              </w:divBdr>
            </w:div>
          </w:divsChild>
        </w:div>
        <w:div w:id="242958448">
          <w:marLeft w:val="0"/>
          <w:marRight w:val="0"/>
          <w:marTop w:val="0"/>
          <w:marBottom w:val="0"/>
          <w:divBdr>
            <w:top w:val="none" w:sz="0" w:space="0" w:color="auto"/>
            <w:left w:val="none" w:sz="0" w:space="0" w:color="auto"/>
            <w:bottom w:val="none" w:sz="0" w:space="0" w:color="auto"/>
            <w:right w:val="none" w:sz="0" w:space="0" w:color="auto"/>
          </w:divBdr>
          <w:divsChild>
            <w:div w:id="1785924105">
              <w:marLeft w:val="0"/>
              <w:marRight w:val="0"/>
              <w:marTop w:val="0"/>
              <w:marBottom w:val="0"/>
              <w:divBdr>
                <w:top w:val="none" w:sz="0" w:space="0" w:color="auto"/>
                <w:left w:val="none" w:sz="0" w:space="0" w:color="auto"/>
                <w:bottom w:val="none" w:sz="0" w:space="0" w:color="auto"/>
                <w:right w:val="none" w:sz="0" w:space="0" w:color="auto"/>
              </w:divBdr>
            </w:div>
          </w:divsChild>
        </w:div>
        <w:div w:id="269549820">
          <w:marLeft w:val="0"/>
          <w:marRight w:val="0"/>
          <w:marTop w:val="0"/>
          <w:marBottom w:val="0"/>
          <w:divBdr>
            <w:top w:val="none" w:sz="0" w:space="0" w:color="auto"/>
            <w:left w:val="none" w:sz="0" w:space="0" w:color="auto"/>
            <w:bottom w:val="none" w:sz="0" w:space="0" w:color="auto"/>
            <w:right w:val="none" w:sz="0" w:space="0" w:color="auto"/>
          </w:divBdr>
          <w:divsChild>
            <w:div w:id="801195113">
              <w:marLeft w:val="0"/>
              <w:marRight w:val="0"/>
              <w:marTop w:val="0"/>
              <w:marBottom w:val="0"/>
              <w:divBdr>
                <w:top w:val="none" w:sz="0" w:space="0" w:color="auto"/>
                <w:left w:val="none" w:sz="0" w:space="0" w:color="auto"/>
                <w:bottom w:val="none" w:sz="0" w:space="0" w:color="auto"/>
                <w:right w:val="none" w:sz="0" w:space="0" w:color="auto"/>
              </w:divBdr>
            </w:div>
          </w:divsChild>
        </w:div>
        <w:div w:id="269821526">
          <w:marLeft w:val="0"/>
          <w:marRight w:val="0"/>
          <w:marTop w:val="0"/>
          <w:marBottom w:val="0"/>
          <w:divBdr>
            <w:top w:val="none" w:sz="0" w:space="0" w:color="auto"/>
            <w:left w:val="none" w:sz="0" w:space="0" w:color="auto"/>
            <w:bottom w:val="none" w:sz="0" w:space="0" w:color="auto"/>
            <w:right w:val="none" w:sz="0" w:space="0" w:color="auto"/>
          </w:divBdr>
          <w:divsChild>
            <w:div w:id="1552644004">
              <w:marLeft w:val="0"/>
              <w:marRight w:val="0"/>
              <w:marTop w:val="0"/>
              <w:marBottom w:val="0"/>
              <w:divBdr>
                <w:top w:val="none" w:sz="0" w:space="0" w:color="auto"/>
                <w:left w:val="none" w:sz="0" w:space="0" w:color="auto"/>
                <w:bottom w:val="none" w:sz="0" w:space="0" w:color="auto"/>
                <w:right w:val="none" w:sz="0" w:space="0" w:color="auto"/>
              </w:divBdr>
            </w:div>
            <w:div w:id="1985505678">
              <w:marLeft w:val="0"/>
              <w:marRight w:val="0"/>
              <w:marTop w:val="0"/>
              <w:marBottom w:val="0"/>
              <w:divBdr>
                <w:top w:val="none" w:sz="0" w:space="0" w:color="auto"/>
                <w:left w:val="none" w:sz="0" w:space="0" w:color="auto"/>
                <w:bottom w:val="none" w:sz="0" w:space="0" w:color="auto"/>
                <w:right w:val="none" w:sz="0" w:space="0" w:color="auto"/>
              </w:divBdr>
            </w:div>
          </w:divsChild>
        </w:div>
        <w:div w:id="275332886">
          <w:marLeft w:val="0"/>
          <w:marRight w:val="0"/>
          <w:marTop w:val="0"/>
          <w:marBottom w:val="0"/>
          <w:divBdr>
            <w:top w:val="none" w:sz="0" w:space="0" w:color="auto"/>
            <w:left w:val="none" w:sz="0" w:space="0" w:color="auto"/>
            <w:bottom w:val="none" w:sz="0" w:space="0" w:color="auto"/>
            <w:right w:val="none" w:sz="0" w:space="0" w:color="auto"/>
          </w:divBdr>
          <w:divsChild>
            <w:div w:id="1617708864">
              <w:marLeft w:val="0"/>
              <w:marRight w:val="0"/>
              <w:marTop w:val="0"/>
              <w:marBottom w:val="0"/>
              <w:divBdr>
                <w:top w:val="none" w:sz="0" w:space="0" w:color="auto"/>
                <w:left w:val="none" w:sz="0" w:space="0" w:color="auto"/>
                <w:bottom w:val="none" w:sz="0" w:space="0" w:color="auto"/>
                <w:right w:val="none" w:sz="0" w:space="0" w:color="auto"/>
              </w:divBdr>
            </w:div>
          </w:divsChild>
        </w:div>
        <w:div w:id="281419585">
          <w:marLeft w:val="0"/>
          <w:marRight w:val="0"/>
          <w:marTop w:val="0"/>
          <w:marBottom w:val="0"/>
          <w:divBdr>
            <w:top w:val="none" w:sz="0" w:space="0" w:color="auto"/>
            <w:left w:val="none" w:sz="0" w:space="0" w:color="auto"/>
            <w:bottom w:val="none" w:sz="0" w:space="0" w:color="auto"/>
            <w:right w:val="none" w:sz="0" w:space="0" w:color="auto"/>
          </w:divBdr>
          <w:divsChild>
            <w:div w:id="755638605">
              <w:marLeft w:val="0"/>
              <w:marRight w:val="0"/>
              <w:marTop w:val="0"/>
              <w:marBottom w:val="0"/>
              <w:divBdr>
                <w:top w:val="none" w:sz="0" w:space="0" w:color="auto"/>
                <w:left w:val="none" w:sz="0" w:space="0" w:color="auto"/>
                <w:bottom w:val="none" w:sz="0" w:space="0" w:color="auto"/>
                <w:right w:val="none" w:sz="0" w:space="0" w:color="auto"/>
              </w:divBdr>
            </w:div>
          </w:divsChild>
        </w:div>
        <w:div w:id="288165331">
          <w:marLeft w:val="0"/>
          <w:marRight w:val="0"/>
          <w:marTop w:val="0"/>
          <w:marBottom w:val="0"/>
          <w:divBdr>
            <w:top w:val="none" w:sz="0" w:space="0" w:color="auto"/>
            <w:left w:val="none" w:sz="0" w:space="0" w:color="auto"/>
            <w:bottom w:val="none" w:sz="0" w:space="0" w:color="auto"/>
            <w:right w:val="none" w:sz="0" w:space="0" w:color="auto"/>
          </w:divBdr>
          <w:divsChild>
            <w:div w:id="1497652855">
              <w:marLeft w:val="0"/>
              <w:marRight w:val="0"/>
              <w:marTop w:val="0"/>
              <w:marBottom w:val="0"/>
              <w:divBdr>
                <w:top w:val="none" w:sz="0" w:space="0" w:color="auto"/>
                <w:left w:val="none" w:sz="0" w:space="0" w:color="auto"/>
                <w:bottom w:val="none" w:sz="0" w:space="0" w:color="auto"/>
                <w:right w:val="none" w:sz="0" w:space="0" w:color="auto"/>
              </w:divBdr>
            </w:div>
          </w:divsChild>
        </w:div>
        <w:div w:id="327364993">
          <w:marLeft w:val="0"/>
          <w:marRight w:val="0"/>
          <w:marTop w:val="0"/>
          <w:marBottom w:val="0"/>
          <w:divBdr>
            <w:top w:val="none" w:sz="0" w:space="0" w:color="auto"/>
            <w:left w:val="none" w:sz="0" w:space="0" w:color="auto"/>
            <w:bottom w:val="none" w:sz="0" w:space="0" w:color="auto"/>
            <w:right w:val="none" w:sz="0" w:space="0" w:color="auto"/>
          </w:divBdr>
          <w:divsChild>
            <w:div w:id="1346521417">
              <w:marLeft w:val="0"/>
              <w:marRight w:val="0"/>
              <w:marTop w:val="0"/>
              <w:marBottom w:val="0"/>
              <w:divBdr>
                <w:top w:val="none" w:sz="0" w:space="0" w:color="auto"/>
                <w:left w:val="none" w:sz="0" w:space="0" w:color="auto"/>
                <w:bottom w:val="none" w:sz="0" w:space="0" w:color="auto"/>
                <w:right w:val="none" w:sz="0" w:space="0" w:color="auto"/>
              </w:divBdr>
            </w:div>
          </w:divsChild>
        </w:div>
        <w:div w:id="336269686">
          <w:marLeft w:val="0"/>
          <w:marRight w:val="0"/>
          <w:marTop w:val="0"/>
          <w:marBottom w:val="0"/>
          <w:divBdr>
            <w:top w:val="none" w:sz="0" w:space="0" w:color="auto"/>
            <w:left w:val="none" w:sz="0" w:space="0" w:color="auto"/>
            <w:bottom w:val="none" w:sz="0" w:space="0" w:color="auto"/>
            <w:right w:val="none" w:sz="0" w:space="0" w:color="auto"/>
          </w:divBdr>
          <w:divsChild>
            <w:div w:id="388578595">
              <w:marLeft w:val="0"/>
              <w:marRight w:val="0"/>
              <w:marTop w:val="0"/>
              <w:marBottom w:val="0"/>
              <w:divBdr>
                <w:top w:val="none" w:sz="0" w:space="0" w:color="auto"/>
                <w:left w:val="none" w:sz="0" w:space="0" w:color="auto"/>
                <w:bottom w:val="none" w:sz="0" w:space="0" w:color="auto"/>
                <w:right w:val="none" w:sz="0" w:space="0" w:color="auto"/>
              </w:divBdr>
            </w:div>
          </w:divsChild>
        </w:div>
        <w:div w:id="350491046">
          <w:marLeft w:val="0"/>
          <w:marRight w:val="0"/>
          <w:marTop w:val="0"/>
          <w:marBottom w:val="0"/>
          <w:divBdr>
            <w:top w:val="none" w:sz="0" w:space="0" w:color="auto"/>
            <w:left w:val="none" w:sz="0" w:space="0" w:color="auto"/>
            <w:bottom w:val="none" w:sz="0" w:space="0" w:color="auto"/>
            <w:right w:val="none" w:sz="0" w:space="0" w:color="auto"/>
          </w:divBdr>
          <w:divsChild>
            <w:div w:id="390076398">
              <w:marLeft w:val="0"/>
              <w:marRight w:val="0"/>
              <w:marTop w:val="0"/>
              <w:marBottom w:val="0"/>
              <w:divBdr>
                <w:top w:val="none" w:sz="0" w:space="0" w:color="auto"/>
                <w:left w:val="none" w:sz="0" w:space="0" w:color="auto"/>
                <w:bottom w:val="none" w:sz="0" w:space="0" w:color="auto"/>
                <w:right w:val="none" w:sz="0" w:space="0" w:color="auto"/>
              </w:divBdr>
            </w:div>
            <w:div w:id="466553313">
              <w:marLeft w:val="0"/>
              <w:marRight w:val="0"/>
              <w:marTop w:val="0"/>
              <w:marBottom w:val="0"/>
              <w:divBdr>
                <w:top w:val="none" w:sz="0" w:space="0" w:color="auto"/>
                <w:left w:val="none" w:sz="0" w:space="0" w:color="auto"/>
                <w:bottom w:val="none" w:sz="0" w:space="0" w:color="auto"/>
                <w:right w:val="none" w:sz="0" w:space="0" w:color="auto"/>
              </w:divBdr>
            </w:div>
          </w:divsChild>
        </w:div>
        <w:div w:id="351998375">
          <w:marLeft w:val="0"/>
          <w:marRight w:val="0"/>
          <w:marTop w:val="0"/>
          <w:marBottom w:val="0"/>
          <w:divBdr>
            <w:top w:val="none" w:sz="0" w:space="0" w:color="auto"/>
            <w:left w:val="none" w:sz="0" w:space="0" w:color="auto"/>
            <w:bottom w:val="none" w:sz="0" w:space="0" w:color="auto"/>
            <w:right w:val="none" w:sz="0" w:space="0" w:color="auto"/>
          </w:divBdr>
          <w:divsChild>
            <w:div w:id="522984394">
              <w:marLeft w:val="0"/>
              <w:marRight w:val="0"/>
              <w:marTop w:val="0"/>
              <w:marBottom w:val="0"/>
              <w:divBdr>
                <w:top w:val="none" w:sz="0" w:space="0" w:color="auto"/>
                <w:left w:val="none" w:sz="0" w:space="0" w:color="auto"/>
                <w:bottom w:val="none" w:sz="0" w:space="0" w:color="auto"/>
                <w:right w:val="none" w:sz="0" w:space="0" w:color="auto"/>
              </w:divBdr>
            </w:div>
          </w:divsChild>
        </w:div>
        <w:div w:id="372773245">
          <w:marLeft w:val="0"/>
          <w:marRight w:val="0"/>
          <w:marTop w:val="0"/>
          <w:marBottom w:val="0"/>
          <w:divBdr>
            <w:top w:val="none" w:sz="0" w:space="0" w:color="auto"/>
            <w:left w:val="none" w:sz="0" w:space="0" w:color="auto"/>
            <w:bottom w:val="none" w:sz="0" w:space="0" w:color="auto"/>
            <w:right w:val="none" w:sz="0" w:space="0" w:color="auto"/>
          </w:divBdr>
          <w:divsChild>
            <w:div w:id="1056513650">
              <w:marLeft w:val="0"/>
              <w:marRight w:val="0"/>
              <w:marTop w:val="0"/>
              <w:marBottom w:val="0"/>
              <w:divBdr>
                <w:top w:val="none" w:sz="0" w:space="0" w:color="auto"/>
                <w:left w:val="none" w:sz="0" w:space="0" w:color="auto"/>
                <w:bottom w:val="none" w:sz="0" w:space="0" w:color="auto"/>
                <w:right w:val="none" w:sz="0" w:space="0" w:color="auto"/>
              </w:divBdr>
            </w:div>
          </w:divsChild>
        </w:div>
        <w:div w:id="387457586">
          <w:marLeft w:val="0"/>
          <w:marRight w:val="0"/>
          <w:marTop w:val="0"/>
          <w:marBottom w:val="0"/>
          <w:divBdr>
            <w:top w:val="none" w:sz="0" w:space="0" w:color="auto"/>
            <w:left w:val="none" w:sz="0" w:space="0" w:color="auto"/>
            <w:bottom w:val="none" w:sz="0" w:space="0" w:color="auto"/>
            <w:right w:val="none" w:sz="0" w:space="0" w:color="auto"/>
          </w:divBdr>
          <w:divsChild>
            <w:div w:id="1005863925">
              <w:marLeft w:val="0"/>
              <w:marRight w:val="0"/>
              <w:marTop w:val="0"/>
              <w:marBottom w:val="0"/>
              <w:divBdr>
                <w:top w:val="none" w:sz="0" w:space="0" w:color="auto"/>
                <w:left w:val="none" w:sz="0" w:space="0" w:color="auto"/>
                <w:bottom w:val="none" w:sz="0" w:space="0" w:color="auto"/>
                <w:right w:val="none" w:sz="0" w:space="0" w:color="auto"/>
              </w:divBdr>
            </w:div>
          </w:divsChild>
        </w:div>
        <w:div w:id="400250553">
          <w:marLeft w:val="0"/>
          <w:marRight w:val="0"/>
          <w:marTop w:val="0"/>
          <w:marBottom w:val="0"/>
          <w:divBdr>
            <w:top w:val="none" w:sz="0" w:space="0" w:color="auto"/>
            <w:left w:val="none" w:sz="0" w:space="0" w:color="auto"/>
            <w:bottom w:val="none" w:sz="0" w:space="0" w:color="auto"/>
            <w:right w:val="none" w:sz="0" w:space="0" w:color="auto"/>
          </w:divBdr>
          <w:divsChild>
            <w:div w:id="975721205">
              <w:marLeft w:val="0"/>
              <w:marRight w:val="0"/>
              <w:marTop w:val="0"/>
              <w:marBottom w:val="0"/>
              <w:divBdr>
                <w:top w:val="none" w:sz="0" w:space="0" w:color="auto"/>
                <w:left w:val="none" w:sz="0" w:space="0" w:color="auto"/>
                <w:bottom w:val="none" w:sz="0" w:space="0" w:color="auto"/>
                <w:right w:val="none" w:sz="0" w:space="0" w:color="auto"/>
              </w:divBdr>
            </w:div>
          </w:divsChild>
        </w:div>
        <w:div w:id="402214800">
          <w:marLeft w:val="0"/>
          <w:marRight w:val="0"/>
          <w:marTop w:val="0"/>
          <w:marBottom w:val="0"/>
          <w:divBdr>
            <w:top w:val="none" w:sz="0" w:space="0" w:color="auto"/>
            <w:left w:val="none" w:sz="0" w:space="0" w:color="auto"/>
            <w:bottom w:val="none" w:sz="0" w:space="0" w:color="auto"/>
            <w:right w:val="none" w:sz="0" w:space="0" w:color="auto"/>
          </w:divBdr>
          <w:divsChild>
            <w:div w:id="1303539947">
              <w:marLeft w:val="0"/>
              <w:marRight w:val="0"/>
              <w:marTop w:val="0"/>
              <w:marBottom w:val="0"/>
              <w:divBdr>
                <w:top w:val="none" w:sz="0" w:space="0" w:color="auto"/>
                <w:left w:val="none" w:sz="0" w:space="0" w:color="auto"/>
                <w:bottom w:val="none" w:sz="0" w:space="0" w:color="auto"/>
                <w:right w:val="none" w:sz="0" w:space="0" w:color="auto"/>
              </w:divBdr>
            </w:div>
          </w:divsChild>
        </w:div>
        <w:div w:id="454763201">
          <w:marLeft w:val="0"/>
          <w:marRight w:val="0"/>
          <w:marTop w:val="0"/>
          <w:marBottom w:val="0"/>
          <w:divBdr>
            <w:top w:val="none" w:sz="0" w:space="0" w:color="auto"/>
            <w:left w:val="none" w:sz="0" w:space="0" w:color="auto"/>
            <w:bottom w:val="none" w:sz="0" w:space="0" w:color="auto"/>
            <w:right w:val="none" w:sz="0" w:space="0" w:color="auto"/>
          </w:divBdr>
          <w:divsChild>
            <w:div w:id="1575895692">
              <w:marLeft w:val="0"/>
              <w:marRight w:val="0"/>
              <w:marTop w:val="0"/>
              <w:marBottom w:val="0"/>
              <w:divBdr>
                <w:top w:val="none" w:sz="0" w:space="0" w:color="auto"/>
                <w:left w:val="none" w:sz="0" w:space="0" w:color="auto"/>
                <w:bottom w:val="none" w:sz="0" w:space="0" w:color="auto"/>
                <w:right w:val="none" w:sz="0" w:space="0" w:color="auto"/>
              </w:divBdr>
            </w:div>
          </w:divsChild>
        </w:div>
        <w:div w:id="488517314">
          <w:marLeft w:val="0"/>
          <w:marRight w:val="0"/>
          <w:marTop w:val="0"/>
          <w:marBottom w:val="0"/>
          <w:divBdr>
            <w:top w:val="none" w:sz="0" w:space="0" w:color="auto"/>
            <w:left w:val="none" w:sz="0" w:space="0" w:color="auto"/>
            <w:bottom w:val="none" w:sz="0" w:space="0" w:color="auto"/>
            <w:right w:val="none" w:sz="0" w:space="0" w:color="auto"/>
          </w:divBdr>
          <w:divsChild>
            <w:div w:id="202600940">
              <w:marLeft w:val="0"/>
              <w:marRight w:val="0"/>
              <w:marTop w:val="0"/>
              <w:marBottom w:val="0"/>
              <w:divBdr>
                <w:top w:val="none" w:sz="0" w:space="0" w:color="auto"/>
                <w:left w:val="none" w:sz="0" w:space="0" w:color="auto"/>
                <w:bottom w:val="none" w:sz="0" w:space="0" w:color="auto"/>
                <w:right w:val="none" w:sz="0" w:space="0" w:color="auto"/>
              </w:divBdr>
            </w:div>
          </w:divsChild>
        </w:div>
        <w:div w:id="515198515">
          <w:marLeft w:val="0"/>
          <w:marRight w:val="0"/>
          <w:marTop w:val="0"/>
          <w:marBottom w:val="0"/>
          <w:divBdr>
            <w:top w:val="none" w:sz="0" w:space="0" w:color="auto"/>
            <w:left w:val="none" w:sz="0" w:space="0" w:color="auto"/>
            <w:bottom w:val="none" w:sz="0" w:space="0" w:color="auto"/>
            <w:right w:val="none" w:sz="0" w:space="0" w:color="auto"/>
          </w:divBdr>
          <w:divsChild>
            <w:div w:id="1028680896">
              <w:marLeft w:val="0"/>
              <w:marRight w:val="0"/>
              <w:marTop w:val="0"/>
              <w:marBottom w:val="0"/>
              <w:divBdr>
                <w:top w:val="none" w:sz="0" w:space="0" w:color="auto"/>
                <w:left w:val="none" w:sz="0" w:space="0" w:color="auto"/>
                <w:bottom w:val="none" w:sz="0" w:space="0" w:color="auto"/>
                <w:right w:val="none" w:sz="0" w:space="0" w:color="auto"/>
              </w:divBdr>
            </w:div>
          </w:divsChild>
        </w:div>
        <w:div w:id="545290973">
          <w:marLeft w:val="0"/>
          <w:marRight w:val="0"/>
          <w:marTop w:val="0"/>
          <w:marBottom w:val="0"/>
          <w:divBdr>
            <w:top w:val="none" w:sz="0" w:space="0" w:color="auto"/>
            <w:left w:val="none" w:sz="0" w:space="0" w:color="auto"/>
            <w:bottom w:val="none" w:sz="0" w:space="0" w:color="auto"/>
            <w:right w:val="none" w:sz="0" w:space="0" w:color="auto"/>
          </w:divBdr>
          <w:divsChild>
            <w:div w:id="146017105">
              <w:marLeft w:val="0"/>
              <w:marRight w:val="0"/>
              <w:marTop w:val="0"/>
              <w:marBottom w:val="0"/>
              <w:divBdr>
                <w:top w:val="none" w:sz="0" w:space="0" w:color="auto"/>
                <w:left w:val="none" w:sz="0" w:space="0" w:color="auto"/>
                <w:bottom w:val="none" w:sz="0" w:space="0" w:color="auto"/>
                <w:right w:val="none" w:sz="0" w:space="0" w:color="auto"/>
              </w:divBdr>
            </w:div>
          </w:divsChild>
        </w:div>
        <w:div w:id="574122385">
          <w:marLeft w:val="0"/>
          <w:marRight w:val="0"/>
          <w:marTop w:val="0"/>
          <w:marBottom w:val="0"/>
          <w:divBdr>
            <w:top w:val="none" w:sz="0" w:space="0" w:color="auto"/>
            <w:left w:val="none" w:sz="0" w:space="0" w:color="auto"/>
            <w:bottom w:val="none" w:sz="0" w:space="0" w:color="auto"/>
            <w:right w:val="none" w:sz="0" w:space="0" w:color="auto"/>
          </w:divBdr>
          <w:divsChild>
            <w:div w:id="1754740764">
              <w:marLeft w:val="0"/>
              <w:marRight w:val="0"/>
              <w:marTop w:val="0"/>
              <w:marBottom w:val="0"/>
              <w:divBdr>
                <w:top w:val="none" w:sz="0" w:space="0" w:color="auto"/>
                <w:left w:val="none" w:sz="0" w:space="0" w:color="auto"/>
                <w:bottom w:val="none" w:sz="0" w:space="0" w:color="auto"/>
                <w:right w:val="none" w:sz="0" w:space="0" w:color="auto"/>
              </w:divBdr>
            </w:div>
          </w:divsChild>
        </w:div>
        <w:div w:id="578634349">
          <w:marLeft w:val="0"/>
          <w:marRight w:val="0"/>
          <w:marTop w:val="0"/>
          <w:marBottom w:val="0"/>
          <w:divBdr>
            <w:top w:val="none" w:sz="0" w:space="0" w:color="auto"/>
            <w:left w:val="none" w:sz="0" w:space="0" w:color="auto"/>
            <w:bottom w:val="none" w:sz="0" w:space="0" w:color="auto"/>
            <w:right w:val="none" w:sz="0" w:space="0" w:color="auto"/>
          </w:divBdr>
          <w:divsChild>
            <w:div w:id="643124751">
              <w:marLeft w:val="0"/>
              <w:marRight w:val="0"/>
              <w:marTop w:val="0"/>
              <w:marBottom w:val="0"/>
              <w:divBdr>
                <w:top w:val="none" w:sz="0" w:space="0" w:color="auto"/>
                <w:left w:val="none" w:sz="0" w:space="0" w:color="auto"/>
                <w:bottom w:val="none" w:sz="0" w:space="0" w:color="auto"/>
                <w:right w:val="none" w:sz="0" w:space="0" w:color="auto"/>
              </w:divBdr>
            </w:div>
          </w:divsChild>
        </w:div>
        <w:div w:id="582685573">
          <w:marLeft w:val="0"/>
          <w:marRight w:val="0"/>
          <w:marTop w:val="0"/>
          <w:marBottom w:val="0"/>
          <w:divBdr>
            <w:top w:val="none" w:sz="0" w:space="0" w:color="auto"/>
            <w:left w:val="none" w:sz="0" w:space="0" w:color="auto"/>
            <w:bottom w:val="none" w:sz="0" w:space="0" w:color="auto"/>
            <w:right w:val="none" w:sz="0" w:space="0" w:color="auto"/>
          </w:divBdr>
          <w:divsChild>
            <w:div w:id="506948623">
              <w:marLeft w:val="0"/>
              <w:marRight w:val="0"/>
              <w:marTop w:val="0"/>
              <w:marBottom w:val="0"/>
              <w:divBdr>
                <w:top w:val="none" w:sz="0" w:space="0" w:color="auto"/>
                <w:left w:val="none" w:sz="0" w:space="0" w:color="auto"/>
                <w:bottom w:val="none" w:sz="0" w:space="0" w:color="auto"/>
                <w:right w:val="none" w:sz="0" w:space="0" w:color="auto"/>
              </w:divBdr>
            </w:div>
            <w:div w:id="827015033">
              <w:marLeft w:val="0"/>
              <w:marRight w:val="0"/>
              <w:marTop w:val="0"/>
              <w:marBottom w:val="0"/>
              <w:divBdr>
                <w:top w:val="none" w:sz="0" w:space="0" w:color="auto"/>
                <w:left w:val="none" w:sz="0" w:space="0" w:color="auto"/>
                <w:bottom w:val="none" w:sz="0" w:space="0" w:color="auto"/>
                <w:right w:val="none" w:sz="0" w:space="0" w:color="auto"/>
              </w:divBdr>
            </w:div>
          </w:divsChild>
        </w:div>
        <w:div w:id="617755879">
          <w:marLeft w:val="0"/>
          <w:marRight w:val="0"/>
          <w:marTop w:val="0"/>
          <w:marBottom w:val="0"/>
          <w:divBdr>
            <w:top w:val="none" w:sz="0" w:space="0" w:color="auto"/>
            <w:left w:val="none" w:sz="0" w:space="0" w:color="auto"/>
            <w:bottom w:val="none" w:sz="0" w:space="0" w:color="auto"/>
            <w:right w:val="none" w:sz="0" w:space="0" w:color="auto"/>
          </w:divBdr>
          <w:divsChild>
            <w:div w:id="817919115">
              <w:marLeft w:val="0"/>
              <w:marRight w:val="0"/>
              <w:marTop w:val="0"/>
              <w:marBottom w:val="0"/>
              <w:divBdr>
                <w:top w:val="none" w:sz="0" w:space="0" w:color="auto"/>
                <w:left w:val="none" w:sz="0" w:space="0" w:color="auto"/>
                <w:bottom w:val="none" w:sz="0" w:space="0" w:color="auto"/>
                <w:right w:val="none" w:sz="0" w:space="0" w:color="auto"/>
              </w:divBdr>
            </w:div>
          </w:divsChild>
        </w:div>
        <w:div w:id="637538657">
          <w:marLeft w:val="0"/>
          <w:marRight w:val="0"/>
          <w:marTop w:val="0"/>
          <w:marBottom w:val="0"/>
          <w:divBdr>
            <w:top w:val="none" w:sz="0" w:space="0" w:color="auto"/>
            <w:left w:val="none" w:sz="0" w:space="0" w:color="auto"/>
            <w:bottom w:val="none" w:sz="0" w:space="0" w:color="auto"/>
            <w:right w:val="none" w:sz="0" w:space="0" w:color="auto"/>
          </w:divBdr>
          <w:divsChild>
            <w:div w:id="1141774796">
              <w:marLeft w:val="0"/>
              <w:marRight w:val="0"/>
              <w:marTop w:val="0"/>
              <w:marBottom w:val="0"/>
              <w:divBdr>
                <w:top w:val="none" w:sz="0" w:space="0" w:color="auto"/>
                <w:left w:val="none" w:sz="0" w:space="0" w:color="auto"/>
                <w:bottom w:val="none" w:sz="0" w:space="0" w:color="auto"/>
                <w:right w:val="none" w:sz="0" w:space="0" w:color="auto"/>
              </w:divBdr>
            </w:div>
          </w:divsChild>
        </w:div>
        <w:div w:id="644354537">
          <w:marLeft w:val="0"/>
          <w:marRight w:val="0"/>
          <w:marTop w:val="0"/>
          <w:marBottom w:val="0"/>
          <w:divBdr>
            <w:top w:val="none" w:sz="0" w:space="0" w:color="auto"/>
            <w:left w:val="none" w:sz="0" w:space="0" w:color="auto"/>
            <w:bottom w:val="none" w:sz="0" w:space="0" w:color="auto"/>
            <w:right w:val="none" w:sz="0" w:space="0" w:color="auto"/>
          </w:divBdr>
          <w:divsChild>
            <w:div w:id="1572616374">
              <w:marLeft w:val="0"/>
              <w:marRight w:val="0"/>
              <w:marTop w:val="0"/>
              <w:marBottom w:val="0"/>
              <w:divBdr>
                <w:top w:val="none" w:sz="0" w:space="0" w:color="auto"/>
                <w:left w:val="none" w:sz="0" w:space="0" w:color="auto"/>
                <w:bottom w:val="none" w:sz="0" w:space="0" w:color="auto"/>
                <w:right w:val="none" w:sz="0" w:space="0" w:color="auto"/>
              </w:divBdr>
            </w:div>
          </w:divsChild>
        </w:div>
        <w:div w:id="657344012">
          <w:marLeft w:val="0"/>
          <w:marRight w:val="0"/>
          <w:marTop w:val="0"/>
          <w:marBottom w:val="0"/>
          <w:divBdr>
            <w:top w:val="none" w:sz="0" w:space="0" w:color="auto"/>
            <w:left w:val="none" w:sz="0" w:space="0" w:color="auto"/>
            <w:bottom w:val="none" w:sz="0" w:space="0" w:color="auto"/>
            <w:right w:val="none" w:sz="0" w:space="0" w:color="auto"/>
          </w:divBdr>
          <w:divsChild>
            <w:div w:id="2072729764">
              <w:marLeft w:val="0"/>
              <w:marRight w:val="0"/>
              <w:marTop w:val="0"/>
              <w:marBottom w:val="0"/>
              <w:divBdr>
                <w:top w:val="none" w:sz="0" w:space="0" w:color="auto"/>
                <w:left w:val="none" w:sz="0" w:space="0" w:color="auto"/>
                <w:bottom w:val="none" w:sz="0" w:space="0" w:color="auto"/>
                <w:right w:val="none" w:sz="0" w:space="0" w:color="auto"/>
              </w:divBdr>
            </w:div>
          </w:divsChild>
        </w:div>
        <w:div w:id="667170363">
          <w:marLeft w:val="0"/>
          <w:marRight w:val="0"/>
          <w:marTop w:val="0"/>
          <w:marBottom w:val="0"/>
          <w:divBdr>
            <w:top w:val="none" w:sz="0" w:space="0" w:color="auto"/>
            <w:left w:val="none" w:sz="0" w:space="0" w:color="auto"/>
            <w:bottom w:val="none" w:sz="0" w:space="0" w:color="auto"/>
            <w:right w:val="none" w:sz="0" w:space="0" w:color="auto"/>
          </w:divBdr>
          <w:divsChild>
            <w:div w:id="1094209042">
              <w:marLeft w:val="0"/>
              <w:marRight w:val="0"/>
              <w:marTop w:val="0"/>
              <w:marBottom w:val="0"/>
              <w:divBdr>
                <w:top w:val="none" w:sz="0" w:space="0" w:color="auto"/>
                <w:left w:val="none" w:sz="0" w:space="0" w:color="auto"/>
                <w:bottom w:val="none" w:sz="0" w:space="0" w:color="auto"/>
                <w:right w:val="none" w:sz="0" w:space="0" w:color="auto"/>
              </w:divBdr>
            </w:div>
          </w:divsChild>
        </w:div>
        <w:div w:id="668411641">
          <w:marLeft w:val="0"/>
          <w:marRight w:val="0"/>
          <w:marTop w:val="0"/>
          <w:marBottom w:val="0"/>
          <w:divBdr>
            <w:top w:val="none" w:sz="0" w:space="0" w:color="auto"/>
            <w:left w:val="none" w:sz="0" w:space="0" w:color="auto"/>
            <w:bottom w:val="none" w:sz="0" w:space="0" w:color="auto"/>
            <w:right w:val="none" w:sz="0" w:space="0" w:color="auto"/>
          </w:divBdr>
          <w:divsChild>
            <w:div w:id="1237859383">
              <w:marLeft w:val="0"/>
              <w:marRight w:val="0"/>
              <w:marTop w:val="0"/>
              <w:marBottom w:val="0"/>
              <w:divBdr>
                <w:top w:val="none" w:sz="0" w:space="0" w:color="auto"/>
                <w:left w:val="none" w:sz="0" w:space="0" w:color="auto"/>
                <w:bottom w:val="none" w:sz="0" w:space="0" w:color="auto"/>
                <w:right w:val="none" w:sz="0" w:space="0" w:color="auto"/>
              </w:divBdr>
            </w:div>
          </w:divsChild>
        </w:div>
        <w:div w:id="731930471">
          <w:marLeft w:val="0"/>
          <w:marRight w:val="0"/>
          <w:marTop w:val="0"/>
          <w:marBottom w:val="0"/>
          <w:divBdr>
            <w:top w:val="none" w:sz="0" w:space="0" w:color="auto"/>
            <w:left w:val="none" w:sz="0" w:space="0" w:color="auto"/>
            <w:bottom w:val="none" w:sz="0" w:space="0" w:color="auto"/>
            <w:right w:val="none" w:sz="0" w:space="0" w:color="auto"/>
          </w:divBdr>
          <w:divsChild>
            <w:div w:id="1629891258">
              <w:marLeft w:val="0"/>
              <w:marRight w:val="0"/>
              <w:marTop w:val="0"/>
              <w:marBottom w:val="0"/>
              <w:divBdr>
                <w:top w:val="none" w:sz="0" w:space="0" w:color="auto"/>
                <w:left w:val="none" w:sz="0" w:space="0" w:color="auto"/>
                <w:bottom w:val="none" w:sz="0" w:space="0" w:color="auto"/>
                <w:right w:val="none" w:sz="0" w:space="0" w:color="auto"/>
              </w:divBdr>
            </w:div>
          </w:divsChild>
        </w:div>
        <w:div w:id="743574042">
          <w:marLeft w:val="0"/>
          <w:marRight w:val="0"/>
          <w:marTop w:val="0"/>
          <w:marBottom w:val="0"/>
          <w:divBdr>
            <w:top w:val="none" w:sz="0" w:space="0" w:color="auto"/>
            <w:left w:val="none" w:sz="0" w:space="0" w:color="auto"/>
            <w:bottom w:val="none" w:sz="0" w:space="0" w:color="auto"/>
            <w:right w:val="none" w:sz="0" w:space="0" w:color="auto"/>
          </w:divBdr>
          <w:divsChild>
            <w:div w:id="1030378236">
              <w:marLeft w:val="0"/>
              <w:marRight w:val="0"/>
              <w:marTop w:val="0"/>
              <w:marBottom w:val="0"/>
              <w:divBdr>
                <w:top w:val="none" w:sz="0" w:space="0" w:color="auto"/>
                <w:left w:val="none" w:sz="0" w:space="0" w:color="auto"/>
                <w:bottom w:val="none" w:sz="0" w:space="0" w:color="auto"/>
                <w:right w:val="none" w:sz="0" w:space="0" w:color="auto"/>
              </w:divBdr>
            </w:div>
          </w:divsChild>
        </w:div>
        <w:div w:id="751048864">
          <w:marLeft w:val="0"/>
          <w:marRight w:val="0"/>
          <w:marTop w:val="0"/>
          <w:marBottom w:val="0"/>
          <w:divBdr>
            <w:top w:val="none" w:sz="0" w:space="0" w:color="auto"/>
            <w:left w:val="none" w:sz="0" w:space="0" w:color="auto"/>
            <w:bottom w:val="none" w:sz="0" w:space="0" w:color="auto"/>
            <w:right w:val="none" w:sz="0" w:space="0" w:color="auto"/>
          </w:divBdr>
          <w:divsChild>
            <w:div w:id="289477187">
              <w:marLeft w:val="0"/>
              <w:marRight w:val="0"/>
              <w:marTop w:val="0"/>
              <w:marBottom w:val="0"/>
              <w:divBdr>
                <w:top w:val="none" w:sz="0" w:space="0" w:color="auto"/>
                <w:left w:val="none" w:sz="0" w:space="0" w:color="auto"/>
                <w:bottom w:val="none" w:sz="0" w:space="0" w:color="auto"/>
                <w:right w:val="none" w:sz="0" w:space="0" w:color="auto"/>
              </w:divBdr>
            </w:div>
          </w:divsChild>
        </w:div>
        <w:div w:id="755591681">
          <w:marLeft w:val="0"/>
          <w:marRight w:val="0"/>
          <w:marTop w:val="0"/>
          <w:marBottom w:val="0"/>
          <w:divBdr>
            <w:top w:val="none" w:sz="0" w:space="0" w:color="auto"/>
            <w:left w:val="none" w:sz="0" w:space="0" w:color="auto"/>
            <w:bottom w:val="none" w:sz="0" w:space="0" w:color="auto"/>
            <w:right w:val="none" w:sz="0" w:space="0" w:color="auto"/>
          </w:divBdr>
          <w:divsChild>
            <w:div w:id="533082387">
              <w:marLeft w:val="0"/>
              <w:marRight w:val="0"/>
              <w:marTop w:val="0"/>
              <w:marBottom w:val="0"/>
              <w:divBdr>
                <w:top w:val="none" w:sz="0" w:space="0" w:color="auto"/>
                <w:left w:val="none" w:sz="0" w:space="0" w:color="auto"/>
                <w:bottom w:val="none" w:sz="0" w:space="0" w:color="auto"/>
                <w:right w:val="none" w:sz="0" w:space="0" w:color="auto"/>
              </w:divBdr>
            </w:div>
            <w:div w:id="653685045">
              <w:marLeft w:val="0"/>
              <w:marRight w:val="0"/>
              <w:marTop w:val="0"/>
              <w:marBottom w:val="0"/>
              <w:divBdr>
                <w:top w:val="none" w:sz="0" w:space="0" w:color="auto"/>
                <w:left w:val="none" w:sz="0" w:space="0" w:color="auto"/>
                <w:bottom w:val="none" w:sz="0" w:space="0" w:color="auto"/>
                <w:right w:val="none" w:sz="0" w:space="0" w:color="auto"/>
              </w:divBdr>
            </w:div>
            <w:div w:id="710424874">
              <w:marLeft w:val="0"/>
              <w:marRight w:val="0"/>
              <w:marTop w:val="0"/>
              <w:marBottom w:val="0"/>
              <w:divBdr>
                <w:top w:val="none" w:sz="0" w:space="0" w:color="auto"/>
                <w:left w:val="none" w:sz="0" w:space="0" w:color="auto"/>
                <w:bottom w:val="none" w:sz="0" w:space="0" w:color="auto"/>
                <w:right w:val="none" w:sz="0" w:space="0" w:color="auto"/>
              </w:divBdr>
            </w:div>
          </w:divsChild>
        </w:div>
        <w:div w:id="773594382">
          <w:marLeft w:val="0"/>
          <w:marRight w:val="0"/>
          <w:marTop w:val="0"/>
          <w:marBottom w:val="0"/>
          <w:divBdr>
            <w:top w:val="none" w:sz="0" w:space="0" w:color="auto"/>
            <w:left w:val="none" w:sz="0" w:space="0" w:color="auto"/>
            <w:bottom w:val="none" w:sz="0" w:space="0" w:color="auto"/>
            <w:right w:val="none" w:sz="0" w:space="0" w:color="auto"/>
          </w:divBdr>
          <w:divsChild>
            <w:div w:id="271136269">
              <w:marLeft w:val="0"/>
              <w:marRight w:val="0"/>
              <w:marTop w:val="0"/>
              <w:marBottom w:val="0"/>
              <w:divBdr>
                <w:top w:val="none" w:sz="0" w:space="0" w:color="auto"/>
                <w:left w:val="none" w:sz="0" w:space="0" w:color="auto"/>
                <w:bottom w:val="none" w:sz="0" w:space="0" w:color="auto"/>
                <w:right w:val="none" w:sz="0" w:space="0" w:color="auto"/>
              </w:divBdr>
            </w:div>
          </w:divsChild>
        </w:div>
        <w:div w:id="778993253">
          <w:marLeft w:val="0"/>
          <w:marRight w:val="0"/>
          <w:marTop w:val="0"/>
          <w:marBottom w:val="0"/>
          <w:divBdr>
            <w:top w:val="none" w:sz="0" w:space="0" w:color="auto"/>
            <w:left w:val="none" w:sz="0" w:space="0" w:color="auto"/>
            <w:bottom w:val="none" w:sz="0" w:space="0" w:color="auto"/>
            <w:right w:val="none" w:sz="0" w:space="0" w:color="auto"/>
          </w:divBdr>
          <w:divsChild>
            <w:div w:id="317423366">
              <w:marLeft w:val="0"/>
              <w:marRight w:val="0"/>
              <w:marTop w:val="0"/>
              <w:marBottom w:val="0"/>
              <w:divBdr>
                <w:top w:val="none" w:sz="0" w:space="0" w:color="auto"/>
                <w:left w:val="none" w:sz="0" w:space="0" w:color="auto"/>
                <w:bottom w:val="none" w:sz="0" w:space="0" w:color="auto"/>
                <w:right w:val="none" w:sz="0" w:space="0" w:color="auto"/>
              </w:divBdr>
            </w:div>
          </w:divsChild>
        </w:div>
        <w:div w:id="814102522">
          <w:marLeft w:val="0"/>
          <w:marRight w:val="0"/>
          <w:marTop w:val="0"/>
          <w:marBottom w:val="0"/>
          <w:divBdr>
            <w:top w:val="none" w:sz="0" w:space="0" w:color="auto"/>
            <w:left w:val="none" w:sz="0" w:space="0" w:color="auto"/>
            <w:bottom w:val="none" w:sz="0" w:space="0" w:color="auto"/>
            <w:right w:val="none" w:sz="0" w:space="0" w:color="auto"/>
          </w:divBdr>
          <w:divsChild>
            <w:div w:id="963654150">
              <w:marLeft w:val="0"/>
              <w:marRight w:val="0"/>
              <w:marTop w:val="0"/>
              <w:marBottom w:val="0"/>
              <w:divBdr>
                <w:top w:val="none" w:sz="0" w:space="0" w:color="auto"/>
                <w:left w:val="none" w:sz="0" w:space="0" w:color="auto"/>
                <w:bottom w:val="none" w:sz="0" w:space="0" w:color="auto"/>
                <w:right w:val="none" w:sz="0" w:space="0" w:color="auto"/>
              </w:divBdr>
            </w:div>
          </w:divsChild>
        </w:div>
        <w:div w:id="825053876">
          <w:marLeft w:val="0"/>
          <w:marRight w:val="0"/>
          <w:marTop w:val="0"/>
          <w:marBottom w:val="0"/>
          <w:divBdr>
            <w:top w:val="none" w:sz="0" w:space="0" w:color="auto"/>
            <w:left w:val="none" w:sz="0" w:space="0" w:color="auto"/>
            <w:bottom w:val="none" w:sz="0" w:space="0" w:color="auto"/>
            <w:right w:val="none" w:sz="0" w:space="0" w:color="auto"/>
          </w:divBdr>
          <w:divsChild>
            <w:div w:id="1458138515">
              <w:marLeft w:val="0"/>
              <w:marRight w:val="0"/>
              <w:marTop w:val="0"/>
              <w:marBottom w:val="0"/>
              <w:divBdr>
                <w:top w:val="none" w:sz="0" w:space="0" w:color="auto"/>
                <w:left w:val="none" w:sz="0" w:space="0" w:color="auto"/>
                <w:bottom w:val="none" w:sz="0" w:space="0" w:color="auto"/>
                <w:right w:val="none" w:sz="0" w:space="0" w:color="auto"/>
              </w:divBdr>
            </w:div>
            <w:div w:id="1537352087">
              <w:marLeft w:val="0"/>
              <w:marRight w:val="0"/>
              <w:marTop w:val="0"/>
              <w:marBottom w:val="0"/>
              <w:divBdr>
                <w:top w:val="none" w:sz="0" w:space="0" w:color="auto"/>
                <w:left w:val="none" w:sz="0" w:space="0" w:color="auto"/>
                <w:bottom w:val="none" w:sz="0" w:space="0" w:color="auto"/>
                <w:right w:val="none" w:sz="0" w:space="0" w:color="auto"/>
              </w:divBdr>
            </w:div>
          </w:divsChild>
        </w:div>
        <w:div w:id="834686104">
          <w:marLeft w:val="0"/>
          <w:marRight w:val="0"/>
          <w:marTop w:val="0"/>
          <w:marBottom w:val="0"/>
          <w:divBdr>
            <w:top w:val="none" w:sz="0" w:space="0" w:color="auto"/>
            <w:left w:val="none" w:sz="0" w:space="0" w:color="auto"/>
            <w:bottom w:val="none" w:sz="0" w:space="0" w:color="auto"/>
            <w:right w:val="none" w:sz="0" w:space="0" w:color="auto"/>
          </w:divBdr>
          <w:divsChild>
            <w:div w:id="1002050616">
              <w:marLeft w:val="0"/>
              <w:marRight w:val="0"/>
              <w:marTop w:val="0"/>
              <w:marBottom w:val="0"/>
              <w:divBdr>
                <w:top w:val="none" w:sz="0" w:space="0" w:color="auto"/>
                <w:left w:val="none" w:sz="0" w:space="0" w:color="auto"/>
                <w:bottom w:val="none" w:sz="0" w:space="0" w:color="auto"/>
                <w:right w:val="none" w:sz="0" w:space="0" w:color="auto"/>
              </w:divBdr>
            </w:div>
          </w:divsChild>
        </w:div>
        <w:div w:id="941108332">
          <w:marLeft w:val="0"/>
          <w:marRight w:val="0"/>
          <w:marTop w:val="0"/>
          <w:marBottom w:val="0"/>
          <w:divBdr>
            <w:top w:val="none" w:sz="0" w:space="0" w:color="auto"/>
            <w:left w:val="none" w:sz="0" w:space="0" w:color="auto"/>
            <w:bottom w:val="none" w:sz="0" w:space="0" w:color="auto"/>
            <w:right w:val="none" w:sz="0" w:space="0" w:color="auto"/>
          </w:divBdr>
          <w:divsChild>
            <w:div w:id="1671518039">
              <w:marLeft w:val="0"/>
              <w:marRight w:val="0"/>
              <w:marTop w:val="0"/>
              <w:marBottom w:val="0"/>
              <w:divBdr>
                <w:top w:val="none" w:sz="0" w:space="0" w:color="auto"/>
                <w:left w:val="none" w:sz="0" w:space="0" w:color="auto"/>
                <w:bottom w:val="none" w:sz="0" w:space="0" w:color="auto"/>
                <w:right w:val="none" w:sz="0" w:space="0" w:color="auto"/>
              </w:divBdr>
            </w:div>
          </w:divsChild>
        </w:div>
        <w:div w:id="1003901101">
          <w:marLeft w:val="0"/>
          <w:marRight w:val="0"/>
          <w:marTop w:val="0"/>
          <w:marBottom w:val="0"/>
          <w:divBdr>
            <w:top w:val="none" w:sz="0" w:space="0" w:color="auto"/>
            <w:left w:val="none" w:sz="0" w:space="0" w:color="auto"/>
            <w:bottom w:val="none" w:sz="0" w:space="0" w:color="auto"/>
            <w:right w:val="none" w:sz="0" w:space="0" w:color="auto"/>
          </w:divBdr>
          <w:divsChild>
            <w:div w:id="1744526067">
              <w:marLeft w:val="0"/>
              <w:marRight w:val="0"/>
              <w:marTop w:val="0"/>
              <w:marBottom w:val="0"/>
              <w:divBdr>
                <w:top w:val="none" w:sz="0" w:space="0" w:color="auto"/>
                <w:left w:val="none" w:sz="0" w:space="0" w:color="auto"/>
                <w:bottom w:val="none" w:sz="0" w:space="0" w:color="auto"/>
                <w:right w:val="none" w:sz="0" w:space="0" w:color="auto"/>
              </w:divBdr>
            </w:div>
          </w:divsChild>
        </w:div>
        <w:div w:id="1030181200">
          <w:marLeft w:val="0"/>
          <w:marRight w:val="0"/>
          <w:marTop w:val="0"/>
          <w:marBottom w:val="0"/>
          <w:divBdr>
            <w:top w:val="none" w:sz="0" w:space="0" w:color="auto"/>
            <w:left w:val="none" w:sz="0" w:space="0" w:color="auto"/>
            <w:bottom w:val="none" w:sz="0" w:space="0" w:color="auto"/>
            <w:right w:val="none" w:sz="0" w:space="0" w:color="auto"/>
          </w:divBdr>
          <w:divsChild>
            <w:div w:id="1959725265">
              <w:marLeft w:val="0"/>
              <w:marRight w:val="0"/>
              <w:marTop w:val="0"/>
              <w:marBottom w:val="0"/>
              <w:divBdr>
                <w:top w:val="none" w:sz="0" w:space="0" w:color="auto"/>
                <w:left w:val="none" w:sz="0" w:space="0" w:color="auto"/>
                <w:bottom w:val="none" w:sz="0" w:space="0" w:color="auto"/>
                <w:right w:val="none" w:sz="0" w:space="0" w:color="auto"/>
              </w:divBdr>
            </w:div>
          </w:divsChild>
        </w:div>
        <w:div w:id="1032340167">
          <w:marLeft w:val="0"/>
          <w:marRight w:val="0"/>
          <w:marTop w:val="0"/>
          <w:marBottom w:val="0"/>
          <w:divBdr>
            <w:top w:val="none" w:sz="0" w:space="0" w:color="auto"/>
            <w:left w:val="none" w:sz="0" w:space="0" w:color="auto"/>
            <w:bottom w:val="none" w:sz="0" w:space="0" w:color="auto"/>
            <w:right w:val="none" w:sz="0" w:space="0" w:color="auto"/>
          </w:divBdr>
          <w:divsChild>
            <w:div w:id="2009208802">
              <w:marLeft w:val="0"/>
              <w:marRight w:val="0"/>
              <w:marTop w:val="0"/>
              <w:marBottom w:val="0"/>
              <w:divBdr>
                <w:top w:val="none" w:sz="0" w:space="0" w:color="auto"/>
                <w:left w:val="none" w:sz="0" w:space="0" w:color="auto"/>
                <w:bottom w:val="none" w:sz="0" w:space="0" w:color="auto"/>
                <w:right w:val="none" w:sz="0" w:space="0" w:color="auto"/>
              </w:divBdr>
            </w:div>
          </w:divsChild>
        </w:div>
        <w:div w:id="1043401684">
          <w:marLeft w:val="0"/>
          <w:marRight w:val="0"/>
          <w:marTop w:val="0"/>
          <w:marBottom w:val="0"/>
          <w:divBdr>
            <w:top w:val="none" w:sz="0" w:space="0" w:color="auto"/>
            <w:left w:val="none" w:sz="0" w:space="0" w:color="auto"/>
            <w:bottom w:val="none" w:sz="0" w:space="0" w:color="auto"/>
            <w:right w:val="none" w:sz="0" w:space="0" w:color="auto"/>
          </w:divBdr>
          <w:divsChild>
            <w:div w:id="1577548140">
              <w:marLeft w:val="0"/>
              <w:marRight w:val="0"/>
              <w:marTop w:val="0"/>
              <w:marBottom w:val="0"/>
              <w:divBdr>
                <w:top w:val="none" w:sz="0" w:space="0" w:color="auto"/>
                <w:left w:val="none" w:sz="0" w:space="0" w:color="auto"/>
                <w:bottom w:val="none" w:sz="0" w:space="0" w:color="auto"/>
                <w:right w:val="none" w:sz="0" w:space="0" w:color="auto"/>
              </w:divBdr>
            </w:div>
          </w:divsChild>
        </w:div>
        <w:div w:id="1083186720">
          <w:marLeft w:val="0"/>
          <w:marRight w:val="0"/>
          <w:marTop w:val="0"/>
          <w:marBottom w:val="0"/>
          <w:divBdr>
            <w:top w:val="none" w:sz="0" w:space="0" w:color="auto"/>
            <w:left w:val="none" w:sz="0" w:space="0" w:color="auto"/>
            <w:bottom w:val="none" w:sz="0" w:space="0" w:color="auto"/>
            <w:right w:val="none" w:sz="0" w:space="0" w:color="auto"/>
          </w:divBdr>
          <w:divsChild>
            <w:div w:id="2078746408">
              <w:marLeft w:val="0"/>
              <w:marRight w:val="0"/>
              <w:marTop w:val="0"/>
              <w:marBottom w:val="0"/>
              <w:divBdr>
                <w:top w:val="none" w:sz="0" w:space="0" w:color="auto"/>
                <w:left w:val="none" w:sz="0" w:space="0" w:color="auto"/>
                <w:bottom w:val="none" w:sz="0" w:space="0" w:color="auto"/>
                <w:right w:val="none" w:sz="0" w:space="0" w:color="auto"/>
              </w:divBdr>
            </w:div>
          </w:divsChild>
        </w:div>
        <w:div w:id="1094781304">
          <w:marLeft w:val="0"/>
          <w:marRight w:val="0"/>
          <w:marTop w:val="0"/>
          <w:marBottom w:val="0"/>
          <w:divBdr>
            <w:top w:val="none" w:sz="0" w:space="0" w:color="auto"/>
            <w:left w:val="none" w:sz="0" w:space="0" w:color="auto"/>
            <w:bottom w:val="none" w:sz="0" w:space="0" w:color="auto"/>
            <w:right w:val="none" w:sz="0" w:space="0" w:color="auto"/>
          </w:divBdr>
          <w:divsChild>
            <w:div w:id="1383092515">
              <w:marLeft w:val="0"/>
              <w:marRight w:val="0"/>
              <w:marTop w:val="0"/>
              <w:marBottom w:val="0"/>
              <w:divBdr>
                <w:top w:val="none" w:sz="0" w:space="0" w:color="auto"/>
                <w:left w:val="none" w:sz="0" w:space="0" w:color="auto"/>
                <w:bottom w:val="none" w:sz="0" w:space="0" w:color="auto"/>
                <w:right w:val="none" w:sz="0" w:space="0" w:color="auto"/>
              </w:divBdr>
            </w:div>
          </w:divsChild>
        </w:div>
        <w:div w:id="1110589014">
          <w:marLeft w:val="0"/>
          <w:marRight w:val="0"/>
          <w:marTop w:val="0"/>
          <w:marBottom w:val="0"/>
          <w:divBdr>
            <w:top w:val="none" w:sz="0" w:space="0" w:color="auto"/>
            <w:left w:val="none" w:sz="0" w:space="0" w:color="auto"/>
            <w:bottom w:val="none" w:sz="0" w:space="0" w:color="auto"/>
            <w:right w:val="none" w:sz="0" w:space="0" w:color="auto"/>
          </w:divBdr>
          <w:divsChild>
            <w:div w:id="512913925">
              <w:marLeft w:val="0"/>
              <w:marRight w:val="0"/>
              <w:marTop w:val="0"/>
              <w:marBottom w:val="0"/>
              <w:divBdr>
                <w:top w:val="none" w:sz="0" w:space="0" w:color="auto"/>
                <w:left w:val="none" w:sz="0" w:space="0" w:color="auto"/>
                <w:bottom w:val="none" w:sz="0" w:space="0" w:color="auto"/>
                <w:right w:val="none" w:sz="0" w:space="0" w:color="auto"/>
              </w:divBdr>
            </w:div>
          </w:divsChild>
        </w:div>
        <w:div w:id="1143156702">
          <w:marLeft w:val="0"/>
          <w:marRight w:val="0"/>
          <w:marTop w:val="0"/>
          <w:marBottom w:val="0"/>
          <w:divBdr>
            <w:top w:val="none" w:sz="0" w:space="0" w:color="auto"/>
            <w:left w:val="none" w:sz="0" w:space="0" w:color="auto"/>
            <w:bottom w:val="none" w:sz="0" w:space="0" w:color="auto"/>
            <w:right w:val="none" w:sz="0" w:space="0" w:color="auto"/>
          </w:divBdr>
          <w:divsChild>
            <w:div w:id="1406301828">
              <w:marLeft w:val="0"/>
              <w:marRight w:val="0"/>
              <w:marTop w:val="0"/>
              <w:marBottom w:val="0"/>
              <w:divBdr>
                <w:top w:val="none" w:sz="0" w:space="0" w:color="auto"/>
                <w:left w:val="none" w:sz="0" w:space="0" w:color="auto"/>
                <w:bottom w:val="none" w:sz="0" w:space="0" w:color="auto"/>
                <w:right w:val="none" w:sz="0" w:space="0" w:color="auto"/>
              </w:divBdr>
            </w:div>
          </w:divsChild>
        </w:div>
        <w:div w:id="1149831578">
          <w:marLeft w:val="0"/>
          <w:marRight w:val="0"/>
          <w:marTop w:val="0"/>
          <w:marBottom w:val="0"/>
          <w:divBdr>
            <w:top w:val="none" w:sz="0" w:space="0" w:color="auto"/>
            <w:left w:val="none" w:sz="0" w:space="0" w:color="auto"/>
            <w:bottom w:val="none" w:sz="0" w:space="0" w:color="auto"/>
            <w:right w:val="none" w:sz="0" w:space="0" w:color="auto"/>
          </w:divBdr>
          <w:divsChild>
            <w:div w:id="1020666631">
              <w:marLeft w:val="0"/>
              <w:marRight w:val="0"/>
              <w:marTop w:val="0"/>
              <w:marBottom w:val="0"/>
              <w:divBdr>
                <w:top w:val="none" w:sz="0" w:space="0" w:color="auto"/>
                <w:left w:val="none" w:sz="0" w:space="0" w:color="auto"/>
                <w:bottom w:val="none" w:sz="0" w:space="0" w:color="auto"/>
                <w:right w:val="none" w:sz="0" w:space="0" w:color="auto"/>
              </w:divBdr>
            </w:div>
          </w:divsChild>
        </w:div>
        <w:div w:id="1160805489">
          <w:marLeft w:val="0"/>
          <w:marRight w:val="0"/>
          <w:marTop w:val="0"/>
          <w:marBottom w:val="0"/>
          <w:divBdr>
            <w:top w:val="none" w:sz="0" w:space="0" w:color="auto"/>
            <w:left w:val="none" w:sz="0" w:space="0" w:color="auto"/>
            <w:bottom w:val="none" w:sz="0" w:space="0" w:color="auto"/>
            <w:right w:val="none" w:sz="0" w:space="0" w:color="auto"/>
          </w:divBdr>
          <w:divsChild>
            <w:div w:id="996037743">
              <w:marLeft w:val="0"/>
              <w:marRight w:val="0"/>
              <w:marTop w:val="0"/>
              <w:marBottom w:val="0"/>
              <w:divBdr>
                <w:top w:val="none" w:sz="0" w:space="0" w:color="auto"/>
                <w:left w:val="none" w:sz="0" w:space="0" w:color="auto"/>
                <w:bottom w:val="none" w:sz="0" w:space="0" w:color="auto"/>
                <w:right w:val="none" w:sz="0" w:space="0" w:color="auto"/>
              </w:divBdr>
            </w:div>
            <w:div w:id="2141721526">
              <w:marLeft w:val="0"/>
              <w:marRight w:val="0"/>
              <w:marTop w:val="0"/>
              <w:marBottom w:val="0"/>
              <w:divBdr>
                <w:top w:val="none" w:sz="0" w:space="0" w:color="auto"/>
                <w:left w:val="none" w:sz="0" w:space="0" w:color="auto"/>
                <w:bottom w:val="none" w:sz="0" w:space="0" w:color="auto"/>
                <w:right w:val="none" w:sz="0" w:space="0" w:color="auto"/>
              </w:divBdr>
            </w:div>
          </w:divsChild>
        </w:div>
        <w:div w:id="1166628386">
          <w:marLeft w:val="0"/>
          <w:marRight w:val="0"/>
          <w:marTop w:val="0"/>
          <w:marBottom w:val="0"/>
          <w:divBdr>
            <w:top w:val="none" w:sz="0" w:space="0" w:color="auto"/>
            <w:left w:val="none" w:sz="0" w:space="0" w:color="auto"/>
            <w:bottom w:val="none" w:sz="0" w:space="0" w:color="auto"/>
            <w:right w:val="none" w:sz="0" w:space="0" w:color="auto"/>
          </w:divBdr>
          <w:divsChild>
            <w:div w:id="1475872353">
              <w:marLeft w:val="0"/>
              <w:marRight w:val="0"/>
              <w:marTop w:val="0"/>
              <w:marBottom w:val="0"/>
              <w:divBdr>
                <w:top w:val="none" w:sz="0" w:space="0" w:color="auto"/>
                <w:left w:val="none" w:sz="0" w:space="0" w:color="auto"/>
                <w:bottom w:val="none" w:sz="0" w:space="0" w:color="auto"/>
                <w:right w:val="none" w:sz="0" w:space="0" w:color="auto"/>
              </w:divBdr>
            </w:div>
          </w:divsChild>
        </w:div>
        <w:div w:id="1167289304">
          <w:marLeft w:val="0"/>
          <w:marRight w:val="0"/>
          <w:marTop w:val="0"/>
          <w:marBottom w:val="0"/>
          <w:divBdr>
            <w:top w:val="none" w:sz="0" w:space="0" w:color="auto"/>
            <w:left w:val="none" w:sz="0" w:space="0" w:color="auto"/>
            <w:bottom w:val="none" w:sz="0" w:space="0" w:color="auto"/>
            <w:right w:val="none" w:sz="0" w:space="0" w:color="auto"/>
          </w:divBdr>
          <w:divsChild>
            <w:div w:id="242297995">
              <w:marLeft w:val="0"/>
              <w:marRight w:val="0"/>
              <w:marTop w:val="0"/>
              <w:marBottom w:val="0"/>
              <w:divBdr>
                <w:top w:val="none" w:sz="0" w:space="0" w:color="auto"/>
                <w:left w:val="none" w:sz="0" w:space="0" w:color="auto"/>
                <w:bottom w:val="none" w:sz="0" w:space="0" w:color="auto"/>
                <w:right w:val="none" w:sz="0" w:space="0" w:color="auto"/>
              </w:divBdr>
            </w:div>
            <w:div w:id="1102997785">
              <w:marLeft w:val="0"/>
              <w:marRight w:val="0"/>
              <w:marTop w:val="0"/>
              <w:marBottom w:val="0"/>
              <w:divBdr>
                <w:top w:val="none" w:sz="0" w:space="0" w:color="auto"/>
                <w:left w:val="none" w:sz="0" w:space="0" w:color="auto"/>
                <w:bottom w:val="none" w:sz="0" w:space="0" w:color="auto"/>
                <w:right w:val="none" w:sz="0" w:space="0" w:color="auto"/>
              </w:divBdr>
            </w:div>
            <w:div w:id="1564562663">
              <w:marLeft w:val="0"/>
              <w:marRight w:val="0"/>
              <w:marTop w:val="0"/>
              <w:marBottom w:val="0"/>
              <w:divBdr>
                <w:top w:val="none" w:sz="0" w:space="0" w:color="auto"/>
                <w:left w:val="none" w:sz="0" w:space="0" w:color="auto"/>
                <w:bottom w:val="none" w:sz="0" w:space="0" w:color="auto"/>
                <w:right w:val="none" w:sz="0" w:space="0" w:color="auto"/>
              </w:divBdr>
            </w:div>
          </w:divsChild>
        </w:div>
        <w:div w:id="1188103500">
          <w:marLeft w:val="0"/>
          <w:marRight w:val="0"/>
          <w:marTop w:val="0"/>
          <w:marBottom w:val="0"/>
          <w:divBdr>
            <w:top w:val="none" w:sz="0" w:space="0" w:color="auto"/>
            <w:left w:val="none" w:sz="0" w:space="0" w:color="auto"/>
            <w:bottom w:val="none" w:sz="0" w:space="0" w:color="auto"/>
            <w:right w:val="none" w:sz="0" w:space="0" w:color="auto"/>
          </w:divBdr>
          <w:divsChild>
            <w:div w:id="185217074">
              <w:marLeft w:val="0"/>
              <w:marRight w:val="0"/>
              <w:marTop w:val="0"/>
              <w:marBottom w:val="0"/>
              <w:divBdr>
                <w:top w:val="none" w:sz="0" w:space="0" w:color="auto"/>
                <w:left w:val="none" w:sz="0" w:space="0" w:color="auto"/>
                <w:bottom w:val="none" w:sz="0" w:space="0" w:color="auto"/>
                <w:right w:val="none" w:sz="0" w:space="0" w:color="auto"/>
              </w:divBdr>
            </w:div>
            <w:div w:id="375273106">
              <w:marLeft w:val="0"/>
              <w:marRight w:val="0"/>
              <w:marTop w:val="0"/>
              <w:marBottom w:val="0"/>
              <w:divBdr>
                <w:top w:val="none" w:sz="0" w:space="0" w:color="auto"/>
                <w:left w:val="none" w:sz="0" w:space="0" w:color="auto"/>
                <w:bottom w:val="none" w:sz="0" w:space="0" w:color="auto"/>
                <w:right w:val="none" w:sz="0" w:space="0" w:color="auto"/>
              </w:divBdr>
            </w:div>
            <w:div w:id="1166897270">
              <w:marLeft w:val="0"/>
              <w:marRight w:val="0"/>
              <w:marTop w:val="0"/>
              <w:marBottom w:val="0"/>
              <w:divBdr>
                <w:top w:val="none" w:sz="0" w:space="0" w:color="auto"/>
                <w:left w:val="none" w:sz="0" w:space="0" w:color="auto"/>
                <w:bottom w:val="none" w:sz="0" w:space="0" w:color="auto"/>
                <w:right w:val="none" w:sz="0" w:space="0" w:color="auto"/>
              </w:divBdr>
            </w:div>
            <w:div w:id="1894121737">
              <w:marLeft w:val="0"/>
              <w:marRight w:val="0"/>
              <w:marTop w:val="0"/>
              <w:marBottom w:val="0"/>
              <w:divBdr>
                <w:top w:val="none" w:sz="0" w:space="0" w:color="auto"/>
                <w:left w:val="none" w:sz="0" w:space="0" w:color="auto"/>
                <w:bottom w:val="none" w:sz="0" w:space="0" w:color="auto"/>
                <w:right w:val="none" w:sz="0" w:space="0" w:color="auto"/>
              </w:divBdr>
            </w:div>
            <w:div w:id="2131506913">
              <w:marLeft w:val="0"/>
              <w:marRight w:val="0"/>
              <w:marTop w:val="0"/>
              <w:marBottom w:val="0"/>
              <w:divBdr>
                <w:top w:val="none" w:sz="0" w:space="0" w:color="auto"/>
                <w:left w:val="none" w:sz="0" w:space="0" w:color="auto"/>
                <w:bottom w:val="none" w:sz="0" w:space="0" w:color="auto"/>
                <w:right w:val="none" w:sz="0" w:space="0" w:color="auto"/>
              </w:divBdr>
            </w:div>
          </w:divsChild>
        </w:div>
        <w:div w:id="1201212596">
          <w:marLeft w:val="0"/>
          <w:marRight w:val="0"/>
          <w:marTop w:val="0"/>
          <w:marBottom w:val="0"/>
          <w:divBdr>
            <w:top w:val="none" w:sz="0" w:space="0" w:color="auto"/>
            <w:left w:val="none" w:sz="0" w:space="0" w:color="auto"/>
            <w:bottom w:val="none" w:sz="0" w:space="0" w:color="auto"/>
            <w:right w:val="none" w:sz="0" w:space="0" w:color="auto"/>
          </w:divBdr>
          <w:divsChild>
            <w:div w:id="1989744834">
              <w:marLeft w:val="0"/>
              <w:marRight w:val="0"/>
              <w:marTop w:val="0"/>
              <w:marBottom w:val="0"/>
              <w:divBdr>
                <w:top w:val="none" w:sz="0" w:space="0" w:color="auto"/>
                <w:left w:val="none" w:sz="0" w:space="0" w:color="auto"/>
                <w:bottom w:val="none" w:sz="0" w:space="0" w:color="auto"/>
                <w:right w:val="none" w:sz="0" w:space="0" w:color="auto"/>
              </w:divBdr>
            </w:div>
          </w:divsChild>
        </w:div>
        <w:div w:id="1238399524">
          <w:marLeft w:val="0"/>
          <w:marRight w:val="0"/>
          <w:marTop w:val="0"/>
          <w:marBottom w:val="0"/>
          <w:divBdr>
            <w:top w:val="none" w:sz="0" w:space="0" w:color="auto"/>
            <w:left w:val="none" w:sz="0" w:space="0" w:color="auto"/>
            <w:bottom w:val="none" w:sz="0" w:space="0" w:color="auto"/>
            <w:right w:val="none" w:sz="0" w:space="0" w:color="auto"/>
          </w:divBdr>
          <w:divsChild>
            <w:div w:id="374625231">
              <w:marLeft w:val="0"/>
              <w:marRight w:val="0"/>
              <w:marTop w:val="0"/>
              <w:marBottom w:val="0"/>
              <w:divBdr>
                <w:top w:val="none" w:sz="0" w:space="0" w:color="auto"/>
                <w:left w:val="none" w:sz="0" w:space="0" w:color="auto"/>
                <w:bottom w:val="none" w:sz="0" w:space="0" w:color="auto"/>
                <w:right w:val="none" w:sz="0" w:space="0" w:color="auto"/>
              </w:divBdr>
            </w:div>
          </w:divsChild>
        </w:div>
        <w:div w:id="1243681898">
          <w:marLeft w:val="0"/>
          <w:marRight w:val="0"/>
          <w:marTop w:val="0"/>
          <w:marBottom w:val="0"/>
          <w:divBdr>
            <w:top w:val="none" w:sz="0" w:space="0" w:color="auto"/>
            <w:left w:val="none" w:sz="0" w:space="0" w:color="auto"/>
            <w:bottom w:val="none" w:sz="0" w:space="0" w:color="auto"/>
            <w:right w:val="none" w:sz="0" w:space="0" w:color="auto"/>
          </w:divBdr>
          <w:divsChild>
            <w:div w:id="1067731395">
              <w:marLeft w:val="0"/>
              <w:marRight w:val="0"/>
              <w:marTop w:val="0"/>
              <w:marBottom w:val="0"/>
              <w:divBdr>
                <w:top w:val="none" w:sz="0" w:space="0" w:color="auto"/>
                <w:left w:val="none" w:sz="0" w:space="0" w:color="auto"/>
                <w:bottom w:val="none" w:sz="0" w:space="0" w:color="auto"/>
                <w:right w:val="none" w:sz="0" w:space="0" w:color="auto"/>
              </w:divBdr>
            </w:div>
          </w:divsChild>
        </w:div>
        <w:div w:id="1257985220">
          <w:marLeft w:val="0"/>
          <w:marRight w:val="0"/>
          <w:marTop w:val="0"/>
          <w:marBottom w:val="0"/>
          <w:divBdr>
            <w:top w:val="none" w:sz="0" w:space="0" w:color="auto"/>
            <w:left w:val="none" w:sz="0" w:space="0" w:color="auto"/>
            <w:bottom w:val="none" w:sz="0" w:space="0" w:color="auto"/>
            <w:right w:val="none" w:sz="0" w:space="0" w:color="auto"/>
          </w:divBdr>
          <w:divsChild>
            <w:div w:id="732386936">
              <w:marLeft w:val="0"/>
              <w:marRight w:val="0"/>
              <w:marTop w:val="0"/>
              <w:marBottom w:val="0"/>
              <w:divBdr>
                <w:top w:val="none" w:sz="0" w:space="0" w:color="auto"/>
                <w:left w:val="none" w:sz="0" w:space="0" w:color="auto"/>
                <w:bottom w:val="none" w:sz="0" w:space="0" w:color="auto"/>
                <w:right w:val="none" w:sz="0" w:space="0" w:color="auto"/>
              </w:divBdr>
            </w:div>
          </w:divsChild>
        </w:div>
        <w:div w:id="1262450221">
          <w:marLeft w:val="0"/>
          <w:marRight w:val="0"/>
          <w:marTop w:val="0"/>
          <w:marBottom w:val="0"/>
          <w:divBdr>
            <w:top w:val="none" w:sz="0" w:space="0" w:color="auto"/>
            <w:left w:val="none" w:sz="0" w:space="0" w:color="auto"/>
            <w:bottom w:val="none" w:sz="0" w:space="0" w:color="auto"/>
            <w:right w:val="none" w:sz="0" w:space="0" w:color="auto"/>
          </w:divBdr>
          <w:divsChild>
            <w:div w:id="905190123">
              <w:marLeft w:val="0"/>
              <w:marRight w:val="0"/>
              <w:marTop w:val="0"/>
              <w:marBottom w:val="0"/>
              <w:divBdr>
                <w:top w:val="none" w:sz="0" w:space="0" w:color="auto"/>
                <w:left w:val="none" w:sz="0" w:space="0" w:color="auto"/>
                <w:bottom w:val="none" w:sz="0" w:space="0" w:color="auto"/>
                <w:right w:val="none" w:sz="0" w:space="0" w:color="auto"/>
              </w:divBdr>
            </w:div>
          </w:divsChild>
        </w:div>
        <w:div w:id="1286473479">
          <w:marLeft w:val="0"/>
          <w:marRight w:val="0"/>
          <w:marTop w:val="0"/>
          <w:marBottom w:val="0"/>
          <w:divBdr>
            <w:top w:val="none" w:sz="0" w:space="0" w:color="auto"/>
            <w:left w:val="none" w:sz="0" w:space="0" w:color="auto"/>
            <w:bottom w:val="none" w:sz="0" w:space="0" w:color="auto"/>
            <w:right w:val="none" w:sz="0" w:space="0" w:color="auto"/>
          </w:divBdr>
          <w:divsChild>
            <w:div w:id="434637683">
              <w:marLeft w:val="0"/>
              <w:marRight w:val="0"/>
              <w:marTop w:val="0"/>
              <w:marBottom w:val="0"/>
              <w:divBdr>
                <w:top w:val="none" w:sz="0" w:space="0" w:color="auto"/>
                <w:left w:val="none" w:sz="0" w:space="0" w:color="auto"/>
                <w:bottom w:val="none" w:sz="0" w:space="0" w:color="auto"/>
                <w:right w:val="none" w:sz="0" w:space="0" w:color="auto"/>
              </w:divBdr>
            </w:div>
          </w:divsChild>
        </w:div>
        <w:div w:id="1286615969">
          <w:marLeft w:val="0"/>
          <w:marRight w:val="0"/>
          <w:marTop w:val="0"/>
          <w:marBottom w:val="0"/>
          <w:divBdr>
            <w:top w:val="none" w:sz="0" w:space="0" w:color="auto"/>
            <w:left w:val="none" w:sz="0" w:space="0" w:color="auto"/>
            <w:bottom w:val="none" w:sz="0" w:space="0" w:color="auto"/>
            <w:right w:val="none" w:sz="0" w:space="0" w:color="auto"/>
          </w:divBdr>
          <w:divsChild>
            <w:div w:id="1900937715">
              <w:marLeft w:val="0"/>
              <w:marRight w:val="0"/>
              <w:marTop w:val="0"/>
              <w:marBottom w:val="0"/>
              <w:divBdr>
                <w:top w:val="none" w:sz="0" w:space="0" w:color="auto"/>
                <w:left w:val="none" w:sz="0" w:space="0" w:color="auto"/>
                <w:bottom w:val="none" w:sz="0" w:space="0" w:color="auto"/>
                <w:right w:val="none" w:sz="0" w:space="0" w:color="auto"/>
              </w:divBdr>
            </w:div>
          </w:divsChild>
        </w:div>
        <w:div w:id="1304460441">
          <w:marLeft w:val="0"/>
          <w:marRight w:val="0"/>
          <w:marTop w:val="0"/>
          <w:marBottom w:val="0"/>
          <w:divBdr>
            <w:top w:val="none" w:sz="0" w:space="0" w:color="auto"/>
            <w:left w:val="none" w:sz="0" w:space="0" w:color="auto"/>
            <w:bottom w:val="none" w:sz="0" w:space="0" w:color="auto"/>
            <w:right w:val="none" w:sz="0" w:space="0" w:color="auto"/>
          </w:divBdr>
          <w:divsChild>
            <w:div w:id="815219299">
              <w:marLeft w:val="0"/>
              <w:marRight w:val="0"/>
              <w:marTop w:val="0"/>
              <w:marBottom w:val="0"/>
              <w:divBdr>
                <w:top w:val="none" w:sz="0" w:space="0" w:color="auto"/>
                <w:left w:val="none" w:sz="0" w:space="0" w:color="auto"/>
                <w:bottom w:val="none" w:sz="0" w:space="0" w:color="auto"/>
                <w:right w:val="none" w:sz="0" w:space="0" w:color="auto"/>
              </w:divBdr>
            </w:div>
            <w:div w:id="1845780285">
              <w:marLeft w:val="0"/>
              <w:marRight w:val="0"/>
              <w:marTop w:val="0"/>
              <w:marBottom w:val="0"/>
              <w:divBdr>
                <w:top w:val="none" w:sz="0" w:space="0" w:color="auto"/>
                <w:left w:val="none" w:sz="0" w:space="0" w:color="auto"/>
                <w:bottom w:val="none" w:sz="0" w:space="0" w:color="auto"/>
                <w:right w:val="none" w:sz="0" w:space="0" w:color="auto"/>
              </w:divBdr>
            </w:div>
          </w:divsChild>
        </w:div>
        <w:div w:id="1336881515">
          <w:marLeft w:val="0"/>
          <w:marRight w:val="0"/>
          <w:marTop w:val="0"/>
          <w:marBottom w:val="0"/>
          <w:divBdr>
            <w:top w:val="none" w:sz="0" w:space="0" w:color="auto"/>
            <w:left w:val="none" w:sz="0" w:space="0" w:color="auto"/>
            <w:bottom w:val="none" w:sz="0" w:space="0" w:color="auto"/>
            <w:right w:val="none" w:sz="0" w:space="0" w:color="auto"/>
          </w:divBdr>
          <w:divsChild>
            <w:div w:id="981079677">
              <w:marLeft w:val="0"/>
              <w:marRight w:val="0"/>
              <w:marTop w:val="0"/>
              <w:marBottom w:val="0"/>
              <w:divBdr>
                <w:top w:val="none" w:sz="0" w:space="0" w:color="auto"/>
                <w:left w:val="none" w:sz="0" w:space="0" w:color="auto"/>
                <w:bottom w:val="none" w:sz="0" w:space="0" w:color="auto"/>
                <w:right w:val="none" w:sz="0" w:space="0" w:color="auto"/>
              </w:divBdr>
            </w:div>
          </w:divsChild>
        </w:div>
        <w:div w:id="1368485693">
          <w:marLeft w:val="0"/>
          <w:marRight w:val="0"/>
          <w:marTop w:val="0"/>
          <w:marBottom w:val="0"/>
          <w:divBdr>
            <w:top w:val="none" w:sz="0" w:space="0" w:color="auto"/>
            <w:left w:val="none" w:sz="0" w:space="0" w:color="auto"/>
            <w:bottom w:val="none" w:sz="0" w:space="0" w:color="auto"/>
            <w:right w:val="none" w:sz="0" w:space="0" w:color="auto"/>
          </w:divBdr>
          <w:divsChild>
            <w:div w:id="1278679951">
              <w:marLeft w:val="0"/>
              <w:marRight w:val="0"/>
              <w:marTop w:val="0"/>
              <w:marBottom w:val="0"/>
              <w:divBdr>
                <w:top w:val="none" w:sz="0" w:space="0" w:color="auto"/>
                <w:left w:val="none" w:sz="0" w:space="0" w:color="auto"/>
                <w:bottom w:val="none" w:sz="0" w:space="0" w:color="auto"/>
                <w:right w:val="none" w:sz="0" w:space="0" w:color="auto"/>
              </w:divBdr>
            </w:div>
          </w:divsChild>
        </w:div>
        <w:div w:id="1374383441">
          <w:marLeft w:val="0"/>
          <w:marRight w:val="0"/>
          <w:marTop w:val="0"/>
          <w:marBottom w:val="0"/>
          <w:divBdr>
            <w:top w:val="none" w:sz="0" w:space="0" w:color="auto"/>
            <w:left w:val="none" w:sz="0" w:space="0" w:color="auto"/>
            <w:bottom w:val="none" w:sz="0" w:space="0" w:color="auto"/>
            <w:right w:val="none" w:sz="0" w:space="0" w:color="auto"/>
          </w:divBdr>
          <w:divsChild>
            <w:div w:id="680860699">
              <w:marLeft w:val="0"/>
              <w:marRight w:val="0"/>
              <w:marTop w:val="0"/>
              <w:marBottom w:val="0"/>
              <w:divBdr>
                <w:top w:val="none" w:sz="0" w:space="0" w:color="auto"/>
                <w:left w:val="none" w:sz="0" w:space="0" w:color="auto"/>
                <w:bottom w:val="none" w:sz="0" w:space="0" w:color="auto"/>
                <w:right w:val="none" w:sz="0" w:space="0" w:color="auto"/>
              </w:divBdr>
            </w:div>
          </w:divsChild>
        </w:div>
        <w:div w:id="1405643941">
          <w:marLeft w:val="0"/>
          <w:marRight w:val="0"/>
          <w:marTop w:val="0"/>
          <w:marBottom w:val="0"/>
          <w:divBdr>
            <w:top w:val="none" w:sz="0" w:space="0" w:color="auto"/>
            <w:left w:val="none" w:sz="0" w:space="0" w:color="auto"/>
            <w:bottom w:val="none" w:sz="0" w:space="0" w:color="auto"/>
            <w:right w:val="none" w:sz="0" w:space="0" w:color="auto"/>
          </w:divBdr>
          <w:divsChild>
            <w:div w:id="2078698536">
              <w:marLeft w:val="0"/>
              <w:marRight w:val="0"/>
              <w:marTop w:val="0"/>
              <w:marBottom w:val="0"/>
              <w:divBdr>
                <w:top w:val="none" w:sz="0" w:space="0" w:color="auto"/>
                <w:left w:val="none" w:sz="0" w:space="0" w:color="auto"/>
                <w:bottom w:val="none" w:sz="0" w:space="0" w:color="auto"/>
                <w:right w:val="none" w:sz="0" w:space="0" w:color="auto"/>
              </w:divBdr>
            </w:div>
          </w:divsChild>
        </w:div>
        <w:div w:id="1419017701">
          <w:marLeft w:val="0"/>
          <w:marRight w:val="0"/>
          <w:marTop w:val="0"/>
          <w:marBottom w:val="0"/>
          <w:divBdr>
            <w:top w:val="none" w:sz="0" w:space="0" w:color="auto"/>
            <w:left w:val="none" w:sz="0" w:space="0" w:color="auto"/>
            <w:bottom w:val="none" w:sz="0" w:space="0" w:color="auto"/>
            <w:right w:val="none" w:sz="0" w:space="0" w:color="auto"/>
          </w:divBdr>
          <w:divsChild>
            <w:div w:id="902712852">
              <w:marLeft w:val="0"/>
              <w:marRight w:val="0"/>
              <w:marTop w:val="0"/>
              <w:marBottom w:val="0"/>
              <w:divBdr>
                <w:top w:val="none" w:sz="0" w:space="0" w:color="auto"/>
                <w:left w:val="none" w:sz="0" w:space="0" w:color="auto"/>
                <w:bottom w:val="none" w:sz="0" w:space="0" w:color="auto"/>
                <w:right w:val="none" w:sz="0" w:space="0" w:color="auto"/>
              </w:divBdr>
            </w:div>
            <w:div w:id="2084402893">
              <w:marLeft w:val="0"/>
              <w:marRight w:val="0"/>
              <w:marTop w:val="0"/>
              <w:marBottom w:val="0"/>
              <w:divBdr>
                <w:top w:val="none" w:sz="0" w:space="0" w:color="auto"/>
                <w:left w:val="none" w:sz="0" w:space="0" w:color="auto"/>
                <w:bottom w:val="none" w:sz="0" w:space="0" w:color="auto"/>
                <w:right w:val="none" w:sz="0" w:space="0" w:color="auto"/>
              </w:divBdr>
            </w:div>
          </w:divsChild>
        </w:div>
        <w:div w:id="1454052299">
          <w:marLeft w:val="0"/>
          <w:marRight w:val="0"/>
          <w:marTop w:val="0"/>
          <w:marBottom w:val="0"/>
          <w:divBdr>
            <w:top w:val="none" w:sz="0" w:space="0" w:color="auto"/>
            <w:left w:val="none" w:sz="0" w:space="0" w:color="auto"/>
            <w:bottom w:val="none" w:sz="0" w:space="0" w:color="auto"/>
            <w:right w:val="none" w:sz="0" w:space="0" w:color="auto"/>
          </w:divBdr>
          <w:divsChild>
            <w:div w:id="172039716">
              <w:marLeft w:val="0"/>
              <w:marRight w:val="0"/>
              <w:marTop w:val="0"/>
              <w:marBottom w:val="0"/>
              <w:divBdr>
                <w:top w:val="none" w:sz="0" w:space="0" w:color="auto"/>
                <w:left w:val="none" w:sz="0" w:space="0" w:color="auto"/>
                <w:bottom w:val="none" w:sz="0" w:space="0" w:color="auto"/>
                <w:right w:val="none" w:sz="0" w:space="0" w:color="auto"/>
              </w:divBdr>
            </w:div>
          </w:divsChild>
        </w:div>
        <w:div w:id="1483694452">
          <w:marLeft w:val="0"/>
          <w:marRight w:val="0"/>
          <w:marTop w:val="0"/>
          <w:marBottom w:val="0"/>
          <w:divBdr>
            <w:top w:val="none" w:sz="0" w:space="0" w:color="auto"/>
            <w:left w:val="none" w:sz="0" w:space="0" w:color="auto"/>
            <w:bottom w:val="none" w:sz="0" w:space="0" w:color="auto"/>
            <w:right w:val="none" w:sz="0" w:space="0" w:color="auto"/>
          </w:divBdr>
          <w:divsChild>
            <w:div w:id="1441727600">
              <w:marLeft w:val="0"/>
              <w:marRight w:val="0"/>
              <w:marTop w:val="0"/>
              <w:marBottom w:val="0"/>
              <w:divBdr>
                <w:top w:val="none" w:sz="0" w:space="0" w:color="auto"/>
                <w:left w:val="none" w:sz="0" w:space="0" w:color="auto"/>
                <w:bottom w:val="none" w:sz="0" w:space="0" w:color="auto"/>
                <w:right w:val="none" w:sz="0" w:space="0" w:color="auto"/>
              </w:divBdr>
            </w:div>
          </w:divsChild>
        </w:div>
        <w:div w:id="1535272598">
          <w:marLeft w:val="0"/>
          <w:marRight w:val="0"/>
          <w:marTop w:val="0"/>
          <w:marBottom w:val="0"/>
          <w:divBdr>
            <w:top w:val="none" w:sz="0" w:space="0" w:color="auto"/>
            <w:left w:val="none" w:sz="0" w:space="0" w:color="auto"/>
            <w:bottom w:val="none" w:sz="0" w:space="0" w:color="auto"/>
            <w:right w:val="none" w:sz="0" w:space="0" w:color="auto"/>
          </w:divBdr>
          <w:divsChild>
            <w:div w:id="503322507">
              <w:marLeft w:val="0"/>
              <w:marRight w:val="0"/>
              <w:marTop w:val="0"/>
              <w:marBottom w:val="0"/>
              <w:divBdr>
                <w:top w:val="none" w:sz="0" w:space="0" w:color="auto"/>
                <w:left w:val="none" w:sz="0" w:space="0" w:color="auto"/>
                <w:bottom w:val="none" w:sz="0" w:space="0" w:color="auto"/>
                <w:right w:val="none" w:sz="0" w:space="0" w:color="auto"/>
              </w:divBdr>
            </w:div>
            <w:div w:id="941843215">
              <w:marLeft w:val="0"/>
              <w:marRight w:val="0"/>
              <w:marTop w:val="0"/>
              <w:marBottom w:val="0"/>
              <w:divBdr>
                <w:top w:val="none" w:sz="0" w:space="0" w:color="auto"/>
                <w:left w:val="none" w:sz="0" w:space="0" w:color="auto"/>
                <w:bottom w:val="none" w:sz="0" w:space="0" w:color="auto"/>
                <w:right w:val="none" w:sz="0" w:space="0" w:color="auto"/>
              </w:divBdr>
            </w:div>
            <w:div w:id="1497770096">
              <w:marLeft w:val="0"/>
              <w:marRight w:val="0"/>
              <w:marTop w:val="0"/>
              <w:marBottom w:val="0"/>
              <w:divBdr>
                <w:top w:val="none" w:sz="0" w:space="0" w:color="auto"/>
                <w:left w:val="none" w:sz="0" w:space="0" w:color="auto"/>
                <w:bottom w:val="none" w:sz="0" w:space="0" w:color="auto"/>
                <w:right w:val="none" w:sz="0" w:space="0" w:color="auto"/>
              </w:divBdr>
            </w:div>
            <w:div w:id="1812097022">
              <w:marLeft w:val="0"/>
              <w:marRight w:val="0"/>
              <w:marTop w:val="0"/>
              <w:marBottom w:val="0"/>
              <w:divBdr>
                <w:top w:val="none" w:sz="0" w:space="0" w:color="auto"/>
                <w:left w:val="none" w:sz="0" w:space="0" w:color="auto"/>
                <w:bottom w:val="none" w:sz="0" w:space="0" w:color="auto"/>
                <w:right w:val="none" w:sz="0" w:space="0" w:color="auto"/>
              </w:divBdr>
            </w:div>
            <w:div w:id="1863007172">
              <w:marLeft w:val="0"/>
              <w:marRight w:val="0"/>
              <w:marTop w:val="0"/>
              <w:marBottom w:val="0"/>
              <w:divBdr>
                <w:top w:val="none" w:sz="0" w:space="0" w:color="auto"/>
                <w:left w:val="none" w:sz="0" w:space="0" w:color="auto"/>
                <w:bottom w:val="none" w:sz="0" w:space="0" w:color="auto"/>
                <w:right w:val="none" w:sz="0" w:space="0" w:color="auto"/>
              </w:divBdr>
            </w:div>
          </w:divsChild>
        </w:div>
        <w:div w:id="1617323649">
          <w:marLeft w:val="0"/>
          <w:marRight w:val="0"/>
          <w:marTop w:val="0"/>
          <w:marBottom w:val="0"/>
          <w:divBdr>
            <w:top w:val="none" w:sz="0" w:space="0" w:color="auto"/>
            <w:left w:val="none" w:sz="0" w:space="0" w:color="auto"/>
            <w:bottom w:val="none" w:sz="0" w:space="0" w:color="auto"/>
            <w:right w:val="none" w:sz="0" w:space="0" w:color="auto"/>
          </w:divBdr>
          <w:divsChild>
            <w:div w:id="852499767">
              <w:marLeft w:val="0"/>
              <w:marRight w:val="0"/>
              <w:marTop w:val="0"/>
              <w:marBottom w:val="0"/>
              <w:divBdr>
                <w:top w:val="none" w:sz="0" w:space="0" w:color="auto"/>
                <w:left w:val="none" w:sz="0" w:space="0" w:color="auto"/>
                <w:bottom w:val="none" w:sz="0" w:space="0" w:color="auto"/>
                <w:right w:val="none" w:sz="0" w:space="0" w:color="auto"/>
              </w:divBdr>
            </w:div>
          </w:divsChild>
        </w:div>
        <w:div w:id="1627159328">
          <w:marLeft w:val="0"/>
          <w:marRight w:val="0"/>
          <w:marTop w:val="0"/>
          <w:marBottom w:val="0"/>
          <w:divBdr>
            <w:top w:val="none" w:sz="0" w:space="0" w:color="auto"/>
            <w:left w:val="none" w:sz="0" w:space="0" w:color="auto"/>
            <w:bottom w:val="none" w:sz="0" w:space="0" w:color="auto"/>
            <w:right w:val="none" w:sz="0" w:space="0" w:color="auto"/>
          </w:divBdr>
          <w:divsChild>
            <w:div w:id="347828504">
              <w:marLeft w:val="0"/>
              <w:marRight w:val="0"/>
              <w:marTop w:val="0"/>
              <w:marBottom w:val="0"/>
              <w:divBdr>
                <w:top w:val="none" w:sz="0" w:space="0" w:color="auto"/>
                <w:left w:val="none" w:sz="0" w:space="0" w:color="auto"/>
                <w:bottom w:val="none" w:sz="0" w:space="0" w:color="auto"/>
                <w:right w:val="none" w:sz="0" w:space="0" w:color="auto"/>
              </w:divBdr>
            </w:div>
          </w:divsChild>
        </w:div>
        <w:div w:id="1627391345">
          <w:marLeft w:val="0"/>
          <w:marRight w:val="0"/>
          <w:marTop w:val="0"/>
          <w:marBottom w:val="0"/>
          <w:divBdr>
            <w:top w:val="none" w:sz="0" w:space="0" w:color="auto"/>
            <w:left w:val="none" w:sz="0" w:space="0" w:color="auto"/>
            <w:bottom w:val="none" w:sz="0" w:space="0" w:color="auto"/>
            <w:right w:val="none" w:sz="0" w:space="0" w:color="auto"/>
          </w:divBdr>
          <w:divsChild>
            <w:div w:id="1886680078">
              <w:marLeft w:val="0"/>
              <w:marRight w:val="0"/>
              <w:marTop w:val="0"/>
              <w:marBottom w:val="0"/>
              <w:divBdr>
                <w:top w:val="none" w:sz="0" w:space="0" w:color="auto"/>
                <w:left w:val="none" w:sz="0" w:space="0" w:color="auto"/>
                <w:bottom w:val="none" w:sz="0" w:space="0" w:color="auto"/>
                <w:right w:val="none" w:sz="0" w:space="0" w:color="auto"/>
              </w:divBdr>
            </w:div>
          </w:divsChild>
        </w:div>
        <w:div w:id="1632789766">
          <w:marLeft w:val="0"/>
          <w:marRight w:val="0"/>
          <w:marTop w:val="0"/>
          <w:marBottom w:val="0"/>
          <w:divBdr>
            <w:top w:val="none" w:sz="0" w:space="0" w:color="auto"/>
            <w:left w:val="none" w:sz="0" w:space="0" w:color="auto"/>
            <w:bottom w:val="none" w:sz="0" w:space="0" w:color="auto"/>
            <w:right w:val="none" w:sz="0" w:space="0" w:color="auto"/>
          </w:divBdr>
          <w:divsChild>
            <w:div w:id="24598868">
              <w:marLeft w:val="0"/>
              <w:marRight w:val="0"/>
              <w:marTop w:val="0"/>
              <w:marBottom w:val="0"/>
              <w:divBdr>
                <w:top w:val="none" w:sz="0" w:space="0" w:color="auto"/>
                <w:left w:val="none" w:sz="0" w:space="0" w:color="auto"/>
                <w:bottom w:val="none" w:sz="0" w:space="0" w:color="auto"/>
                <w:right w:val="none" w:sz="0" w:space="0" w:color="auto"/>
              </w:divBdr>
            </w:div>
            <w:div w:id="418337176">
              <w:marLeft w:val="0"/>
              <w:marRight w:val="0"/>
              <w:marTop w:val="0"/>
              <w:marBottom w:val="0"/>
              <w:divBdr>
                <w:top w:val="none" w:sz="0" w:space="0" w:color="auto"/>
                <w:left w:val="none" w:sz="0" w:space="0" w:color="auto"/>
                <w:bottom w:val="none" w:sz="0" w:space="0" w:color="auto"/>
                <w:right w:val="none" w:sz="0" w:space="0" w:color="auto"/>
              </w:divBdr>
            </w:div>
          </w:divsChild>
        </w:div>
        <w:div w:id="1633712773">
          <w:marLeft w:val="0"/>
          <w:marRight w:val="0"/>
          <w:marTop w:val="0"/>
          <w:marBottom w:val="0"/>
          <w:divBdr>
            <w:top w:val="none" w:sz="0" w:space="0" w:color="auto"/>
            <w:left w:val="none" w:sz="0" w:space="0" w:color="auto"/>
            <w:bottom w:val="none" w:sz="0" w:space="0" w:color="auto"/>
            <w:right w:val="none" w:sz="0" w:space="0" w:color="auto"/>
          </w:divBdr>
          <w:divsChild>
            <w:div w:id="33046108">
              <w:marLeft w:val="0"/>
              <w:marRight w:val="0"/>
              <w:marTop w:val="0"/>
              <w:marBottom w:val="0"/>
              <w:divBdr>
                <w:top w:val="none" w:sz="0" w:space="0" w:color="auto"/>
                <w:left w:val="none" w:sz="0" w:space="0" w:color="auto"/>
                <w:bottom w:val="none" w:sz="0" w:space="0" w:color="auto"/>
                <w:right w:val="none" w:sz="0" w:space="0" w:color="auto"/>
              </w:divBdr>
            </w:div>
            <w:div w:id="1574856131">
              <w:marLeft w:val="0"/>
              <w:marRight w:val="0"/>
              <w:marTop w:val="0"/>
              <w:marBottom w:val="0"/>
              <w:divBdr>
                <w:top w:val="none" w:sz="0" w:space="0" w:color="auto"/>
                <w:left w:val="none" w:sz="0" w:space="0" w:color="auto"/>
                <w:bottom w:val="none" w:sz="0" w:space="0" w:color="auto"/>
                <w:right w:val="none" w:sz="0" w:space="0" w:color="auto"/>
              </w:divBdr>
            </w:div>
          </w:divsChild>
        </w:div>
        <w:div w:id="1635528228">
          <w:marLeft w:val="0"/>
          <w:marRight w:val="0"/>
          <w:marTop w:val="0"/>
          <w:marBottom w:val="0"/>
          <w:divBdr>
            <w:top w:val="none" w:sz="0" w:space="0" w:color="auto"/>
            <w:left w:val="none" w:sz="0" w:space="0" w:color="auto"/>
            <w:bottom w:val="none" w:sz="0" w:space="0" w:color="auto"/>
            <w:right w:val="none" w:sz="0" w:space="0" w:color="auto"/>
          </w:divBdr>
          <w:divsChild>
            <w:div w:id="2053848654">
              <w:marLeft w:val="0"/>
              <w:marRight w:val="0"/>
              <w:marTop w:val="0"/>
              <w:marBottom w:val="0"/>
              <w:divBdr>
                <w:top w:val="none" w:sz="0" w:space="0" w:color="auto"/>
                <w:left w:val="none" w:sz="0" w:space="0" w:color="auto"/>
                <w:bottom w:val="none" w:sz="0" w:space="0" w:color="auto"/>
                <w:right w:val="none" w:sz="0" w:space="0" w:color="auto"/>
              </w:divBdr>
            </w:div>
          </w:divsChild>
        </w:div>
        <w:div w:id="1638147003">
          <w:marLeft w:val="0"/>
          <w:marRight w:val="0"/>
          <w:marTop w:val="0"/>
          <w:marBottom w:val="0"/>
          <w:divBdr>
            <w:top w:val="none" w:sz="0" w:space="0" w:color="auto"/>
            <w:left w:val="none" w:sz="0" w:space="0" w:color="auto"/>
            <w:bottom w:val="none" w:sz="0" w:space="0" w:color="auto"/>
            <w:right w:val="none" w:sz="0" w:space="0" w:color="auto"/>
          </w:divBdr>
          <w:divsChild>
            <w:div w:id="851383794">
              <w:marLeft w:val="0"/>
              <w:marRight w:val="0"/>
              <w:marTop w:val="0"/>
              <w:marBottom w:val="0"/>
              <w:divBdr>
                <w:top w:val="none" w:sz="0" w:space="0" w:color="auto"/>
                <w:left w:val="none" w:sz="0" w:space="0" w:color="auto"/>
                <w:bottom w:val="none" w:sz="0" w:space="0" w:color="auto"/>
                <w:right w:val="none" w:sz="0" w:space="0" w:color="auto"/>
              </w:divBdr>
            </w:div>
          </w:divsChild>
        </w:div>
        <w:div w:id="1642420248">
          <w:marLeft w:val="0"/>
          <w:marRight w:val="0"/>
          <w:marTop w:val="0"/>
          <w:marBottom w:val="0"/>
          <w:divBdr>
            <w:top w:val="none" w:sz="0" w:space="0" w:color="auto"/>
            <w:left w:val="none" w:sz="0" w:space="0" w:color="auto"/>
            <w:bottom w:val="none" w:sz="0" w:space="0" w:color="auto"/>
            <w:right w:val="none" w:sz="0" w:space="0" w:color="auto"/>
          </w:divBdr>
          <w:divsChild>
            <w:div w:id="292175496">
              <w:marLeft w:val="0"/>
              <w:marRight w:val="0"/>
              <w:marTop w:val="0"/>
              <w:marBottom w:val="0"/>
              <w:divBdr>
                <w:top w:val="none" w:sz="0" w:space="0" w:color="auto"/>
                <w:left w:val="none" w:sz="0" w:space="0" w:color="auto"/>
                <w:bottom w:val="none" w:sz="0" w:space="0" w:color="auto"/>
                <w:right w:val="none" w:sz="0" w:space="0" w:color="auto"/>
              </w:divBdr>
            </w:div>
            <w:div w:id="1396200858">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653825829">
          <w:marLeft w:val="0"/>
          <w:marRight w:val="0"/>
          <w:marTop w:val="0"/>
          <w:marBottom w:val="0"/>
          <w:divBdr>
            <w:top w:val="none" w:sz="0" w:space="0" w:color="auto"/>
            <w:left w:val="none" w:sz="0" w:space="0" w:color="auto"/>
            <w:bottom w:val="none" w:sz="0" w:space="0" w:color="auto"/>
            <w:right w:val="none" w:sz="0" w:space="0" w:color="auto"/>
          </w:divBdr>
          <w:divsChild>
            <w:div w:id="1282495083">
              <w:marLeft w:val="0"/>
              <w:marRight w:val="0"/>
              <w:marTop w:val="0"/>
              <w:marBottom w:val="0"/>
              <w:divBdr>
                <w:top w:val="none" w:sz="0" w:space="0" w:color="auto"/>
                <w:left w:val="none" w:sz="0" w:space="0" w:color="auto"/>
                <w:bottom w:val="none" w:sz="0" w:space="0" w:color="auto"/>
                <w:right w:val="none" w:sz="0" w:space="0" w:color="auto"/>
              </w:divBdr>
            </w:div>
          </w:divsChild>
        </w:div>
        <w:div w:id="1702129890">
          <w:marLeft w:val="0"/>
          <w:marRight w:val="0"/>
          <w:marTop w:val="0"/>
          <w:marBottom w:val="0"/>
          <w:divBdr>
            <w:top w:val="none" w:sz="0" w:space="0" w:color="auto"/>
            <w:left w:val="none" w:sz="0" w:space="0" w:color="auto"/>
            <w:bottom w:val="none" w:sz="0" w:space="0" w:color="auto"/>
            <w:right w:val="none" w:sz="0" w:space="0" w:color="auto"/>
          </w:divBdr>
          <w:divsChild>
            <w:div w:id="1445731389">
              <w:marLeft w:val="0"/>
              <w:marRight w:val="0"/>
              <w:marTop w:val="0"/>
              <w:marBottom w:val="0"/>
              <w:divBdr>
                <w:top w:val="none" w:sz="0" w:space="0" w:color="auto"/>
                <w:left w:val="none" w:sz="0" w:space="0" w:color="auto"/>
                <w:bottom w:val="none" w:sz="0" w:space="0" w:color="auto"/>
                <w:right w:val="none" w:sz="0" w:space="0" w:color="auto"/>
              </w:divBdr>
            </w:div>
          </w:divsChild>
        </w:div>
        <w:div w:id="1733575953">
          <w:marLeft w:val="0"/>
          <w:marRight w:val="0"/>
          <w:marTop w:val="0"/>
          <w:marBottom w:val="0"/>
          <w:divBdr>
            <w:top w:val="none" w:sz="0" w:space="0" w:color="auto"/>
            <w:left w:val="none" w:sz="0" w:space="0" w:color="auto"/>
            <w:bottom w:val="none" w:sz="0" w:space="0" w:color="auto"/>
            <w:right w:val="none" w:sz="0" w:space="0" w:color="auto"/>
          </w:divBdr>
          <w:divsChild>
            <w:div w:id="701052751">
              <w:marLeft w:val="0"/>
              <w:marRight w:val="0"/>
              <w:marTop w:val="0"/>
              <w:marBottom w:val="0"/>
              <w:divBdr>
                <w:top w:val="none" w:sz="0" w:space="0" w:color="auto"/>
                <w:left w:val="none" w:sz="0" w:space="0" w:color="auto"/>
                <w:bottom w:val="none" w:sz="0" w:space="0" w:color="auto"/>
                <w:right w:val="none" w:sz="0" w:space="0" w:color="auto"/>
              </w:divBdr>
            </w:div>
            <w:div w:id="951745069">
              <w:marLeft w:val="0"/>
              <w:marRight w:val="0"/>
              <w:marTop w:val="0"/>
              <w:marBottom w:val="0"/>
              <w:divBdr>
                <w:top w:val="none" w:sz="0" w:space="0" w:color="auto"/>
                <w:left w:val="none" w:sz="0" w:space="0" w:color="auto"/>
                <w:bottom w:val="none" w:sz="0" w:space="0" w:color="auto"/>
                <w:right w:val="none" w:sz="0" w:space="0" w:color="auto"/>
              </w:divBdr>
            </w:div>
            <w:div w:id="1013266417">
              <w:marLeft w:val="0"/>
              <w:marRight w:val="0"/>
              <w:marTop w:val="0"/>
              <w:marBottom w:val="0"/>
              <w:divBdr>
                <w:top w:val="none" w:sz="0" w:space="0" w:color="auto"/>
                <w:left w:val="none" w:sz="0" w:space="0" w:color="auto"/>
                <w:bottom w:val="none" w:sz="0" w:space="0" w:color="auto"/>
                <w:right w:val="none" w:sz="0" w:space="0" w:color="auto"/>
              </w:divBdr>
            </w:div>
            <w:div w:id="1066025820">
              <w:marLeft w:val="0"/>
              <w:marRight w:val="0"/>
              <w:marTop w:val="0"/>
              <w:marBottom w:val="0"/>
              <w:divBdr>
                <w:top w:val="none" w:sz="0" w:space="0" w:color="auto"/>
                <w:left w:val="none" w:sz="0" w:space="0" w:color="auto"/>
                <w:bottom w:val="none" w:sz="0" w:space="0" w:color="auto"/>
                <w:right w:val="none" w:sz="0" w:space="0" w:color="auto"/>
              </w:divBdr>
            </w:div>
            <w:div w:id="1113405025">
              <w:marLeft w:val="0"/>
              <w:marRight w:val="0"/>
              <w:marTop w:val="0"/>
              <w:marBottom w:val="0"/>
              <w:divBdr>
                <w:top w:val="none" w:sz="0" w:space="0" w:color="auto"/>
                <w:left w:val="none" w:sz="0" w:space="0" w:color="auto"/>
                <w:bottom w:val="none" w:sz="0" w:space="0" w:color="auto"/>
                <w:right w:val="none" w:sz="0" w:space="0" w:color="auto"/>
              </w:divBdr>
            </w:div>
            <w:div w:id="1678726543">
              <w:marLeft w:val="0"/>
              <w:marRight w:val="0"/>
              <w:marTop w:val="0"/>
              <w:marBottom w:val="0"/>
              <w:divBdr>
                <w:top w:val="none" w:sz="0" w:space="0" w:color="auto"/>
                <w:left w:val="none" w:sz="0" w:space="0" w:color="auto"/>
                <w:bottom w:val="none" w:sz="0" w:space="0" w:color="auto"/>
                <w:right w:val="none" w:sz="0" w:space="0" w:color="auto"/>
              </w:divBdr>
            </w:div>
            <w:div w:id="1998460167">
              <w:marLeft w:val="0"/>
              <w:marRight w:val="0"/>
              <w:marTop w:val="0"/>
              <w:marBottom w:val="0"/>
              <w:divBdr>
                <w:top w:val="none" w:sz="0" w:space="0" w:color="auto"/>
                <w:left w:val="none" w:sz="0" w:space="0" w:color="auto"/>
                <w:bottom w:val="none" w:sz="0" w:space="0" w:color="auto"/>
                <w:right w:val="none" w:sz="0" w:space="0" w:color="auto"/>
              </w:divBdr>
            </w:div>
          </w:divsChild>
        </w:div>
        <w:div w:id="1771312710">
          <w:marLeft w:val="0"/>
          <w:marRight w:val="0"/>
          <w:marTop w:val="0"/>
          <w:marBottom w:val="0"/>
          <w:divBdr>
            <w:top w:val="none" w:sz="0" w:space="0" w:color="auto"/>
            <w:left w:val="none" w:sz="0" w:space="0" w:color="auto"/>
            <w:bottom w:val="none" w:sz="0" w:space="0" w:color="auto"/>
            <w:right w:val="none" w:sz="0" w:space="0" w:color="auto"/>
          </w:divBdr>
          <w:divsChild>
            <w:div w:id="177962727">
              <w:marLeft w:val="0"/>
              <w:marRight w:val="0"/>
              <w:marTop w:val="0"/>
              <w:marBottom w:val="0"/>
              <w:divBdr>
                <w:top w:val="none" w:sz="0" w:space="0" w:color="auto"/>
                <w:left w:val="none" w:sz="0" w:space="0" w:color="auto"/>
                <w:bottom w:val="none" w:sz="0" w:space="0" w:color="auto"/>
                <w:right w:val="none" w:sz="0" w:space="0" w:color="auto"/>
              </w:divBdr>
            </w:div>
            <w:div w:id="194343903">
              <w:marLeft w:val="0"/>
              <w:marRight w:val="0"/>
              <w:marTop w:val="0"/>
              <w:marBottom w:val="0"/>
              <w:divBdr>
                <w:top w:val="none" w:sz="0" w:space="0" w:color="auto"/>
                <w:left w:val="none" w:sz="0" w:space="0" w:color="auto"/>
                <w:bottom w:val="none" w:sz="0" w:space="0" w:color="auto"/>
                <w:right w:val="none" w:sz="0" w:space="0" w:color="auto"/>
              </w:divBdr>
            </w:div>
          </w:divsChild>
        </w:div>
        <w:div w:id="1794055183">
          <w:marLeft w:val="0"/>
          <w:marRight w:val="0"/>
          <w:marTop w:val="0"/>
          <w:marBottom w:val="0"/>
          <w:divBdr>
            <w:top w:val="none" w:sz="0" w:space="0" w:color="auto"/>
            <w:left w:val="none" w:sz="0" w:space="0" w:color="auto"/>
            <w:bottom w:val="none" w:sz="0" w:space="0" w:color="auto"/>
            <w:right w:val="none" w:sz="0" w:space="0" w:color="auto"/>
          </w:divBdr>
          <w:divsChild>
            <w:div w:id="1946184841">
              <w:marLeft w:val="0"/>
              <w:marRight w:val="0"/>
              <w:marTop w:val="0"/>
              <w:marBottom w:val="0"/>
              <w:divBdr>
                <w:top w:val="none" w:sz="0" w:space="0" w:color="auto"/>
                <w:left w:val="none" w:sz="0" w:space="0" w:color="auto"/>
                <w:bottom w:val="none" w:sz="0" w:space="0" w:color="auto"/>
                <w:right w:val="none" w:sz="0" w:space="0" w:color="auto"/>
              </w:divBdr>
            </w:div>
          </w:divsChild>
        </w:div>
        <w:div w:id="1815872847">
          <w:marLeft w:val="0"/>
          <w:marRight w:val="0"/>
          <w:marTop w:val="0"/>
          <w:marBottom w:val="0"/>
          <w:divBdr>
            <w:top w:val="none" w:sz="0" w:space="0" w:color="auto"/>
            <w:left w:val="none" w:sz="0" w:space="0" w:color="auto"/>
            <w:bottom w:val="none" w:sz="0" w:space="0" w:color="auto"/>
            <w:right w:val="none" w:sz="0" w:space="0" w:color="auto"/>
          </w:divBdr>
          <w:divsChild>
            <w:div w:id="475227613">
              <w:marLeft w:val="0"/>
              <w:marRight w:val="0"/>
              <w:marTop w:val="0"/>
              <w:marBottom w:val="0"/>
              <w:divBdr>
                <w:top w:val="none" w:sz="0" w:space="0" w:color="auto"/>
                <w:left w:val="none" w:sz="0" w:space="0" w:color="auto"/>
                <w:bottom w:val="none" w:sz="0" w:space="0" w:color="auto"/>
                <w:right w:val="none" w:sz="0" w:space="0" w:color="auto"/>
              </w:divBdr>
            </w:div>
          </w:divsChild>
        </w:div>
        <w:div w:id="1845046687">
          <w:marLeft w:val="0"/>
          <w:marRight w:val="0"/>
          <w:marTop w:val="0"/>
          <w:marBottom w:val="0"/>
          <w:divBdr>
            <w:top w:val="none" w:sz="0" w:space="0" w:color="auto"/>
            <w:left w:val="none" w:sz="0" w:space="0" w:color="auto"/>
            <w:bottom w:val="none" w:sz="0" w:space="0" w:color="auto"/>
            <w:right w:val="none" w:sz="0" w:space="0" w:color="auto"/>
          </w:divBdr>
          <w:divsChild>
            <w:div w:id="95713546">
              <w:marLeft w:val="0"/>
              <w:marRight w:val="0"/>
              <w:marTop w:val="0"/>
              <w:marBottom w:val="0"/>
              <w:divBdr>
                <w:top w:val="none" w:sz="0" w:space="0" w:color="auto"/>
                <w:left w:val="none" w:sz="0" w:space="0" w:color="auto"/>
                <w:bottom w:val="none" w:sz="0" w:space="0" w:color="auto"/>
                <w:right w:val="none" w:sz="0" w:space="0" w:color="auto"/>
              </w:divBdr>
            </w:div>
            <w:div w:id="260799607">
              <w:marLeft w:val="0"/>
              <w:marRight w:val="0"/>
              <w:marTop w:val="0"/>
              <w:marBottom w:val="0"/>
              <w:divBdr>
                <w:top w:val="none" w:sz="0" w:space="0" w:color="auto"/>
                <w:left w:val="none" w:sz="0" w:space="0" w:color="auto"/>
                <w:bottom w:val="none" w:sz="0" w:space="0" w:color="auto"/>
                <w:right w:val="none" w:sz="0" w:space="0" w:color="auto"/>
              </w:divBdr>
            </w:div>
            <w:div w:id="2090619046">
              <w:marLeft w:val="0"/>
              <w:marRight w:val="0"/>
              <w:marTop w:val="0"/>
              <w:marBottom w:val="0"/>
              <w:divBdr>
                <w:top w:val="none" w:sz="0" w:space="0" w:color="auto"/>
                <w:left w:val="none" w:sz="0" w:space="0" w:color="auto"/>
                <w:bottom w:val="none" w:sz="0" w:space="0" w:color="auto"/>
                <w:right w:val="none" w:sz="0" w:space="0" w:color="auto"/>
              </w:divBdr>
            </w:div>
            <w:div w:id="2138406847">
              <w:marLeft w:val="0"/>
              <w:marRight w:val="0"/>
              <w:marTop w:val="0"/>
              <w:marBottom w:val="0"/>
              <w:divBdr>
                <w:top w:val="none" w:sz="0" w:space="0" w:color="auto"/>
                <w:left w:val="none" w:sz="0" w:space="0" w:color="auto"/>
                <w:bottom w:val="none" w:sz="0" w:space="0" w:color="auto"/>
                <w:right w:val="none" w:sz="0" w:space="0" w:color="auto"/>
              </w:divBdr>
            </w:div>
          </w:divsChild>
        </w:div>
        <w:div w:id="1888183778">
          <w:marLeft w:val="0"/>
          <w:marRight w:val="0"/>
          <w:marTop w:val="0"/>
          <w:marBottom w:val="0"/>
          <w:divBdr>
            <w:top w:val="none" w:sz="0" w:space="0" w:color="auto"/>
            <w:left w:val="none" w:sz="0" w:space="0" w:color="auto"/>
            <w:bottom w:val="none" w:sz="0" w:space="0" w:color="auto"/>
            <w:right w:val="none" w:sz="0" w:space="0" w:color="auto"/>
          </w:divBdr>
          <w:divsChild>
            <w:div w:id="181667443">
              <w:marLeft w:val="0"/>
              <w:marRight w:val="0"/>
              <w:marTop w:val="0"/>
              <w:marBottom w:val="0"/>
              <w:divBdr>
                <w:top w:val="none" w:sz="0" w:space="0" w:color="auto"/>
                <w:left w:val="none" w:sz="0" w:space="0" w:color="auto"/>
                <w:bottom w:val="none" w:sz="0" w:space="0" w:color="auto"/>
                <w:right w:val="none" w:sz="0" w:space="0" w:color="auto"/>
              </w:divBdr>
            </w:div>
          </w:divsChild>
        </w:div>
        <w:div w:id="1906065870">
          <w:marLeft w:val="0"/>
          <w:marRight w:val="0"/>
          <w:marTop w:val="0"/>
          <w:marBottom w:val="0"/>
          <w:divBdr>
            <w:top w:val="none" w:sz="0" w:space="0" w:color="auto"/>
            <w:left w:val="none" w:sz="0" w:space="0" w:color="auto"/>
            <w:bottom w:val="none" w:sz="0" w:space="0" w:color="auto"/>
            <w:right w:val="none" w:sz="0" w:space="0" w:color="auto"/>
          </w:divBdr>
          <w:divsChild>
            <w:div w:id="583610047">
              <w:marLeft w:val="0"/>
              <w:marRight w:val="0"/>
              <w:marTop w:val="0"/>
              <w:marBottom w:val="0"/>
              <w:divBdr>
                <w:top w:val="none" w:sz="0" w:space="0" w:color="auto"/>
                <w:left w:val="none" w:sz="0" w:space="0" w:color="auto"/>
                <w:bottom w:val="none" w:sz="0" w:space="0" w:color="auto"/>
                <w:right w:val="none" w:sz="0" w:space="0" w:color="auto"/>
              </w:divBdr>
            </w:div>
          </w:divsChild>
        </w:div>
        <w:div w:id="1943564144">
          <w:marLeft w:val="0"/>
          <w:marRight w:val="0"/>
          <w:marTop w:val="0"/>
          <w:marBottom w:val="0"/>
          <w:divBdr>
            <w:top w:val="none" w:sz="0" w:space="0" w:color="auto"/>
            <w:left w:val="none" w:sz="0" w:space="0" w:color="auto"/>
            <w:bottom w:val="none" w:sz="0" w:space="0" w:color="auto"/>
            <w:right w:val="none" w:sz="0" w:space="0" w:color="auto"/>
          </w:divBdr>
          <w:divsChild>
            <w:div w:id="1333601616">
              <w:marLeft w:val="0"/>
              <w:marRight w:val="0"/>
              <w:marTop w:val="0"/>
              <w:marBottom w:val="0"/>
              <w:divBdr>
                <w:top w:val="none" w:sz="0" w:space="0" w:color="auto"/>
                <w:left w:val="none" w:sz="0" w:space="0" w:color="auto"/>
                <w:bottom w:val="none" w:sz="0" w:space="0" w:color="auto"/>
                <w:right w:val="none" w:sz="0" w:space="0" w:color="auto"/>
              </w:divBdr>
            </w:div>
          </w:divsChild>
        </w:div>
        <w:div w:id="2008509496">
          <w:marLeft w:val="0"/>
          <w:marRight w:val="0"/>
          <w:marTop w:val="0"/>
          <w:marBottom w:val="0"/>
          <w:divBdr>
            <w:top w:val="none" w:sz="0" w:space="0" w:color="auto"/>
            <w:left w:val="none" w:sz="0" w:space="0" w:color="auto"/>
            <w:bottom w:val="none" w:sz="0" w:space="0" w:color="auto"/>
            <w:right w:val="none" w:sz="0" w:space="0" w:color="auto"/>
          </w:divBdr>
          <w:divsChild>
            <w:div w:id="655229993">
              <w:marLeft w:val="0"/>
              <w:marRight w:val="0"/>
              <w:marTop w:val="0"/>
              <w:marBottom w:val="0"/>
              <w:divBdr>
                <w:top w:val="none" w:sz="0" w:space="0" w:color="auto"/>
                <w:left w:val="none" w:sz="0" w:space="0" w:color="auto"/>
                <w:bottom w:val="none" w:sz="0" w:space="0" w:color="auto"/>
                <w:right w:val="none" w:sz="0" w:space="0" w:color="auto"/>
              </w:divBdr>
            </w:div>
            <w:div w:id="662245600">
              <w:marLeft w:val="0"/>
              <w:marRight w:val="0"/>
              <w:marTop w:val="0"/>
              <w:marBottom w:val="0"/>
              <w:divBdr>
                <w:top w:val="none" w:sz="0" w:space="0" w:color="auto"/>
                <w:left w:val="none" w:sz="0" w:space="0" w:color="auto"/>
                <w:bottom w:val="none" w:sz="0" w:space="0" w:color="auto"/>
                <w:right w:val="none" w:sz="0" w:space="0" w:color="auto"/>
              </w:divBdr>
            </w:div>
            <w:div w:id="1014456900">
              <w:marLeft w:val="0"/>
              <w:marRight w:val="0"/>
              <w:marTop w:val="0"/>
              <w:marBottom w:val="0"/>
              <w:divBdr>
                <w:top w:val="none" w:sz="0" w:space="0" w:color="auto"/>
                <w:left w:val="none" w:sz="0" w:space="0" w:color="auto"/>
                <w:bottom w:val="none" w:sz="0" w:space="0" w:color="auto"/>
                <w:right w:val="none" w:sz="0" w:space="0" w:color="auto"/>
              </w:divBdr>
            </w:div>
            <w:div w:id="1076591049">
              <w:marLeft w:val="0"/>
              <w:marRight w:val="0"/>
              <w:marTop w:val="0"/>
              <w:marBottom w:val="0"/>
              <w:divBdr>
                <w:top w:val="none" w:sz="0" w:space="0" w:color="auto"/>
                <w:left w:val="none" w:sz="0" w:space="0" w:color="auto"/>
                <w:bottom w:val="none" w:sz="0" w:space="0" w:color="auto"/>
                <w:right w:val="none" w:sz="0" w:space="0" w:color="auto"/>
              </w:divBdr>
            </w:div>
            <w:div w:id="2087795964">
              <w:marLeft w:val="0"/>
              <w:marRight w:val="0"/>
              <w:marTop w:val="0"/>
              <w:marBottom w:val="0"/>
              <w:divBdr>
                <w:top w:val="none" w:sz="0" w:space="0" w:color="auto"/>
                <w:left w:val="none" w:sz="0" w:space="0" w:color="auto"/>
                <w:bottom w:val="none" w:sz="0" w:space="0" w:color="auto"/>
                <w:right w:val="none" w:sz="0" w:space="0" w:color="auto"/>
              </w:divBdr>
            </w:div>
          </w:divsChild>
        </w:div>
        <w:div w:id="2025551157">
          <w:marLeft w:val="0"/>
          <w:marRight w:val="0"/>
          <w:marTop w:val="0"/>
          <w:marBottom w:val="0"/>
          <w:divBdr>
            <w:top w:val="none" w:sz="0" w:space="0" w:color="auto"/>
            <w:left w:val="none" w:sz="0" w:space="0" w:color="auto"/>
            <w:bottom w:val="none" w:sz="0" w:space="0" w:color="auto"/>
            <w:right w:val="none" w:sz="0" w:space="0" w:color="auto"/>
          </w:divBdr>
          <w:divsChild>
            <w:div w:id="1839350168">
              <w:marLeft w:val="0"/>
              <w:marRight w:val="0"/>
              <w:marTop w:val="0"/>
              <w:marBottom w:val="0"/>
              <w:divBdr>
                <w:top w:val="none" w:sz="0" w:space="0" w:color="auto"/>
                <w:left w:val="none" w:sz="0" w:space="0" w:color="auto"/>
                <w:bottom w:val="none" w:sz="0" w:space="0" w:color="auto"/>
                <w:right w:val="none" w:sz="0" w:space="0" w:color="auto"/>
              </w:divBdr>
            </w:div>
            <w:div w:id="1926723298">
              <w:marLeft w:val="0"/>
              <w:marRight w:val="0"/>
              <w:marTop w:val="0"/>
              <w:marBottom w:val="0"/>
              <w:divBdr>
                <w:top w:val="none" w:sz="0" w:space="0" w:color="auto"/>
                <w:left w:val="none" w:sz="0" w:space="0" w:color="auto"/>
                <w:bottom w:val="none" w:sz="0" w:space="0" w:color="auto"/>
                <w:right w:val="none" w:sz="0" w:space="0" w:color="auto"/>
              </w:divBdr>
            </w:div>
          </w:divsChild>
        </w:div>
        <w:div w:id="2039236564">
          <w:marLeft w:val="0"/>
          <w:marRight w:val="0"/>
          <w:marTop w:val="0"/>
          <w:marBottom w:val="0"/>
          <w:divBdr>
            <w:top w:val="none" w:sz="0" w:space="0" w:color="auto"/>
            <w:left w:val="none" w:sz="0" w:space="0" w:color="auto"/>
            <w:bottom w:val="none" w:sz="0" w:space="0" w:color="auto"/>
            <w:right w:val="none" w:sz="0" w:space="0" w:color="auto"/>
          </w:divBdr>
          <w:divsChild>
            <w:div w:id="163053971">
              <w:marLeft w:val="0"/>
              <w:marRight w:val="0"/>
              <w:marTop w:val="0"/>
              <w:marBottom w:val="0"/>
              <w:divBdr>
                <w:top w:val="none" w:sz="0" w:space="0" w:color="auto"/>
                <w:left w:val="none" w:sz="0" w:space="0" w:color="auto"/>
                <w:bottom w:val="none" w:sz="0" w:space="0" w:color="auto"/>
                <w:right w:val="none" w:sz="0" w:space="0" w:color="auto"/>
              </w:divBdr>
            </w:div>
            <w:div w:id="1780643922">
              <w:marLeft w:val="0"/>
              <w:marRight w:val="0"/>
              <w:marTop w:val="0"/>
              <w:marBottom w:val="0"/>
              <w:divBdr>
                <w:top w:val="none" w:sz="0" w:space="0" w:color="auto"/>
                <w:left w:val="none" w:sz="0" w:space="0" w:color="auto"/>
                <w:bottom w:val="none" w:sz="0" w:space="0" w:color="auto"/>
                <w:right w:val="none" w:sz="0" w:space="0" w:color="auto"/>
              </w:divBdr>
            </w:div>
          </w:divsChild>
        </w:div>
        <w:div w:id="2094205689">
          <w:marLeft w:val="0"/>
          <w:marRight w:val="0"/>
          <w:marTop w:val="0"/>
          <w:marBottom w:val="0"/>
          <w:divBdr>
            <w:top w:val="none" w:sz="0" w:space="0" w:color="auto"/>
            <w:left w:val="none" w:sz="0" w:space="0" w:color="auto"/>
            <w:bottom w:val="none" w:sz="0" w:space="0" w:color="auto"/>
            <w:right w:val="none" w:sz="0" w:space="0" w:color="auto"/>
          </w:divBdr>
          <w:divsChild>
            <w:div w:id="1047753889">
              <w:marLeft w:val="0"/>
              <w:marRight w:val="0"/>
              <w:marTop w:val="0"/>
              <w:marBottom w:val="0"/>
              <w:divBdr>
                <w:top w:val="none" w:sz="0" w:space="0" w:color="auto"/>
                <w:left w:val="none" w:sz="0" w:space="0" w:color="auto"/>
                <w:bottom w:val="none" w:sz="0" w:space="0" w:color="auto"/>
                <w:right w:val="none" w:sz="0" w:space="0" w:color="auto"/>
              </w:divBdr>
            </w:div>
          </w:divsChild>
        </w:div>
        <w:div w:id="2095082521">
          <w:marLeft w:val="0"/>
          <w:marRight w:val="0"/>
          <w:marTop w:val="0"/>
          <w:marBottom w:val="0"/>
          <w:divBdr>
            <w:top w:val="none" w:sz="0" w:space="0" w:color="auto"/>
            <w:left w:val="none" w:sz="0" w:space="0" w:color="auto"/>
            <w:bottom w:val="none" w:sz="0" w:space="0" w:color="auto"/>
            <w:right w:val="none" w:sz="0" w:space="0" w:color="auto"/>
          </w:divBdr>
          <w:divsChild>
            <w:div w:id="603608183">
              <w:marLeft w:val="0"/>
              <w:marRight w:val="0"/>
              <w:marTop w:val="0"/>
              <w:marBottom w:val="0"/>
              <w:divBdr>
                <w:top w:val="none" w:sz="0" w:space="0" w:color="auto"/>
                <w:left w:val="none" w:sz="0" w:space="0" w:color="auto"/>
                <w:bottom w:val="none" w:sz="0" w:space="0" w:color="auto"/>
                <w:right w:val="none" w:sz="0" w:space="0" w:color="auto"/>
              </w:divBdr>
            </w:div>
            <w:div w:id="653336904">
              <w:marLeft w:val="0"/>
              <w:marRight w:val="0"/>
              <w:marTop w:val="0"/>
              <w:marBottom w:val="0"/>
              <w:divBdr>
                <w:top w:val="none" w:sz="0" w:space="0" w:color="auto"/>
                <w:left w:val="none" w:sz="0" w:space="0" w:color="auto"/>
                <w:bottom w:val="none" w:sz="0" w:space="0" w:color="auto"/>
                <w:right w:val="none" w:sz="0" w:space="0" w:color="auto"/>
              </w:divBdr>
            </w:div>
            <w:div w:id="838076660">
              <w:marLeft w:val="0"/>
              <w:marRight w:val="0"/>
              <w:marTop w:val="0"/>
              <w:marBottom w:val="0"/>
              <w:divBdr>
                <w:top w:val="none" w:sz="0" w:space="0" w:color="auto"/>
                <w:left w:val="none" w:sz="0" w:space="0" w:color="auto"/>
                <w:bottom w:val="none" w:sz="0" w:space="0" w:color="auto"/>
                <w:right w:val="none" w:sz="0" w:space="0" w:color="auto"/>
              </w:divBdr>
            </w:div>
            <w:div w:id="966931017">
              <w:marLeft w:val="0"/>
              <w:marRight w:val="0"/>
              <w:marTop w:val="0"/>
              <w:marBottom w:val="0"/>
              <w:divBdr>
                <w:top w:val="none" w:sz="0" w:space="0" w:color="auto"/>
                <w:left w:val="none" w:sz="0" w:space="0" w:color="auto"/>
                <w:bottom w:val="none" w:sz="0" w:space="0" w:color="auto"/>
                <w:right w:val="none" w:sz="0" w:space="0" w:color="auto"/>
              </w:divBdr>
            </w:div>
            <w:div w:id="1650984579">
              <w:marLeft w:val="0"/>
              <w:marRight w:val="0"/>
              <w:marTop w:val="0"/>
              <w:marBottom w:val="0"/>
              <w:divBdr>
                <w:top w:val="none" w:sz="0" w:space="0" w:color="auto"/>
                <w:left w:val="none" w:sz="0" w:space="0" w:color="auto"/>
                <w:bottom w:val="none" w:sz="0" w:space="0" w:color="auto"/>
                <w:right w:val="none" w:sz="0" w:space="0" w:color="auto"/>
              </w:divBdr>
            </w:div>
            <w:div w:id="1806503822">
              <w:marLeft w:val="0"/>
              <w:marRight w:val="0"/>
              <w:marTop w:val="0"/>
              <w:marBottom w:val="0"/>
              <w:divBdr>
                <w:top w:val="none" w:sz="0" w:space="0" w:color="auto"/>
                <w:left w:val="none" w:sz="0" w:space="0" w:color="auto"/>
                <w:bottom w:val="none" w:sz="0" w:space="0" w:color="auto"/>
                <w:right w:val="none" w:sz="0" w:space="0" w:color="auto"/>
              </w:divBdr>
            </w:div>
            <w:div w:id="2132900757">
              <w:marLeft w:val="0"/>
              <w:marRight w:val="0"/>
              <w:marTop w:val="0"/>
              <w:marBottom w:val="0"/>
              <w:divBdr>
                <w:top w:val="none" w:sz="0" w:space="0" w:color="auto"/>
                <w:left w:val="none" w:sz="0" w:space="0" w:color="auto"/>
                <w:bottom w:val="none" w:sz="0" w:space="0" w:color="auto"/>
                <w:right w:val="none" w:sz="0" w:space="0" w:color="auto"/>
              </w:divBdr>
            </w:div>
          </w:divsChild>
        </w:div>
        <w:div w:id="2101635492">
          <w:marLeft w:val="0"/>
          <w:marRight w:val="0"/>
          <w:marTop w:val="0"/>
          <w:marBottom w:val="0"/>
          <w:divBdr>
            <w:top w:val="none" w:sz="0" w:space="0" w:color="auto"/>
            <w:left w:val="none" w:sz="0" w:space="0" w:color="auto"/>
            <w:bottom w:val="none" w:sz="0" w:space="0" w:color="auto"/>
            <w:right w:val="none" w:sz="0" w:space="0" w:color="auto"/>
          </w:divBdr>
          <w:divsChild>
            <w:div w:id="140123735">
              <w:marLeft w:val="0"/>
              <w:marRight w:val="0"/>
              <w:marTop w:val="0"/>
              <w:marBottom w:val="0"/>
              <w:divBdr>
                <w:top w:val="none" w:sz="0" w:space="0" w:color="auto"/>
                <w:left w:val="none" w:sz="0" w:space="0" w:color="auto"/>
                <w:bottom w:val="none" w:sz="0" w:space="0" w:color="auto"/>
                <w:right w:val="none" w:sz="0" w:space="0" w:color="auto"/>
              </w:divBdr>
            </w:div>
            <w:div w:id="2110587487">
              <w:marLeft w:val="0"/>
              <w:marRight w:val="0"/>
              <w:marTop w:val="0"/>
              <w:marBottom w:val="0"/>
              <w:divBdr>
                <w:top w:val="none" w:sz="0" w:space="0" w:color="auto"/>
                <w:left w:val="none" w:sz="0" w:space="0" w:color="auto"/>
                <w:bottom w:val="none" w:sz="0" w:space="0" w:color="auto"/>
                <w:right w:val="none" w:sz="0" w:space="0" w:color="auto"/>
              </w:divBdr>
            </w:div>
          </w:divsChild>
        </w:div>
        <w:div w:id="2134860534">
          <w:marLeft w:val="0"/>
          <w:marRight w:val="0"/>
          <w:marTop w:val="0"/>
          <w:marBottom w:val="0"/>
          <w:divBdr>
            <w:top w:val="none" w:sz="0" w:space="0" w:color="auto"/>
            <w:left w:val="none" w:sz="0" w:space="0" w:color="auto"/>
            <w:bottom w:val="none" w:sz="0" w:space="0" w:color="auto"/>
            <w:right w:val="none" w:sz="0" w:space="0" w:color="auto"/>
          </w:divBdr>
          <w:divsChild>
            <w:div w:id="21370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09">
      <w:bodyDiv w:val="1"/>
      <w:marLeft w:val="0"/>
      <w:marRight w:val="0"/>
      <w:marTop w:val="0"/>
      <w:marBottom w:val="0"/>
      <w:divBdr>
        <w:top w:val="none" w:sz="0" w:space="0" w:color="auto"/>
        <w:left w:val="none" w:sz="0" w:space="0" w:color="auto"/>
        <w:bottom w:val="none" w:sz="0" w:space="0" w:color="auto"/>
        <w:right w:val="none" w:sz="0" w:space="0" w:color="auto"/>
      </w:divBdr>
      <w:divsChild>
        <w:div w:id="42678167">
          <w:marLeft w:val="0"/>
          <w:marRight w:val="0"/>
          <w:marTop w:val="0"/>
          <w:marBottom w:val="0"/>
          <w:divBdr>
            <w:top w:val="none" w:sz="0" w:space="0" w:color="auto"/>
            <w:left w:val="none" w:sz="0" w:space="0" w:color="auto"/>
            <w:bottom w:val="none" w:sz="0" w:space="0" w:color="auto"/>
            <w:right w:val="none" w:sz="0" w:space="0" w:color="auto"/>
          </w:divBdr>
          <w:divsChild>
            <w:div w:id="1275600004">
              <w:marLeft w:val="0"/>
              <w:marRight w:val="0"/>
              <w:marTop w:val="0"/>
              <w:marBottom w:val="0"/>
              <w:divBdr>
                <w:top w:val="none" w:sz="0" w:space="0" w:color="auto"/>
                <w:left w:val="none" w:sz="0" w:space="0" w:color="auto"/>
                <w:bottom w:val="none" w:sz="0" w:space="0" w:color="auto"/>
                <w:right w:val="none" w:sz="0" w:space="0" w:color="auto"/>
              </w:divBdr>
            </w:div>
          </w:divsChild>
        </w:div>
        <w:div w:id="508329105">
          <w:marLeft w:val="0"/>
          <w:marRight w:val="0"/>
          <w:marTop w:val="0"/>
          <w:marBottom w:val="0"/>
          <w:divBdr>
            <w:top w:val="none" w:sz="0" w:space="0" w:color="auto"/>
            <w:left w:val="none" w:sz="0" w:space="0" w:color="auto"/>
            <w:bottom w:val="none" w:sz="0" w:space="0" w:color="auto"/>
            <w:right w:val="none" w:sz="0" w:space="0" w:color="auto"/>
          </w:divBdr>
          <w:divsChild>
            <w:div w:id="1620798205">
              <w:marLeft w:val="0"/>
              <w:marRight w:val="0"/>
              <w:marTop w:val="0"/>
              <w:marBottom w:val="0"/>
              <w:divBdr>
                <w:top w:val="none" w:sz="0" w:space="0" w:color="auto"/>
                <w:left w:val="none" w:sz="0" w:space="0" w:color="auto"/>
                <w:bottom w:val="none" w:sz="0" w:space="0" w:color="auto"/>
                <w:right w:val="none" w:sz="0" w:space="0" w:color="auto"/>
              </w:divBdr>
            </w:div>
          </w:divsChild>
        </w:div>
        <w:div w:id="976372482">
          <w:marLeft w:val="0"/>
          <w:marRight w:val="0"/>
          <w:marTop w:val="0"/>
          <w:marBottom w:val="0"/>
          <w:divBdr>
            <w:top w:val="none" w:sz="0" w:space="0" w:color="auto"/>
            <w:left w:val="none" w:sz="0" w:space="0" w:color="auto"/>
            <w:bottom w:val="none" w:sz="0" w:space="0" w:color="auto"/>
            <w:right w:val="none" w:sz="0" w:space="0" w:color="auto"/>
          </w:divBdr>
          <w:divsChild>
            <w:div w:id="1600677807">
              <w:marLeft w:val="0"/>
              <w:marRight w:val="0"/>
              <w:marTop w:val="0"/>
              <w:marBottom w:val="0"/>
              <w:divBdr>
                <w:top w:val="none" w:sz="0" w:space="0" w:color="auto"/>
                <w:left w:val="none" w:sz="0" w:space="0" w:color="auto"/>
                <w:bottom w:val="none" w:sz="0" w:space="0" w:color="auto"/>
                <w:right w:val="none" w:sz="0" w:space="0" w:color="auto"/>
              </w:divBdr>
            </w:div>
          </w:divsChild>
        </w:div>
        <w:div w:id="1035078902">
          <w:marLeft w:val="0"/>
          <w:marRight w:val="0"/>
          <w:marTop w:val="0"/>
          <w:marBottom w:val="0"/>
          <w:divBdr>
            <w:top w:val="none" w:sz="0" w:space="0" w:color="auto"/>
            <w:left w:val="none" w:sz="0" w:space="0" w:color="auto"/>
            <w:bottom w:val="none" w:sz="0" w:space="0" w:color="auto"/>
            <w:right w:val="none" w:sz="0" w:space="0" w:color="auto"/>
          </w:divBdr>
          <w:divsChild>
            <w:div w:id="1571843788">
              <w:marLeft w:val="0"/>
              <w:marRight w:val="0"/>
              <w:marTop w:val="0"/>
              <w:marBottom w:val="0"/>
              <w:divBdr>
                <w:top w:val="none" w:sz="0" w:space="0" w:color="auto"/>
                <w:left w:val="none" w:sz="0" w:space="0" w:color="auto"/>
                <w:bottom w:val="none" w:sz="0" w:space="0" w:color="auto"/>
                <w:right w:val="none" w:sz="0" w:space="0" w:color="auto"/>
              </w:divBdr>
            </w:div>
          </w:divsChild>
        </w:div>
        <w:div w:id="1102188490">
          <w:marLeft w:val="0"/>
          <w:marRight w:val="0"/>
          <w:marTop w:val="0"/>
          <w:marBottom w:val="0"/>
          <w:divBdr>
            <w:top w:val="none" w:sz="0" w:space="0" w:color="auto"/>
            <w:left w:val="none" w:sz="0" w:space="0" w:color="auto"/>
            <w:bottom w:val="none" w:sz="0" w:space="0" w:color="auto"/>
            <w:right w:val="none" w:sz="0" w:space="0" w:color="auto"/>
          </w:divBdr>
          <w:divsChild>
            <w:div w:id="696082047">
              <w:marLeft w:val="0"/>
              <w:marRight w:val="0"/>
              <w:marTop w:val="0"/>
              <w:marBottom w:val="0"/>
              <w:divBdr>
                <w:top w:val="none" w:sz="0" w:space="0" w:color="auto"/>
                <w:left w:val="none" w:sz="0" w:space="0" w:color="auto"/>
                <w:bottom w:val="none" w:sz="0" w:space="0" w:color="auto"/>
                <w:right w:val="none" w:sz="0" w:space="0" w:color="auto"/>
              </w:divBdr>
            </w:div>
            <w:div w:id="1102066142">
              <w:marLeft w:val="0"/>
              <w:marRight w:val="0"/>
              <w:marTop w:val="0"/>
              <w:marBottom w:val="0"/>
              <w:divBdr>
                <w:top w:val="none" w:sz="0" w:space="0" w:color="auto"/>
                <w:left w:val="none" w:sz="0" w:space="0" w:color="auto"/>
                <w:bottom w:val="none" w:sz="0" w:space="0" w:color="auto"/>
                <w:right w:val="none" w:sz="0" w:space="0" w:color="auto"/>
              </w:divBdr>
            </w:div>
          </w:divsChild>
        </w:div>
        <w:div w:id="1218854625">
          <w:marLeft w:val="0"/>
          <w:marRight w:val="0"/>
          <w:marTop w:val="0"/>
          <w:marBottom w:val="0"/>
          <w:divBdr>
            <w:top w:val="none" w:sz="0" w:space="0" w:color="auto"/>
            <w:left w:val="none" w:sz="0" w:space="0" w:color="auto"/>
            <w:bottom w:val="none" w:sz="0" w:space="0" w:color="auto"/>
            <w:right w:val="none" w:sz="0" w:space="0" w:color="auto"/>
          </w:divBdr>
          <w:divsChild>
            <w:div w:id="1874609110">
              <w:marLeft w:val="0"/>
              <w:marRight w:val="0"/>
              <w:marTop w:val="0"/>
              <w:marBottom w:val="0"/>
              <w:divBdr>
                <w:top w:val="none" w:sz="0" w:space="0" w:color="auto"/>
                <w:left w:val="none" w:sz="0" w:space="0" w:color="auto"/>
                <w:bottom w:val="none" w:sz="0" w:space="0" w:color="auto"/>
                <w:right w:val="none" w:sz="0" w:space="0" w:color="auto"/>
              </w:divBdr>
            </w:div>
            <w:div w:id="2016178189">
              <w:marLeft w:val="0"/>
              <w:marRight w:val="0"/>
              <w:marTop w:val="0"/>
              <w:marBottom w:val="0"/>
              <w:divBdr>
                <w:top w:val="none" w:sz="0" w:space="0" w:color="auto"/>
                <w:left w:val="none" w:sz="0" w:space="0" w:color="auto"/>
                <w:bottom w:val="none" w:sz="0" w:space="0" w:color="auto"/>
                <w:right w:val="none" w:sz="0" w:space="0" w:color="auto"/>
              </w:divBdr>
            </w:div>
          </w:divsChild>
        </w:div>
        <w:div w:id="1254707009">
          <w:marLeft w:val="0"/>
          <w:marRight w:val="0"/>
          <w:marTop w:val="0"/>
          <w:marBottom w:val="0"/>
          <w:divBdr>
            <w:top w:val="none" w:sz="0" w:space="0" w:color="auto"/>
            <w:left w:val="none" w:sz="0" w:space="0" w:color="auto"/>
            <w:bottom w:val="none" w:sz="0" w:space="0" w:color="auto"/>
            <w:right w:val="none" w:sz="0" w:space="0" w:color="auto"/>
          </w:divBdr>
          <w:divsChild>
            <w:div w:id="517161283">
              <w:marLeft w:val="0"/>
              <w:marRight w:val="0"/>
              <w:marTop w:val="0"/>
              <w:marBottom w:val="0"/>
              <w:divBdr>
                <w:top w:val="none" w:sz="0" w:space="0" w:color="auto"/>
                <w:left w:val="none" w:sz="0" w:space="0" w:color="auto"/>
                <w:bottom w:val="none" w:sz="0" w:space="0" w:color="auto"/>
                <w:right w:val="none" w:sz="0" w:space="0" w:color="auto"/>
              </w:divBdr>
            </w:div>
          </w:divsChild>
        </w:div>
        <w:div w:id="1291283576">
          <w:marLeft w:val="0"/>
          <w:marRight w:val="0"/>
          <w:marTop w:val="0"/>
          <w:marBottom w:val="0"/>
          <w:divBdr>
            <w:top w:val="none" w:sz="0" w:space="0" w:color="auto"/>
            <w:left w:val="none" w:sz="0" w:space="0" w:color="auto"/>
            <w:bottom w:val="none" w:sz="0" w:space="0" w:color="auto"/>
            <w:right w:val="none" w:sz="0" w:space="0" w:color="auto"/>
          </w:divBdr>
          <w:divsChild>
            <w:div w:id="450562134">
              <w:marLeft w:val="0"/>
              <w:marRight w:val="0"/>
              <w:marTop w:val="0"/>
              <w:marBottom w:val="0"/>
              <w:divBdr>
                <w:top w:val="none" w:sz="0" w:space="0" w:color="auto"/>
                <w:left w:val="none" w:sz="0" w:space="0" w:color="auto"/>
                <w:bottom w:val="none" w:sz="0" w:space="0" w:color="auto"/>
                <w:right w:val="none" w:sz="0" w:space="0" w:color="auto"/>
              </w:divBdr>
            </w:div>
          </w:divsChild>
        </w:div>
        <w:div w:id="1424178910">
          <w:marLeft w:val="0"/>
          <w:marRight w:val="0"/>
          <w:marTop w:val="0"/>
          <w:marBottom w:val="0"/>
          <w:divBdr>
            <w:top w:val="none" w:sz="0" w:space="0" w:color="auto"/>
            <w:left w:val="none" w:sz="0" w:space="0" w:color="auto"/>
            <w:bottom w:val="none" w:sz="0" w:space="0" w:color="auto"/>
            <w:right w:val="none" w:sz="0" w:space="0" w:color="auto"/>
          </w:divBdr>
          <w:divsChild>
            <w:div w:id="1325082292">
              <w:marLeft w:val="0"/>
              <w:marRight w:val="0"/>
              <w:marTop w:val="0"/>
              <w:marBottom w:val="0"/>
              <w:divBdr>
                <w:top w:val="none" w:sz="0" w:space="0" w:color="auto"/>
                <w:left w:val="none" w:sz="0" w:space="0" w:color="auto"/>
                <w:bottom w:val="none" w:sz="0" w:space="0" w:color="auto"/>
                <w:right w:val="none" w:sz="0" w:space="0" w:color="auto"/>
              </w:divBdr>
            </w:div>
          </w:divsChild>
        </w:div>
        <w:div w:id="1459761373">
          <w:marLeft w:val="0"/>
          <w:marRight w:val="0"/>
          <w:marTop w:val="0"/>
          <w:marBottom w:val="0"/>
          <w:divBdr>
            <w:top w:val="none" w:sz="0" w:space="0" w:color="auto"/>
            <w:left w:val="none" w:sz="0" w:space="0" w:color="auto"/>
            <w:bottom w:val="none" w:sz="0" w:space="0" w:color="auto"/>
            <w:right w:val="none" w:sz="0" w:space="0" w:color="auto"/>
          </w:divBdr>
          <w:divsChild>
            <w:div w:id="943659639">
              <w:marLeft w:val="0"/>
              <w:marRight w:val="0"/>
              <w:marTop w:val="0"/>
              <w:marBottom w:val="0"/>
              <w:divBdr>
                <w:top w:val="none" w:sz="0" w:space="0" w:color="auto"/>
                <w:left w:val="none" w:sz="0" w:space="0" w:color="auto"/>
                <w:bottom w:val="none" w:sz="0" w:space="0" w:color="auto"/>
                <w:right w:val="none" w:sz="0" w:space="0" w:color="auto"/>
              </w:divBdr>
            </w:div>
          </w:divsChild>
        </w:div>
        <w:div w:id="1491019465">
          <w:marLeft w:val="0"/>
          <w:marRight w:val="0"/>
          <w:marTop w:val="0"/>
          <w:marBottom w:val="0"/>
          <w:divBdr>
            <w:top w:val="none" w:sz="0" w:space="0" w:color="auto"/>
            <w:left w:val="none" w:sz="0" w:space="0" w:color="auto"/>
            <w:bottom w:val="none" w:sz="0" w:space="0" w:color="auto"/>
            <w:right w:val="none" w:sz="0" w:space="0" w:color="auto"/>
          </w:divBdr>
          <w:divsChild>
            <w:div w:id="687484330">
              <w:marLeft w:val="0"/>
              <w:marRight w:val="0"/>
              <w:marTop w:val="0"/>
              <w:marBottom w:val="0"/>
              <w:divBdr>
                <w:top w:val="none" w:sz="0" w:space="0" w:color="auto"/>
                <w:left w:val="none" w:sz="0" w:space="0" w:color="auto"/>
                <w:bottom w:val="none" w:sz="0" w:space="0" w:color="auto"/>
                <w:right w:val="none" w:sz="0" w:space="0" w:color="auto"/>
              </w:divBdr>
            </w:div>
            <w:div w:id="1832721087">
              <w:marLeft w:val="0"/>
              <w:marRight w:val="0"/>
              <w:marTop w:val="0"/>
              <w:marBottom w:val="0"/>
              <w:divBdr>
                <w:top w:val="none" w:sz="0" w:space="0" w:color="auto"/>
                <w:left w:val="none" w:sz="0" w:space="0" w:color="auto"/>
                <w:bottom w:val="none" w:sz="0" w:space="0" w:color="auto"/>
                <w:right w:val="none" w:sz="0" w:space="0" w:color="auto"/>
              </w:divBdr>
            </w:div>
          </w:divsChild>
        </w:div>
        <w:div w:id="1768575106">
          <w:marLeft w:val="0"/>
          <w:marRight w:val="0"/>
          <w:marTop w:val="0"/>
          <w:marBottom w:val="0"/>
          <w:divBdr>
            <w:top w:val="none" w:sz="0" w:space="0" w:color="auto"/>
            <w:left w:val="none" w:sz="0" w:space="0" w:color="auto"/>
            <w:bottom w:val="none" w:sz="0" w:space="0" w:color="auto"/>
            <w:right w:val="none" w:sz="0" w:space="0" w:color="auto"/>
          </w:divBdr>
          <w:divsChild>
            <w:div w:id="1696036825">
              <w:marLeft w:val="0"/>
              <w:marRight w:val="0"/>
              <w:marTop w:val="0"/>
              <w:marBottom w:val="0"/>
              <w:divBdr>
                <w:top w:val="none" w:sz="0" w:space="0" w:color="auto"/>
                <w:left w:val="none" w:sz="0" w:space="0" w:color="auto"/>
                <w:bottom w:val="none" w:sz="0" w:space="0" w:color="auto"/>
                <w:right w:val="none" w:sz="0" w:space="0" w:color="auto"/>
              </w:divBdr>
            </w:div>
          </w:divsChild>
        </w:div>
        <w:div w:id="1839879477">
          <w:marLeft w:val="0"/>
          <w:marRight w:val="0"/>
          <w:marTop w:val="0"/>
          <w:marBottom w:val="0"/>
          <w:divBdr>
            <w:top w:val="none" w:sz="0" w:space="0" w:color="auto"/>
            <w:left w:val="none" w:sz="0" w:space="0" w:color="auto"/>
            <w:bottom w:val="none" w:sz="0" w:space="0" w:color="auto"/>
            <w:right w:val="none" w:sz="0" w:space="0" w:color="auto"/>
          </w:divBdr>
          <w:divsChild>
            <w:div w:id="403139642">
              <w:marLeft w:val="0"/>
              <w:marRight w:val="0"/>
              <w:marTop w:val="0"/>
              <w:marBottom w:val="0"/>
              <w:divBdr>
                <w:top w:val="none" w:sz="0" w:space="0" w:color="auto"/>
                <w:left w:val="none" w:sz="0" w:space="0" w:color="auto"/>
                <w:bottom w:val="none" w:sz="0" w:space="0" w:color="auto"/>
                <w:right w:val="none" w:sz="0" w:space="0" w:color="auto"/>
              </w:divBdr>
            </w:div>
            <w:div w:id="659161604">
              <w:marLeft w:val="0"/>
              <w:marRight w:val="0"/>
              <w:marTop w:val="0"/>
              <w:marBottom w:val="0"/>
              <w:divBdr>
                <w:top w:val="none" w:sz="0" w:space="0" w:color="auto"/>
                <w:left w:val="none" w:sz="0" w:space="0" w:color="auto"/>
                <w:bottom w:val="none" w:sz="0" w:space="0" w:color="auto"/>
                <w:right w:val="none" w:sz="0" w:space="0" w:color="auto"/>
              </w:divBdr>
            </w:div>
          </w:divsChild>
        </w:div>
        <w:div w:id="1845434286">
          <w:marLeft w:val="0"/>
          <w:marRight w:val="0"/>
          <w:marTop w:val="0"/>
          <w:marBottom w:val="0"/>
          <w:divBdr>
            <w:top w:val="none" w:sz="0" w:space="0" w:color="auto"/>
            <w:left w:val="none" w:sz="0" w:space="0" w:color="auto"/>
            <w:bottom w:val="none" w:sz="0" w:space="0" w:color="auto"/>
            <w:right w:val="none" w:sz="0" w:space="0" w:color="auto"/>
          </w:divBdr>
          <w:divsChild>
            <w:div w:id="1327247066">
              <w:marLeft w:val="0"/>
              <w:marRight w:val="0"/>
              <w:marTop w:val="0"/>
              <w:marBottom w:val="0"/>
              <w:divBdr>
                <w:top w:val="none" w:sz="0" w:space="0" w:color="auto"/>
                <w:left w:val="none" w:sz="0" w:space="0" w:color="auto"/>
                <w:bottom w:val="none" w:sz="0" w:space="0" w:color="auto"/>
                <w:right w:val="none" w:sz="0" w:space="0" w:color="auto"/>
              </w:divBdr>
            </w:div>
          </w:divsChild>
        </w:div>
        <w:div w:id="1948803256">
          <w:marLeft w:val="0"/>
          <w:marRight w:val="0"/>
          <w:marTop w:val="0"/>
          <w:marBottom w:val="0"/>
          <w:divBdr>
            <w:top w:val="none" w:sz="0" w:space="0" w:color="auto"/>
            <w:left w:val="none" w:sz="0" w:space="0" w:color="auto"/>
            <w:bottom w:val="none" w:sz="0" w:space="0" w:color="auto"/>
            <w:right w:val="none" w:sz="0" w:space="0" w:color="auto"/>
          </w:divBdr>
          <w:divsChild>
            <w:div w:id="459809831">
              <w:marLeft w:val="0"/>
              <w:marRight w:val="0"/>
              <w:marTop w:val="0"/>
              <w:marBottom w:val="0"/>
              <w:divBdr>
                <w:top w:val="none" w:sz="0" w:space="0" w:color="auto"/>
                <w:left w:val="none" w:sz="0" w:space="0" w:color="auto"/>
                <w:bottom w:val="none" w:sz="0" w:space="0" w:color="auto"/>
                <w:right w:val="none" w:sz="0" w:space="0" w:color="auto"/>
              </w:divBdr>
            </w:div>
          </w:divsChild>
        </w:div>
        <w:div w:id="2127658375">
          <w:marLeft w:val="0"/>
          <w:marRight w:val="0"/>
          <w:marTop w:val="0"/>
          <w:marBottom w:val="0"/>
          <w:divBdr>
            <w:top w:val="none" w:sz="0" w:space="0" w:color="auto"/>
            <w:left w:val="none" w:sz="0" w:space="0" w:color="auto"/>
            <w:bottom w:val="none" w:sz="0" w:space="0" w:color="auto"/>
            <w:right w:val="none" w:sz="0" w:space="0" w:color="auto"/>
          </w:divBdr>
          <w:divsChild>
            <w:div w:id="17078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4686">
      <w:bodyDiv w:val="1"/>
      <w:marLeft w:val="0"/>
      <w:marRight w:val="0"/>
      <w:marTop w:val="0"/>
      <w:marBottom w:val="0"/>
      <w:divBdr>
        <w:top w:val="none" w:sz="0" w:space="0" w:color="auto"/>
        <w:left w:val="none" w:sz="0" w:space="0" w:color="auto"/>
        <w:bottom w:val="none" w:sz="0" w:space="0" w:color="auto"/>
        <w:right w:val="none" w:sz="0" w:space="0" w:color="auto"/>
      </w:divBdr>
      <w:divsChild>
        <w:div w:id="31076576">
          <w:marLeft w:val="0"/>
          <w:marRight w:val="0"/>
          <w:marTop w:val="0"/>
          <w:marBottom w:val="0"/>
          <w:divBdr>
            <w:top w:val="none" w:sz="0" w:space="0" w:color="auto"/>
            <w:left w:val="none" w:sz="0" w:space="0" w:color="auto"/>
            <w:bottom w:val="none" w:sz="0" w:space="0" w:color="auto"/>
            <w:right w:val="none" w:sz="0" w:space="0" w:color="auto"/>
          </w:divBdr>
          <w:divsChild>
            <w:div w:id="534468934">
              <w:marLeft w:val="0"/>
              <w:marRight w:val="0"/>
              <w:marTop w:val="0"/>
              <w:marBottom w:val="0"/>
              <w:divBdr>
                <w:top w:val="none" w:sz="0" w:space="0" w:color="auto"/>
                <w:left w:val="none" w:sz="0" w:space="0" w:color="auto"/>
                <w:bottom w:val="none" w:sz="0" w:space="0" w:color="auto"/>
                <w:right w:val="none" w:sz="0" w:space="0" w:color="auto"/>
              </w:divBdr>
            </w:div>
          </w:divsChild>
        </w:div>
        <w:div w:id="42870424">
          <w:marLeft w:val="0"/>
          <w:marRight w:val="0"/>
          <w:marTop w:val="0"/>
          <w:marBottom w:val="0"/>
          <w:divBdr>
            <w:top w:val="none" w:sz="0" w:space="0" w:color="auto"/>
            <w:left w:val="none" w:sz="0" w:space="0" w:color="auto"/>
            <w:bottom w:val="none" w:sz="0" w:space="0" w:color="auto"/>
            <w:right w:val="none" w:sz="0" w:space="0" w:color="auto"/>
          </w:divBdr>
          <w:divsChild>
            <w:div w:id="125853459">
              <w:marLeft w:val="0"/>
              <w:marRight w:val="0"/>
              <w:marTop w:val="0"/>
              <w:marBottom w:val="0"/>
              <w:divBdr>
                <w:top w:val="none" w:sz="0" w:space="0" w:color="auto"/>
                <w:left w:val="none" w:sz="0" w:space="0" w:color="auto"/>
                <w:bottom w:val="none" w:sz="0" w:space="0" w:color="auto"/>
                <w:right w:val="none" w:sz="0" w:space="0" w:color="auto"/>
              </w:divBdr>
            </w:div>
          </w:divsChild>
        </w:div>
        <w:div w:id="45572096">
          <w:marLeft w:val="0"/>
          <w:marRight w:val="0"/>
          <w:marTop w:val="0"/>
          <w:marBottom w:val="0"/>
          <w:divBdr>
            <w:top w:val="none" w:sz="0" w:space="0" w:color="auto"/>
            <w:left w:val="none" w:sz="0" w:space="0" w:color="auto"/>
            <w:bottom w:val="none" w:sz="0" w:space="0" w:color="auto"/>
            <w:right w:val="none" w:sz="0" w:space="0" w:color="auto"/>
          </w:divBdr>
          <w:divsChild>
            <w:div w:id="405879839">
              <w:marLeft w:val="0"/>
              <w:marRight w:val="0"/>
              <w:marTop w:val="0"/>
              <w:marBottom w:val="0"/>
              <w:divBdr>
                <w:top w:val="none" w:sz="0" w:space="0" w:color="auto"/>
                <w:left w:val="none" w:sz="0" w:space="0" w:color="auto"/>
                <w:bottom w:val="none" w:sz="0" w:space="0" w:color="auto"/>
                <w:right w:val="none" w:sz="0" w:space="0" w:color="auto"/>
              </w:divBdr>
            </w:div>
          </w:divsChild>
        </w:div>
        <w:div w:id="50660848">
          <w:marLeft w:val="0"/>
          <w:marRight w:val="0"/>
          <w:marTop w:val="0"/>
          <w:marBottom w:val="0"/>
          <w:divBdr>
            <w:top w:val="none" w:sz="0" w:space="0" w:color="auto"/>
            <w:left w:val="none" w:sz="0" w:space="0" w:color="auto"/>
            <w:bottom w:val="none" w:sz="0" w:space="0" w:color="auto"/>
            <w:right w:val="none" w:sz="0" w:space="0" w:color="auto"/>
          </w:divBdr>
          <w:divsChild>
            <w:div w:id="706416561">
              <w:marLeft w:val="0"/>
              <w:marRight w:val="0"/>
              <w:marTop w:val="0"/>
              <w:marBottom w:val="0"/>
              <w:divBdr>
                <w:top w:val="none" w:sz="0" w:space="0" w:color="auto"/>
                <w:left w:val="none" w:sz="0" w:space="0" w:color="auto"/>
                <w:bottom w:val="none" w:sz="0" w:space="0" w:color="auto"/>
                <w:right w:val="none" w:sz="0" w:space="0" w:color="auto"/>
              </w:divBdr>
            </w:div>
          </w:divsChild>
        </w:div>
        <w:div w:id="70474281">
          <w:marLeft w:val="0"/>
          <w:marRight w:val="0"/>
          <w:marTop w:val="0"/>
          <w:marBottom w:val="0"/>
          <w:divBdr>
            <w:top w:val="none" w:sz="0" w:space="0" w:color="auto"/>
            <w:left w:val="none" w:sz="0" w:space="0" w:color="auto"/>
            <w:bottom w:val="none" w:sz="0" w:space="0" w:color="auto"/>
            <w:right w:val="none" w:sz="0" w:space="0" w:color="auto"/>
          </w:divBdr>
          <w:divsChild>
            <w:div w:id="76371647">
              <w:marLeft w:val="0"/>
              <w:marRight w:val="0"/>
              <w:marTop w:val="0"/>
              <w:marBottom w:val="0"/>
              <w:divBdr>
                <w:top w:val="none" w:sz="0" w:space="0" w:color="auto"/>
                <w:left w:val="none" w:sz="0" w:space="0" w:color="auto"/>
                <w:bottom w:val="none" w:sz="0" w:space="0" w:color="auto"/>
                <w:right w:val="none" w:sz="0" w:space="0" w:color="auto"/>
              </w:divBdr>
            </w:div>
          </w:divsChild>
        </w:div>
        <w:div w:id="112796957">
          <w:marLeft w:val="0"/>
          <w:marRight w:val="0"/>
          <w:marTop w:val="0"/>
          <w:marBottom w:val="0"/>
          <w:divBdr>
            <w:top w:val="none" w:sz="0" w:space="0" w:color="auto"/>
            <w:left w:val="none" w:sz="0" w:space="0" w:color="auto"/>
            <w:bottom w:val="none" w:sz="0" w:space="0" w:color="auto"/>
            <w:right w:val="none" w:sz="0" w:space="0" w:color="auto"/>
          </w:divBdr>
          <w:divsChild>
            <w:div w:id="1199508274">
              <w:marLeft w:val="0"/>
              <w:marRight w:val="0"/>
              <w:marTop w:val="0"/>
              <w:marBottom w:val="0"/>
              <w:divBdr>
                <w:top w:val="none" w:sz="0" w:space="0" w:color="auto"/>
                <w:left w:val="none" w:sz="0" w:space="0" w:color="auto"/>
                <w:bottom w:val="none" w:sz="0" w:space="0" w:color="auto"/>
                <w:right w:val="none" w:sz="0" w:space="0" w:color="auto"/>
              </w:divBdr>
            </w:div>
          </w:divsChild>
        </w:div>
        <w:div w:id="200558039">
          <w:marLeft w:val="0"/>
          <w:marRight w:val="0"/>
          <w:marTop w:val="0"/>
          <w:marBottom w:val="0"/>
          <w:divBdr>
            <w:top w:val="none" w:sz="0" w:space="0" w:color="auto"/>
            <w:left w:val="none" w:sz="0" w:space="0" w:color="auto"/>
            <w:bottom w:val="none" w:sz="0" w:space="0" w:color="auto"/>
            <w:right w:val="none" w:sz="0" w:space="0" w:color="auto"/>
          </w:divBdr>
          <w:divsChild>
            <w:div w:id="675152296">
              <w:marLeft w:val="0"/>
              <w:marRight w:val="0"/>
              <w:marTop w:val="0"/>
              <w:marBottom w:val="0"/>
              <w:divBdr>
                <w:top w:val="none" w:sz="0" w:space="0" w:color="auto"/>
                <w:left w:val="none" w:sz="0" w:space="0" w:color="auto"/>
                <w:bottom w:val="none" w:sz="0" w:space="0" w:color="auto"/>
                <w:right w:val="none" w:sz="0" w:space="0" w:color="auto"/>
              </w:divBdr>
            </w:div>
          </w:divsChild>
        </w:div>
        <w:div w:id="205996721">
          <w:marLeft w:val="0"/>
          <w:marRight w:val="0"/>
          <w:marTop w:val="0"/>
          <w:marBottom w:val="0"/>
          <w:divBdr>
            <w:top w:val="none" w:sz="0" w:space="0" w:color="auto"/>
            <w:left w:val="none" w:sz="0" w:space="0" w:color="auto"/>
            <w:bottom w:val="none" w:sz="0" w:space="0" w:color="auto"/>
            <w:right w:val="none" w:sz="0" w:space="0" w:color="auto"/>
          </w:divBdr>
          <w:divsChild>
            <w:div w:id="1167554138">
              <w:marLeft w:val="0"/>
              <w:marRight w:val="0"/>
              <w:marTop w:val="0"/>
              <w:marBottom w:val="0"/>
              <w:divBdr>
                <w:top w:val="none" w:sz="0" w:space="0" w:color="auto"/>
                <w:left w:val="none" w:sz="0" w:space="0" w:color="auto"/>
                <w:bottom w:val="none" w:sz="0" w:space="0" w:color="auto"/>
                <w:right w:val="none" w:sz="0" w:space="0" w:color="auto"/>
              </w:divBdr>
            </w:div>
          </w:divsChild>
        </w:div>
        <w:div w:id="210383355">
          <w:marLeft w:val="0"/>
          <w:marRight w:val="0"/>
          <w:marTop w:val="0"/>
          <w:marBottom w:val="0"/>
          <w:divBdr>
            <w:top w:val="none" w:sz="0" w:space="0" w:color="auto"/>
            <w:left w:val="none" w:sz="0" w:space="0" w:color="auto"/>
            <w:bottom w:val="none" w:sz="0" w:space="0" w:color="auto"/>
            <w:right w:val="none" w:sz="0" w:space="0" w:color="auto"/>
          </w:divBdr>
          <w:divsChild>
            <w:div w:id="282538084">
              <w:marLeft w:val="0"/>
              <w:marRight w:val="0"/>
              <w:marTop w:val="0"/>
              <w:marBottom w:val="0"/>
              <w:divBdr>
                <w:top w:val="none" w:sz="0" w:space="0" w:color="auto"/>
                <w:left w:val="none" w:sz="0" w:space="0" w:color="auto"/>
                <w:bottom w:val="none" w:sz="0" w:space="0" w:color="auto"/>
                <w:right w:val="none" w:sz="0" w:space="0" w:color="auto"/>
              </w:divBdr>
            </w:div>
          </w:divsChild>
        </w:div>
        <w:div w:id="225575016">
          <w:marLeft w:val="0"/>
          <w:marRight w:val="0"/>
          <w:marTop w:val="0"/>
          <w:marBottom w:val="0"/>
          <w:divBdr>
            <w:top w:val="none" w:sz="0" w:space="0" w:color="auto"/>
            <w:left w:val="none" w:sz="0" w:space="0" w:color="auto"/>
            <w:bottom w:val="none" w:sz="0" w:space="0" w:color="auto"/>
            <w:right w:val="none" w:sz="0" w:space="0" w:color="auto"/>
          </w:divBdr>
          <w:divsChild>
            <w:div w:id="1636717554">
              <w:marLeft w:val="0"/>
              <w:marRight w:val="0"/>
              <w:marTop w:val="0"/>
              <w:marBottom w:val="0"/>
              <w:divBdr>
                <w:top w:val="none" w:sz="0" w:space="0" w:color="auto"/>
                <w:left w:val="none" w:sz="0" w:space="0" w:color="auto"/>
                <w:bottom w:val="none" w:sz="0" w:space="0" w:color="auto"/>
                <w:right w:val="none" w:sz="0" w:space="0" w:color="auto"/>
              </w:divBdr>
            </w:div>
          </w:divsChild>
        </w:div>
        <w:div w:id="226694019">
          <w:marLeft w:val="0"/>
          <w:marRight w:val="0"/>
          <w:marTop w:val="0"/>
          <w:marBottom w:val="0"/>
          <w:divBdr>
            <w:top w:val="none" w:sz="0" w:space="0" w:color="auto"/>
            <w:left w:val="none" w:sz="0" w:space="0" w:color="auto"/>
            <w:bottom w:val="none" w:sz="0" w:space="0" w:color="auto"/>
            <w:right w:val="none" w:sz="0" w:space="0" w:color="auto"/>
          </w:divBdr>
          <w:divsChild>
            <w:div w:id="1852840719">
              <w:marLeft w:val="0"/>
              <w:marRight w:val="0"/>
              <w:marTop w:val="0"/>
              <w:marBottom w:val="0"/>
              <w:divBdr>
                <w:top w:val="none" w:sz="0" w:space="0" w:color="auto"/>
                <w:left w:val="none" w:sz="0" w:space="0" w:color="auto"/>
                <w:bottom w:val="none" w:sz="0" w:space="0" w:color="auto"/>
                <w:right w:val="none" w:sz="0" w:space="0" w:color="auto"/>
              </w:divBdr>
            </w:div>
          </w:divsChild>
        </w:div>
        <w:div w:id="261106449">
          <w:marLeft w:val="0"/>
          <w:marRight w:val="0"/>
          <w:marTop w:val="0"/>
          <w:marBottom w:val="0"/>
          <w:divBdr>
            <w:top w:val="none" w:sz="0" w:space="0" w:color="auto"/>
            <w:left w:val="none" w:sz="0" w:space="0" w:color="auto"/>
            <w:bottom w:val="none" w:sz="0" w:space="0" w:color="auto"/>
            <w:right w:val="none" w:sz="0" w:space="0" w:color="auto"/>
          </w:divBdr>
          <w:divsChild>
            <w:div w:id="1223056514">
              <w:marLeft w:val="0"/>
              <w:marRight w:val="0"/>
              <w:marTop w:val="0"/>
              <w:marBottom w:val="0"/>
              <w:divBdr>
                <w:top w:val="none" w:sz="0" w:space="0" w:color="auto"/>
                <w:left w:val="none" w:sz="0" w:space="0" w:color="auto"/>
                <w:bottom w:val="none" w:sz="0" w:space="0" w:color="auto"/>
                <w:right w:val="none" w:sz="0" w:space="0" w:color="auto"/>
              </w:divBdr>
            </w:div>
          </w:divsChild>
        </w:div>
        <w:div w:id="295643004">
          <w:marLeft w:val="0"/>
          <w:marRight w:val="0"/>
          <w:marTop w:val="0"/>
          <w:marBottom w:val="0"/>
          <w:divBdr>
            <w:top w:val="none" w:sz="0" w:space="0" w:color="auto"/>
            <w:left w:val="none" w:sz="0" w:space="0" w:color="auto"/>
            <w:bottom w:val="none" w:sz="0" w:space="0" w:color="auto"/>
            <w:right w:val="none" w:sz="0" w:space="0" w:color="auto"/>
          </w:divBdr>
          <w:divsChild>
            <w:div w:id="1399859450">
              <w:marLeft w:val="0"/>
              <w:marRight w:val="0"/>
              <w:marTop w:val="0"/>
              <w:marBottom w:val="0"/>
              <w:divBdr>
                <w:top w:val="none" w:sz="0" w:space="0" w:color="auto"/>
                <w:left w:val="none" w:sz="0" w:space="0" w:color="auto"/>
                <w:bottom w:val="none" w:sz="0" w:space="0" w:color="auto"/>
                <w:right w:val="none" w:sz="0" w:space="0" w:color="auto"/>
              </w:divBdr>
            </w:div>
          </w:divsChild>
        </w:div>
        <w:div w:id="303045512">
          <w:marLeft w:val="0"/>
          <w:marRight w:val="0"/>
          <w:marTop w:val="0"/>
          <w:marBottom w:val="0"/>
          <w:divBdr>
            <w:top w:val="none" w:sz="0" w:space="0" w:color="auto"/>
            <w:left w:val="none" w:sz="0" w:space="0" w:color="auto"/>
            <w:bottom w:val="none" w:sz="0" w:space="0" w:color="auto"/>
            <w:right w:val="none" w:sz="0" w:space="0" w:color="auto"/>
          </w:divBdr>
          <w:divsChild>
            <w:div w:id="2004160854">
              <w:marLeft w:val="0"/>
              <w:marRight w:val="0"/>
              <w:marTop w:val="0"/>
              <w:marBottom w:val="0"/>
              <w:divBdr>
                <w:top w:val="none" w:sz="0" w:space="0" w:color="auto"/>
                <w:left w:val="none" w:sz="0" w:space="0" w:color="auto"/>
                <w:bottom w:val="none" w:sz="0" w:space="0" w:color="auto"/>
                <w:right w:val="none" w:sz="0" w:space="0" w:color="auto"/>
              </w:divBdr>
            </w:div>
          </w:divsChild>
        </w:div>
        <w:div w:id="306402005">
          <w:marLeft w:val="0"/>
          <w:marRight w:val="0"/>
          <w:marTop w:val="0"/>
          <w:marBottom w:val="0"/>
          <w:divBdr>
            <w:top w:val="none" w:sz="0" w:space="0" w:color="auto"/>
            <w:left w:val="none" w:sz="0" w:space="0" w:color="auto"/>
            <w:bottom w:val="none" w:sz="0" w:space="0" w:color="auto"/>
            <w:right w:val="none" w:sz="0" w:space="0" w:color="auto"/>
          </w:divBdr>
          <w:divsChild>
            <w:div w:id="2039698795">
              <w:marLeft w:val="0"/>
              <w:marRight w:val="0"/>
              <w:marTop w:val="0"/>
              <w:marBottom w:val="0"/>
              <w:divBdr>
                <w:top w:val="none" w:sz="0" w:space="0" w:color="auto"/>
                <w:left w:val="none" w:sz="0" w:space="0" w:color="auto"/>
                <w:bottom w:val="none" w:sz="0" w:space="0" w:color="auto"/>
                <w:right w:val="none" w:sz="0" w:space="0" w:color="auto"/>
              </w:divBdr>
            </w:div>
          </w:divsChild>
        </w:div>
        <w:div w:id="311638398">
          <w:marLeft w:val="0"/>
          <w:marRight w:val="0"/>
          <w:marTop w:val="0"/>
          <w:marBottom w:val="0"/>
          <w:divBdr>
            <w:top w:val="none" w:sz="0" w:space="0" w:color="auto"/>
            <w:left w:val="none" w:sz="0" w:space="0" w:color="auto"/>
            <w:bottom w:val="none" w:sz="0" w:space="0" w:color="auto"/>
            <w:right w:val="none" w:sz="0" w:space="0" w:color="auto"/>
          </w:divBdr>
          <w:divsChild>
            <w:div w:id="1132598477">
              <w:marLeft w:val="0"/>
              <w:marRight w:val="0"/>
              <w:marTop w:val="0"/>
              <w:marBottom w:val="0"/>
              <w:divBdr>
                <w:top w:val="none" w:sz="0" w:space="0" w:color="auto"/>
                <w:left w:val="none" w:sz="0" w:space="0" w:color="auto"/>
                <w:bottom w:val="none" w:sz="0" w:space="0" w:color="auto"/>
                <w:right w:val="none" w:sz="0" w:space="0" w:color="auto"/>
              </w:divBdr>
            </w:div>
          </w:divsChild>
        </w:div>
        <w:div w:id="320545560">
          <w:marLeft w:val="0"/>
          <w:marRight w:val="0"/>
          <w:marTop w:val="0"/>
          <w:marBottom w:val="0"/>
          <w:divBdr>
            <w:top w:val="none" w:sz="0" w:space="0" w:color="auto"/>
            <w:left w:val="none" w:sz="0" w:space="0" w:color="auto"/>
            <w:bottom w:val="none" w:sz="0" w:space="0" w:color="auto"/>
            <w:right w:val="none" w:sz="0" w:space="0" w:color="auto"/>
          </w:divBdr>
          <w:divsChild>
            <w:div w:id="2072649977">
              <w:marLeft w:val="0"/>
              <w:marRight w:val="0"/>
              <w:marTop w:val="0"/>
              <w:marBottom w:val="0"/>
              <w:divBdr>
                <w:top w:val="none" w:sz="0" w:space="0" w:color="auto"/>
                <w:left w:val="none" w:sz="0" w:space="0" w:color="auto"/>
                <w:bottom w:val="none" w:sz="0" w:space="0" w:color="auto"/>
                <w:right w:val="none" w:sz="0" w:space="0" w:color="auto"/>
              </w:divBdr>
            </w:div>
          </w:divsChild>
        </w:div>
        <w:div w:id="321813302">
          <w:marLeft w:val="0"/>
          <w:marRight w:val="0"/>
          <w:marTop w:val="0"/>
          <w:marBottom w:val="0"/>
          <w:divBdr>
            <w:top w:val="none" w:sz="0" w:space="0" w:color="auto"/>
            <w:left w:val="none" w:sz="0" w:space="0" w:color="auto"/>
            <w:bottom w:val="none" w:sz="0" w:space="0" w:color="auto"/>
            <w:right w:val="none" w:sz="0" w:space="0" w:color="auto"/>
          </w:divBdr>
          <w:divsChild>
            <w:div w:id="953639283">
              <w:marLeft w:val="0"/>
              <w:marRight w:val="0"/>
              <w:marTop w:val="0"/>
              <w:marBottom w:val="0"/>
              <w:divBdr>
                <w:top w:val="none" w:sz="0" w:space="0" w:color="auto"/>
                <w:left w:val="none" w:sz="0" w:space="0" w:color="auto"/>
                <w:bottom w:val="none" w:sz="0" w:space="0" w:color="auto"/>
                <w:right w:val="none" w:sz="0" w:space="0" w:color="auto"/>
              </w:divBdr>
            </w:div>
          </w:divsChild>
        </w:div>
        <w:div w:id="333921789">
          <w:marLeft w:val="0"/>
          <w:marRight w:val="0"/>
          <w:marTop w:val="0"/>
          <w:marBottom w:val="0"/>
          <w:divBdr>
            <w:top w:val="none" w:sz="0" w:space="0" w:color="auto"/>
            <w:left w:val="none" w:sz="0" w:space="0" w:color="auto"/>
            <w:bottom w:val="none" w:sz="0" w:space="0" w:color="auto"/>
            <w:right w:val="none" w:sz="0" w:space="0" w:color="auto"/>
          </w:divBdr>
          <w:divsChild>
            <w:div w:id="1747846065">
              <w:marLeft w:val="0"/>
              <w:marRight w:val="0"/>
              <w:marTop w:val="0"/>
              <w:marBottom w:val="0"/>
              <w:divBdr>
                <w:top w:val="none" w:sz="0" w:space="0" w:color="auto"/>
                <w:left w:val="none" w:sz="0" w:space="0" w:color="auto"/>
                <w:bottom w:val="none" w:sz="0" w:space="0" w:color="auto"/>
                <w:right w:val="none" w:sz="0" w:space="0" w:color="auto"/>
              </w:divBdr>
            </w:div>
          </w:divsChild>
        </w:div>
        <w:div w:id="353507166">
          <w:marLeft w:val="0"/>
          <w:marRight w:val="0"/>
          <w:marTop w:val="0"/>
          <w:marBottom w:val="0"/>
          <w:divBdr>
            <w:top w:val="none" w:sz="0" w:space="0" w:color="auto"/>
            <w:left w:val="none" w:sz="0" w:space="0" w:color="auto"/>
            <w:bottom w:val="none" w:sz="0" w:space="0" w:color="auto"/>
            <w:right w:val="none" w:sz="0" w:space="0" w:color="auto"/>
          </w:divBdr>
          <w:divsChild>
            <w:div w:id="2100910003">
              <w:marLeft w:val="0"/>
              <w:marRight w:val="0"/>
              <w:marTop w:val="0"/>
              <w:marBottom w:val="0"/>
              <w:divBdr>
                <w:top w:val="none" w:sz="0" w:space="0" w:color="auto"/>
                <w:left w:val="none" w:sz="0" w:space="0" w:color="auto"/>
                <w:bottom w:val="none" w:sz="0" w:space="0" w:color="auto"/>
                <w:right w:val="none" w:sz="0" w:space="0" w:color="auto"/>
              </w:divBdr>
            </w:div>
          </w:divsChild>
        </w:div>
        <w:div w:id="355691495">
          <w:marLeft w:val="0"/>
          <w:marRight w:val="0"/>
          <w:marTop w:val="0"/>
          <w:marBottom w:val="0"/>
          <w:divBdr>
            <w:top w:val="none" w:sz="0" w:space="0" w:color="auto"/>
            <w:left w:val="none" w:sz="0" w:space="0" w:color="auto"/>
            <w:bottom w:val="none" w:sz="0" w:space="0" w:color="auto"/>
            <w:right w:val="none" w:sz="0" w:space="0" w:color="auto"/>
          </w:divBdr>
          <w:divsChild>
            <w:div w:id="246774429">
              <w:marLeft w:val="0"/>
              <w:marRight w:val="0"/>
              <w:marTop w:val="0"/>
              <w:marBottom w:val="0"/>
              <w:divBdr>
                <w:top w:val="none" w:sz="0" w:space="0" w:color="auto"/>
                <w:left w:val="none" w:sz="0" w:space="0" w:color="auto"/>
                <w:bottom w:val="none" w:sz="0" w:space="0" w:color="auto"/>
                <w:right w:val="none" w:sz="0" w:space="0" w:color="auto"/>
              </w:divBdr>
            </w:div>
          </w:divsChild>
        </w:div>
        <w:div w:id="364529280">
          <w:marLeft w:val="0"/>
          <w:marRight w:val="0"/>
          <w:marTop w:val="0"/>
          <w:marBottom w:val="0"/>
          <w:divBdr>
            <w:top w:val="none" w:sz="0" w:space="0" w:color="auto"/>
            <w:left w:val="none" w:sz="0" w:space="0" w:color="auto"/>
            <w:bottom w:val="none" w:sz="0" w:space="0" w:color="auto"/>
            <w:right w:val="none" w:sz="0" w:space="0" w:color="auto"/>
          </w:divBdr>
          <w:divsChild>
            <w:div w:id="187065251">
              <w:marLeft w:val="0"/>
              <w:marRight w:val="0"/>
              <w:marTop w:val="0"/>
              <w:marBottom w:val="0"/>
              <w:divBdr>
                <w:top w:val="none" w:sz="0" w:space="0" w:color="auto"/>
                <w:left w:val="none" w:sz="0" w:space="0" w:color="auto"/>
                <w:bottom w:val="none" w:sz="0" w:space="0" w:color="auto"/>
                <w:right w:val="none" w:sz="0" w:space="0" w:color="auto"/>
              </w:divBdr>
            </w:div>
          </w:divsChild>
        </w:div>
        <w:div w:id="413168675">
          <w:marLeft w:val="0"/>
          <w:marRight w:val="0"/>
          <w:marTop w:val="0"/>
          <w:marBottom w:val="0"/>
          <w:divBdr>
            <w:top w:val="none" w:sz="0" w:space="0" w:color="auto"/>
            <w:left w:val="none" w:sz="0" w:space="0" w:color="auto"/>
            <w:bottom w:val="none" w:sz="0" w:space="0" w:color="auto"/>
            <w:right w:val="none" w:sz="0" w:space="0" w:color="auto"/>
          </w:divBdr>
          <w:divsChild>
            <w:div w:id="1506555485">
              <w:marLeft w:val="0"/>
              <w:marRight w:val="0"/>
              <w:marTop w:val="0"/>
              <w:marBottom w:val="0"/>
              <w:divBdr>
                <w:top w:val="none" w:sz="0" w:space="0" w:color="auto"/>
                <w:left w:val="none" w:sz="0" w:space="0" w:color="auto"/>
                <w:bottom w:val="none" w:sz="0" w:space="0" w:color="auto"/>
                <w:right w:val="none" w:sz="0" w:space="0" w:color="auto"/>
              </w:divBdr>
            </w:div>
          </w:divsChild>
        </w:div>
        <w:div w:id="421537127">
          <w:marLeft w:val="0"/>
          <w:marRight w:val="0"/>
          <w:marTop w:val="0"/>
          <w:marBottom w:val="0"/>
          <w:divBdr>
            <w:top w:val="none" w:sz="0" w:space="0" w:color="auto"/>
            <w:left w:val="none" w:sz="0" w:space="0" w:color="auto"/>
            <w:bottom w:val="none" w:sz="0" w:space="0" w:color="auto"/>
            <w:right w:val="none" w:sz="0" w:space="0" w:color="auto"/>
          </w:divBdr>
          <w:divsChild>
            <w:div w:id="200556282">
              <w:marLeft w:val="0"/>
              <w:marRight w:val="0"/>
              <w:marTop w:val="0"/>
              <w:marBottom w:val="0"/>
              <w:divBdr>
                <w:top w:val="none" w:sz="0" w:space="0" w:color="auto"/>
                <w:left w:val="none" w:sz="0" w:space="0" w:color="auto"/>
                <w:bottom w:val="none" w:sz="0" w:space="0" w:color="auto"/>
                <w:right w:val="none" w:sz="0" w:space="0" w:color="auto"/>
              </w:divBdr>
            </w:div>
          </w:divsChild>
        </w:div>
        <w:div w:id="472914721">
          <w:marLeft w:val="0"/>
          <w:marRight w:val="0"/>
          <w:marTop w:val="0"/>
          <w:marBottom w:val="0"/>
          <w:divBdr>
            <w:top w:val="none" w:sz="0" w:space="0" w:color="auto"/>
            <w:left w:val="none" w:sz="0" w:space="0" w:color="auto"/>
            <w:bottom w:val="none" w:sz="0" w:space="0" w:color="auto"/>
            <w:right w:val="none" w:sz="0" w:space="0" w:color="auto"/>
          </w:divBdr>
          <w:divsChild>
            <w:div w:id="243497316">
              <w:marLeft w:val="0"/>
              <w:marRight w:val="0"/>
              <w:marTop w:val="0"/>
              <w:marBottom w:val="0"/>
              <w:divBdr>
                <w:top w:val="none" w:sz="0" w:space="0" w:color="auto"/>
                <w:left w:val="none" w:sz="0" w:space="0" w:color="auto"/>
                <w:bottom w:val="none" w:sz="0" w:space="0" w:color="auto"/>
                <w:right w:val="none" w:sz="0" w:space="0" w:color="auto"/>
              </w:divBdr>
            </w:div>
          </w:divsChild>
        </w:div>
        <w:div w:id="475295328">
          <w:marLeft w:val="0"/>
          <w:marRight w:val="0"/>
          <w:marTop w:val="0"/>
          <w:marBottom w:val="0"/>
          <w:divBdr>
            <w:top w:val="none" w:sz="0" w:space="0" w:color="auto"/>
            <w:left w:val="none" w:sz="0" w:space="0" w:color="auto"/>
            <w:bottom w:val="none" w:sz="0" w:space="0" w:color="auto"/>
            <w:right w:val="none" w:sz="0" w:space="0" w:color="auto"/>
          </w:divBdr>
          <w:divsChild>
            <w:div w:id="1013458567">
              <w:marLeft w:val="0"/>
              <w:marRight w:val="0"/>
              <w:marTop w:val="0"/>
              <w:marBottom w:val="0"/>
              <w:divBdr>
                <w:top w:val="none" w:sz="0" w:space="0" w:color="auto"/>
                <w:left w:val="none" w:sz="0" w:space="0" w:color="auto"/>
                <w:bottom w:val="none" w:sz="0" w:space="0" w:color="auto"/>
                <w:right w:val="none" w:sz="0" w:space="0" w:color="auto"/>
              </w:divBdr>
            </w:div>
          </w:divsChild>
        </w:div>
        <w:div w:id="485513887">
          <w:marLeft w:val="0"/>
          <w:marRight w:val="0"/>
          <w:marTop w:val="0"/>
          <w:marBottom w:val="0"/>
          <w:divBdr>
            <w:top w:val="none" w:sz="0" w:space="0" w:color="auto"/>
            <w:left w:val="none" w:sz="0" w:space="0" w:color="auto"/>
            <w:bottom w:val="none" w:sz="0" w:space="0" w:color="auto"/>
            <w:right w:val="none" w:sz="0" w:space="0" w:color="auto"/>
          </w:divBdr>
          <w:divsChild>
            <w:div w:id="694230299">
              <w:marLeft w:val="0"/>
              <w:marRight w:val="0"/>
              <w:marTop w:val="0"/>
              <w:marBottom w:val="0"/>
              <w:divBdr>
                <w:top w:val="none" w:sz="0" w:space="0" w:color="auto"/>
                <w:left w:val="none" w:sz="0" w:space="0" w:color="auto"/>
                <w:bottom w:val="none" w:sz="0" w:space="0" w:color="auto"/>
                <w:right w:val="none" w:sz="0" w:space="0" w:color="auto"/>
              </w:divBdr>
            </w:div>
          </w:divsChild>
        </w:div>
        <w:div w:id="513765743">
          <w:marLeft w:val="0"/>
          <w:marRight w:val="0"/>
          <w:marTop w:val="0"/>
          <w:marBottom w:val="0"/>
          <w:divBdr>
            <w:top w:val="none" w:sz="0" w:space="0" w:color="auto"/>
            <w:left w:val="none" w:sz="0" w:space="0" w:color="auto"/>
            <w:bottom w:val="none" w:sz="0" w:space="0" w:color="auto"/>
            <w:right w:val="none" w:sz="0" w:space="0" w:color="auto"/>
          </w:divBdr>
          <w:divsChild>
            <w:div w:id="452015512">
              <w:marLeft w:val="0"/>
              <w:marRight w:val="0"/>
              <w:marTop w:val="0"/>
              <w:marBottom w:val="0"/>
              <w:divBdr>
                <w:top w:val="none" w:sz="0" w:space="0" w:color="auto"/>
                <w:left w:val="none" w:sz="0" w:space="0" w:color="auto"/>
                <w:bottom w:val="none" w:sz="0" w:space="0" w:color="auto"/>
                <w:right w:val="none" w:sz="0" w:space="0" w:color="auto"/>
              </w:divBdr>
            </w:div>
          </w:divsChild>
        </w:div>
        <w:div w:id="539244254">
          <w:marLeft w:val="0"/>
          <w:marRight w:val="0"/>
          <w:marTop w:val="0"/>
          <w:marBottom w:val="0"/>
          <w:divBdr>
            <w:top w:val="none" w:sz="0" w:space="0" w:color="auto"/>
            <w:left w:val="none" w:sz="0" w:space="0" w:color="auto"/>
            <w:bottom w:val="none" w:sz="0" w:space="0" w:color="auto"/>
            <w:right w:val="none" w:sz="0" w:space="0" w:color="auto"/>
          </w:divBdr>
          <w:divsChild>
            <w:div w:id="60253792">
              <w:marLeft w:val="0"/>
              <w:marRight w:val="0"/>
              <w:marTop w:val="0"/>
              <w:marBottom w:val="0"/>
              <w:divBdr>
                <w:top w:val="none" w:sz="0" w:space="0" w:color="auto"/>
                <w:left w:val="none" w:sz="0" w:space="0" w:color="auto"/>
                <w:bottom w:val="none" w:sz="0" w:space="0" w:color="auto"/>
                <w:right w:val="none" w:sz="0" w:space="0" w:color="auto"/>
              </w:divBdr>
            </w:div>
          </w:divsChild>
        </w:div>
        <w:div w:id="549195410">
          <w:marLeft w:val="0"/>
          <w:marRight w:val="0"/>
          <w:marTop w:val="0"/>
          <w:marBottom w:val="0"/>
          <w:divBdr>
            <w:top w:val="none" w:sz="0" w:space="0" w:color="auto"/>
            <w:left w:val="none" w:sz="0" w:space="0" w:color="auto"/>
            <w:bottom w:val="none" w:sz="0" w:space="0" w:color="auto"/>
            <w:right w:val="none" w:sz="0" w:space="0" w:color="auto"/>
          </w:divBdr>
          <w:divsChild>
            <w:div w:id="1698769790">
              <w:marLeft w:val="0"/>
              <w:marRight w:val="0"/>
              <w:marTop w:val="0"/>
              <w:marBottom w:val="0"/>
              <w:divBdr>
                <w:top w:val="none" w:sz="0" w:space="0" w:color="auto"/>
                <w:left w:val="none" w:sz="0" w:space="0" w:color="auto"/>
                <w:bottom w:val="none" w:sz="0" w:space="0" w:color="auto"/>
                <w:right w:val="none" w:sz="0" w:space="0" w:color="auto"/>
              </w:divBdr>
            </w:div>
          </w:divsChild>
        </w:div>
        <w:div w:id="556555886">
          <w:marLeft w:val="0"/>
          <w:marRight w:val="0"/>
          <w:marTop w:val="0"/>
          <w:marBottom w:val="0"/>
          <w:divBdr>
            <w:top w:val="none" w:sz="0" w:space="0" w:color="auto"/>
            <w:left w:val="none" w:sz="0" w:space="0" w:color="auto"/>
            <w:bottom w:val="none" w:sz="0" w:space="0" w:color="auto"/>
            <w:right w:val="none" w:sz="0" w:space="0" w:color="auto"/>
          </w:divBdr>
          <w:divsChild>
            <w:div w:id="739139421">
              <w:marLeft w:val="0"/>
              <w:marRight w:val="0"/>
              <w:marTop w:val="0"/>
              <w:marBottom w:val="0"/>
              <w:divBdr>
                <w:top w:val="none" w:sz="0" w:space="0" w:color="auto"/>
                <w:left w:val="none" w:sz="0" w:space="0" w:color="auto"/>
                <w:bottom w:val="none" w:sz="0" w:space="0" w:color="auto"/>
                <w:right w:val="none" w:sz="0" w:space="0" w:color="auto"/>
              </w:divBdr>
            </w:div>
          </w:divsChild>
        </w:div>
        <w:div w:id="559709413">
          <w:marLeft w:val="0"/>
          <w:marRight w:val="0"/>
          <w:marTop w:val="0"/>
          <w:marBottom w:val="0"/>
          <w:divBdr>
            <w:top w:val="none" w:sz="0" w:space="0" w:color="auto"/>
            <w:left w:val="none" w:sz="0" w:space="0" w:color="auto"/>
            <w:bottom w:val="none" w:sz="0" w:space="0" w:color="auto"/>
            <w:right w:val="none" w:sz="0" w:space="0" w:color="auto"/>
          </w:divBdr>
          <w:divsChild>
            <w:div w:id="439033992">
              <w:marLeft w:val="0"/>
              <w:marRight w:val="0"/>
              <w:marTop w:val="0"/>
              <w:marBottom w:val="0"/>
              <w:divBdr>
                <w:top w:val="none" w:sz="0" w:space="0" w:color="auto"/>
                <w:left w:val="none" w:sz="0" w:space="0" w:color="auto"/>
                <w:bottom w:val="none" w:sz="0" w:space="0" w:color="auto"/>
                <w:right w:val="none" w:sz="0" w:space="0" w:color="auto"/>
              </w:divBdr>
            </w:div>
          </w:divsChild>
        </w:div>
        <w:div w:id="586111150">
          <w:marLeft w:val="0"/>
          <w:marRight w:val="0"/>
          <w:marTop w:val="0"/>
          <w:marBottom w:val="0"/>
          <w:divBdr>
            <w:top w:val="none" w:sz="0" w:space="0" w:color="auto"/>
            <w:left w:val="none" w:sz="0" w:space="0" w:color="auto"/>
            <w:bottom w:val="none" w:sz="0" w:space="0" w:color="auto"/>
            <w:right w:val="none" w:sz="0" w:space="0" w:color="auto"/>
          </w:divBdr>
          <w:divsChild>
            <w:div w:id="1419247810">
              <w:marLeft w:val="0"/>
              <w:marRight w:val="0"/>
              <w:marTop w:val="0"/>
              <w:marBottom w:val="0"/>
              <w:divBdr>
                <w:top w:val="none" w:sz="0" w:space="0" w:color="auto"/>
                <w:left w:val="none" w:sz="0" w:space="0" w:color="auto"/>
                <w:bottom w:val="none" w:sz="0" w:space="0" w:color="auto"/>
                <w:right w:val="none" w:sz="0" w:space="0" w:color="auto"/>
              </w:divBdr>
            </w:div>
          </w:divsChild>
        </w:div>
        <w:div w:id="598754347">
          <w:marLeft w:val="0"/>
          <w:marRight w:val="0"/>
          <w:marTop w:val="0"/>
          <w:marBottom w:val="0"/>
          <w:divBdr>
            <w:top w:val="none" w:sz="0" w:space="0" w:color="auto"/>
            <w:left w:val="none" w:sz="0" w:space="0" w:color="auto"/>
            <w:bottom w:val="none" w:sz="0" w:space="0" w:color="auto"/>
            <w:right w:val="none" w:sz="0" w:space="0" w:color="auto"/>
          </w:divBdr>
          <w:divsChild>
            <w:div w:id="987125824">
              <w:marLeft w:val="0"/>
              <w:marRight w:val="0"/>
              <w:marTop w:val="0"/>
              <w:marBottom w:val="0"/>
              <w:divBdr>
                <w:top w:val="none" w:sz="0" w:space="0" w:color="auto"/>
                <w:left w:val="none" w:sz="0" w:space="0" w:color="auto"/>
                <w:bottom w:val="none" w:sz="0" w:space="0" w:color="auto"/>
                <w:right w:val="none" w:sz="0" w:space="0" w:color="auto"/>
              </w:divBdr>
            </w:div>
          </w:divsChild>
        </w:div>
        <w:div w:id="628362085">
          <w:marLeft w:val="0"/>
          <w:marRight w:val="0"/>
          <w:marTop w:val="0"/>
          <w:marBottom w:val="0"/>
          <w:divBdr>
            <w:top w:val="none" w:sz="0" w:space="0" w:color="auto"/>
            <w:left w:val="none" w:sz="0" w:space="0" w:color="auto"/>
            <w:bottom w:val="none" w:sz="0" w:space="0" w:color="auto"/>
            <w:right w:val="none" w:sz="0" w:space="0" w:color="auto"/>
          </w:divBdr>
          <w:divsChild>
            <w:div w:id="1414818848">
              <w:marLeft w:val="0"/>
              <w:marRight w:val="0"/>
              <w:marTop w:val="0"/>
              <w:marBottom w:val="0"/>
              <w:divBdr>
                <w:top w:val="none" w:sz="0" w:space="0" w:color="auto"/>
                <w:left w:val="none" w:sz="0" w:space="0" w:color="auto"/>
                <w:bottom w:val="none" w:sz="0" w:space="0" w:color="auto"/>
                <w:right w:val="none" w:sz="0" w:space="0" w:color="auto"/>
              </w:divBdr>
            </w:div>
          </w:divsChild>
        </w:div>
        <w:div w:id="683170342">
          <w:marLeft w:val="0"/>
          <w:marRight w:val="0"/>
          <w:marTop w:val="0"/>
          <w:marBottom w:val="0"/>
          <w:divBdr>
            <w:top w:val="none" w:sz="0" w:space="0" w:color="auto"/>
            <w:left w:val="none" w:sz="0" w:space="0" w:color="auto"/>
            <w:bottom w:val="none" w:sz="0" w:space="0" w:color="auto"/>
            <w:right w:val="none" w:sz="0" w:space="0" w:color="auto"/>
          </w:divBdr>
          <w:divsChild>
            <w:div w:id="1318608997">
              <w:marLeft w:val="0"/>
              <w:marRight w:val="0"/>
              <w:marTop w:val="0"/>
              <w:marBottom w:val="0"/>
              <w:divBdr>
                <w:top w:val="none" w:sz="0" w:space="0" w:color="auto"/>
                <w:left w:val="none" w:sz="0" w:space="0" w:color="auto"/>
                <w:bottom w:val="none" w:sz="0" w:space="0" w:color="auto"/>
                <w:right w:val="none" w:sz="0" w:space="0" w:color="auto"/>
              </w:divBdr>
            </w:div>
          </w:divsChild>
        </w:div>
        <w:div w:id="773746135">
          <w:marLeft w:val="0"/>
          <w:marRight w:val="0"/>
          <w:marTop w:val="0"/>
          <w:marBottom w:val="0"/>
          <w:divBdr>
            <w:top w:val="none" w:sz="0" w:space="0" w:color="auto"/>
            <w:left w:val="none" w:sz="0" w:space="0" w:color="auto"/>
            <w:bottom w:val="none" w:sz="0" w:space="0" w:color="auto"/>
            <w:right w:val="none" w:sz="0" w:space="0" w:color="auto"/>
          </w:divBdr>
          <w:divsChild>
            <w:div w:id="542015308">
              <w:marLeft w:val="0"/>
              <w:marRight w:val="0"/>
              <w:marTop w:val="0"/>
              <w:marBottom w:val="0"/>
              <w:divBdr>
                <w:top w:val="none" w:sz="0" w:space="0" w:color="auto"/>
                <w:left w:val="none" w:sz="0" w:space="0" w:color="auto"/>
                <w:bottom w:val="none" w:sz="0" w:space="0" w:color="auto"/>
                <w:right w:val="none" w:sz="0" w:space="0" w:color="auto"/>
              </w:divBdr>
            </w:div>
          </w:divsChild>
        </w:div>
        <w:div w:id="779910947">
          <w:marLeft w:val="0"/>
          <w:marRight w:val="0"/>
          <w:marTop w:val="0"/>
          <w:marBottom w:val="0"/>
          <w:divBdr>
            <w:top w:val="none" w:sz="0" w:space="0" w:color="auto"/>
            <w:left w:val="none" w:sz="0" w:space="0" w:color="auto"/>
            <w:bottom w:val="none" w:sz="0" w:space="0" w:color="auto"/>
            <w:right w:val="none" w:sz="0" w:space="0" w:color="auto"/>
          </w:divBdr>
          <w:divsChild>
            <w:div w:id="1884829517">
              <w:marLeft w:val="0"/>
              <w:marRight w:val="0"/>
              <w:marTop w:val="0"/>
              <w:marBottom w:val="0"/>
              <w:divBdr>
                <w:top w:val="none" w:sz="0" w:space="0" w:color="auto"/>
                <w:left w:val="none" w:sz="0" w:space="0" w:color="auto"/>
                <w:bottom w:val="none" w:sz="0" w:space="0" w:color="auto"/>
                <w:right w:val="none" w:sz="0" w:space="0" w:color="auto"/>
              </w:divBdr>
            </w:div>
          </w:divsChild>
        </w:div>
        <w:div w:id="790367707">
          <w:marLeft w:val="0"/>
          <w:marRight w:val="0"/>
          <w:marTop w:val="0"/>
          <w:marBottom w:val="0"/>
          <w:divBdr>
            <w:top w:val="none" w:sz="0" w:space="0" w:color="auto"/>
            <w:left w:val="none" w:sz="0" w:space="0" w:color="auto"/>
            <w:bottom w:val="none" w:sz="0" w:space="0" w:color="auto"/>
            <w:right w:val="none" w:sz="0" w:space="0" w:color="auto"/>
          </w:divBdr>
          <w:divsChild>
            <w:div w:id="898130291">
              <w:marLeft w:val="0"/>
              <w:marRight w:val="0"/>
              <w:marTop w:val="0"/>
              <w:marBottom w:val="0"/>
              <w:divBdr>
                <w:top w:val="none" w:sz="0" w:space="0" w:color="auto"/>
                <w:left w:val="none" w:sz="0" w:space="0" w:color="auto"/>
                <w:bottom w:val="none" w:sz="0" w:space="0" w:color="auto"/>
                <w:right w:val="none" w:sz="0" w:space="0" w:color="auto"/>
              </w:divBdr>
            </w:div>
          </w:divsChild>
        </w:div>
        <w:div w:id="796409684">
          <w:marLeft w:val="0"/>
          <w:marRight w:val="0"/>
          <w:marTop w:val="0"/>
          <w:marBottom w:val="0"/>
          <w:divBdr>
            <w:top w:val="none" w:sz="0" w:space="0" w:color="auto"/>
            <w:left w:val="none" w:sz="0" w:space="0" w:color="auto"/>
            <w:bottom w:val="none" w:sz="0" w:space="0" w:color="auto"/>
            <w:right w:val="none" w:sz="0" w:space="0" w:color="auto"/>
          </w:divBdr>
          <w:divsChild>
            <w:div w:id="1702512573">
              <w:marLeft w:val="0"/>
              <w:marRight w:val="0"/>
              <w:marTop w:val="0"/>
              <w:marBottom w:val="0"/>
              <w:divBdr>
                <w:top w:val="none" w:sz="0" w:space="0" w:color="auto"/>
                <w:left w:val="none" w:sz="0" w:space="0" w:color="auto"/>
                <w:bottom w:val="none" w:sz="0" w:space="0" w:color="auto"/>
                <w:right w:val="none" w:sz="0" w:space="0" w:color="auto"/>
              </w:divBdr>
            </w:div>
          </w:divsChild>
        </w:div>
        <w:div w:id="817496112">
          <w:marLeft w:val="0"/>
          <w:marRight w:val="0"/>
          <w:marTop w:val="0"/>
          <w:marBottom w:val="0"/>
          <w:divBdr>
            <w:top w:val="none" w:sz="0" w:space="0" w:color="auto"/>
            <w:left w:val="none" w:sz="0" w:space="0" w:color="auto"/>
            <w:bottom w:val="none" w:sz="0" w:space="0" w:color="auto"/>
            <w:right w:val="none" w:sz="0" w:space="0" w:color="auto"/>
          </w:divBdr>
          <w:divsChild>
            <w:div w:id="745765037">
              <w:marLeft w:val="0"/>
              <w:marRight w:val="0"/>
              <w:marTop w:val="0"/>
              <w:marBottom w:val="0"/>
              <w:divBdr>
                <w:top w:val="none" w:sz="0" w:space="0" w:color="auto"/>
                <w:left w:val="none" w:sz="0" w:space="0" w:color="auto"/>
                <w:bottom w:val="none" w:sz="0" w:space="0" w:color="auto"/>
                <w:right w:val="none" w:sz="0" w:space="0" w:color="auto"/>
              </w:divBdr>
            </w:div>
          </w:divsChild>
        </w:div>
        <w:div w:id="827476351">
          <w:marLeft w:val="0"/>
          <w:marRight w:val="0"/>
          <w:marTop w:val="0"/>
          <w:marBottom w:val="0"/>
          <w:divBdr>
            <w:top w:val="none" w:sz="0" w:space="0" w:color="auto"/>
            <w:left w:val="none" w:sz="0" w:space="0" w:color="auto"/>
            <w:bottom w:val="none" w:sz="0" w:space="0" w:color="auto"/>
            <w:right w:val="none" w:sz="0" w:space="0" w:color="auto"/>
          </w:divBdr>
          <w:divsChild>
            <w:div w:id="793258051">
              <w:marLeft w:val="0"/>
              <w:marRight w:val="0"/>
              <w:marTop w:val="0"/>
              <w:marBottom w:val="0"/>
              <w:divBdr>
                <w:top w:val="none" w:sz="0" w:space="0" w:color="auto"/>
                <w:left w:val="none" w:sz="0" w:space="0" w:color="auto"/>
                <w:bottom w:val="none" w:sz="0" w:space="0" w:color="auto"/>
                <w:right w:val="none" w:sz="0" w:space="0" w:color="auto"/>
              </w:divBdr>
            </w:div>
          </w:divsChild>
        </w:div>
        <w:div w:id="844830655">
          <w:marLeft w:val="0"/>
          <w:marRight w:val="0"/>
          <w:marTop w:val="0"/>
          <w:marBottom w:val="0"/>
          <w:divBdr>
            <w:top w:val="none" w:sz="0" w:space="0" w:color="auto"/>
            <w:left w:val="none" w:sz="0" w:space="0" w:color="auto"/>
            <w:bottom w:val="none" w:sz="0" w:space="0" w:color="auto"/>
            <w:right w:val="none" w:sz="0" w:space="0" w:color="auto"/>
          </w:divBdr>
          <w:divsChild>
            <w:div w:id="3486201">
              <w:marLeft w:val="0"/>
              <w:marRight w:val="0"/>
              <w:marTop w:val="0"/>
              <w:marBottom w:val="0"/>
              <w:divBdr>
                <w:top w:val="none" w:sz="0" w:space="0" w:color="auto"/>
                <w:left w:val="none" w:sz="0" w:space="0" w:color="auto"/>
                <w:bottom w:val="none" w:sz="0" w:space="0" w:color="auto"/>
                <w:right w:val="none" w:sz="0" w:space="0" w:color="auto"/>
              </w:divBdr>
            </w:div>
          </w:divsChild>
        </w:div>
        <w:div w:id="865173277">
          <w:marLeft w:val="0"/>
          <w:marRight w:val="0"/>
          <w:marTop w:val="0"/>
          <w:marBottom w:val="0"/>
          <w:divBdr>
            <w:top w:val="none" w:sz="0" w:space="0" w:color="auto"/>
            <w:left w:val="none" w:sz="0" w:space="0" w:color="auto"/>
            <w:bottom w:val="none" w:sz="0" w:space="0" w:color="auto"/>
            <w:right w:val="none" w:sz="0" w:space="0" w:color="auto"/>
          </w:divBdr>
          <w:divsChild>
            <w:div w:id="1711757052">
              <w:marLeft w:val="0"/>
              <w:marRight w:val="0"/>
              <w:marTop w:val="0"/>
              <w:marBottom w:val="0"/>
              <w:divBdr>
                <w:top w:val="none" w:sz="0" w:space="0" w:color="auto"/>
                <w:left w:val="none" w:sz="0" w:space="0" w:color="auto"/>
                <w:bottom w:val="none" w:sz="0" w:space="0" w:color="auto"/>
                <w:right w:val="none" w:sz="0" w:space="0" w:color="auto"/>
              </w:divBdr>
            </w:div>
          </w:divsChild>
        </w:div>
        <w:div w:id="922836349">
          <w:marLeft w:val="0"/>
          <w:marRight w:val="0"/>
          <w:marTop w:val="0"/>
          <w:marBottom w:val="0"/>
          <w:divBdr>
            <w:top w:val="none" w:sz="0" w:space="0" w:color="auto"/>
            <w:left w:val="none" w:sz="0" w:space="0" w:color="auto"/>
            <w:bottom w:val="none" w:sz="0" w:space="0" w:color="auto"/>
            <w:right w:val="none" w:sz="0" w:space="0" w:color="auto"/>
          </w:divBdr>
          <w:divsChild>
            <w:div w:id="10498139">
              <w:marLeft w:val="0"/>
              <w:marRight w:val="0"/>
              <w:marTop w:val="0"/>
              <w:marBottom w:val="0"/>
              <w:divBdr>
                <w:top w:val="none" w:sz="0" w:space="0" w:color="auto"/>
                <w:left w:val="none" w:sz="0" w:space="0" w:color="auto"/>
                <w:bottom w:val="none" w:sz="0" w:space="0" w:color="auto"/>
                <w:right w:val="none" w:sz="0" w:space="0" w:color="auto"/>
              </w:divBdr>
            </w:div>
          </w:divsChild>
        </w:div>
        <w:div w:id="939023904">
          <w:marLeft w:val="0"/>
          <w:marRight w:val="0"/>
          <w:marTop w:val="0"/>
          <w:marBottom w:val="0"/>
          <w:divBdr>
            <w:top w:val="none" w:sz="0" w:space="0" w:color="auto"/>
            <w:left w:val="none" w:sz="0" w:space="0" w:color="auto"/>
            <w:bottom w:val="none" w:sz="0" w:space="0" w:color="auto"/>
            <w:right w:val="none" w:sz="0" w:space="0" w:color="auto"/>
          </w:divBdr>
          <w:divsChild>
            <w:div w:id="332950727">
              <w:marLeft w:val="0"/>
              <w:marRight w:val="0"/>
              <w:marTop w:val="0"/>
              <w:marBottom w:val="0"/>
              <w:divBdr>
                <w:top w:val="none" w:sz="0" w:space="0" w:color="auto"/>
                <w:left w:val="none" w:sz="0" w:space="0" w:color="auto"/>
                <w:bottom w:val="none" w:sz="0" w:space="0" w:color="auto"/>
                <w:right w:val="none" w:sz="0" w:space="0" w:color="auto"/>
              </w:divBdr>
            </w:div>
          </w:divsChild>
        </w:div>
        <w:div w:id="958873121">
          <w:marLeft w:val="0"/>
          <w:marRight w:val="0"/>
          <w:marTop w:val="0"/>
          <w:marBottom w:val="0"/>
          <w:divBdr>
            <w:top w:val="none" w:sz="0" w:space="0" w:color="auto"/>
            <w:left w:val="none" w:sz="0" w:space="0" w:color="auto"/>
            <w:bottom w:val="none" w:sz="0" w:space="0" w:color="auto"/>
            <w:right w:val="none" w:sz="0" w:space="0" w:color="auto"/>
          </w:divBdr>
          <w:divsChild>
            <w:div w:id="908152422">
              <w:marLeft w:val="0"/>
              <w:marRight w:val="0"/>
              <w:marTop w:val="0"/>
              <w:marBottom w:val="0"/>
              <w:divBdr>
                <w:top w:val="none" w:sz="0" w:space="0" w:color="auto"/>
                <w:left w:val="none" w:sz="0" w:space="0" w:color="auto"/>
                <w:bottom w:val="none" w:sz="0" w:space="0" w:color="auto"/>
                <w:right w:val="none" w:sz="0" w:space="0" w:color="auto"/>
              </w:divBdr>
            </w:div>
          </w:divsChild>
        </w:div>
        <w:div w:id="974020480">
          <w:marLeft w:val="0"/>
          <w:marRight w:val="0"/>
          <w:marTop w:val="0"/>
          <w:marBottom w:val="0"/>
          <w:divBdr>
            <w:top w:val="none" w:sz="0" w:space="0" w:color="auto"/>
            <w:left w:val="none" w:sz="0" w:space="0" w:color="auto"/>
            <w:bottom w:val="none" w:sz="0" w:space="0" w:color="auto"/>
            <w:right w:val="none" w:sz="0" w:space="0" w:color="auto"/>
          </w:divBdr>
          <w:divsChild>
            <w:div w:id="909736333">
              <w:marLeft w:val="0"/>
              <w:marRight w:val="0"/>
              <w:marTop w:val="0"/>
              <w:marBottom w:val="0"/>
              <w:divBdr>
                <w:top w:val="none" w:sz="0" w:space="0" w:color="auto"/>
                <w:left w:val="none" w:sz="0" w:space="0" w:color="auto"/>
                <w:bottom w:val="none" w:sz="0" w:space="0" w:color="auto"/>
                <w:right w:val="none" w:sz="0" w:space="0" w:color="auto"/>
              </w:divBdr>
            </w:div>
          </w:divsChild>
        </w:div>
        <w:div w:id="997996159">
          <w:marLeft w:val="0"/>
          <w:marRight w:val="0"/>
          <w:marTop w:val="0"/>
          <w:marBottom w:val="0"/>
          <w:divBdr>
            <w:top w:val="none" w:sz="0" w:space="0" w:color="auto"/>
            <w:left w:val="none" w:sz="0" w:space="0" w:color="auto"/>
            <w:bottom w:val="none" w:sz="0" w:space="0" w:color="auto"/>
            <w:right w:val="none" w:sz="0" w:space="0" w:color="auto"/>
          </w:divBdr>
          <w:divsChild>
            <w:div w:id="558052447">
              <w:marLeft w:val="0"/>
              <w:marRight w:val="0"/>
              <w:marTop w:val="0"/>
              <w:marBottom w:val="0"/>
              <w:divBdr>
                <w:top w:val="none" w:sz="0" w:space="0" w:color="auto"/>
                <w:left w:val="none" w:sz="0" w:space="0" w:color="auto"/>
                <w:bottom w:val="none" w:sz="0" w:space="0" w:color="auto"/>
                <w:right w:val="none" w:sz="0" w:space="0" w:color="auto"/>
              </w:divBdr>
            </w:div>
          </w:divsChild>
        </w:div>
        <w:div w:id="1035543725">
          <w:marLeft w:val="0"/>
          <w:marRight w:val="0"/>
          <w:marTop w:val="0"/>
          <w:marBottom w:val="0"/>
          <w:divBdr>
            <w:top w:val="none" w:sz="0" w:space="0" w:color="auto"/>
            <w:left w:val="none" w:sz="0" w:space="0" w:color="auto"/>
            <w:bottom w:val="none" w:sz="0" w:space="0" w:color="auto"/>
            <w:right w:val="none" w:sz="0" w:space="0" w:color="auto"/>
          </w:divBdr>
          <w:divsChild>
            <w:div w:id="1512987342">
              <w:marLeft w:val="0"/>
              <w:marRight w:val="0"/>
              <w:marTop w:val="0"/>
              <w:marBottom w:val="0"/>
              <w:divBdr>
                <w:top w:val="none" w:sz="0" w:space="0" w:color="auto"/>
                <w:left w:val="none" w:sz="0" w:space="0" w:color="auto"/>
                <w:bottom w:val="none" w:sz="0" w:space="0" w:color="auto"/>
                <w:right w:val="none" w:sz="0" w:space="0" w:color="auto"/>
              </w:divBdr>
            </w:div>
          </w:divsChild>
        </w:div>
        <w:div w:id="1125196096">
          <w:marLeft w:val="0"/>
          <w:marRight w:val="0"/>
          <w:marTop w:val="0"/>
          <w:marBottom w:val="0"/>
          <w:divBdr>
            <w:top w:val="none" w:sz="0" w:space="0" w:color="auto"/>
            <w:left w:val="none" w:sz="0" w:space="0" w:color="auto"/>
            <w:bottom w:val="none" w:sz="0" w:space="0" w:color="auto"/>
            <w:right w:val="none" w:sz="0" w:space="0" w:color="auto"/>
          </w:divBdr>
          <w:divsChild>
            <w:div w:id="1993171349">
              <w:marLeft w:val="0"/>
              <w:marRight w:val="0"/>
              <w:marTop w:val="0"/>
              <w:marBottom w:val="0"/>
              <w:divBdr>
                <w:top w:val="none" w:sz="0" w:space="0" w:color="auto"/>
                <w:left w:val="none" w:sz="0" w:space="0" w:color="auto"/>
                <w:bottom w:val="none" w:sz="0" w:space="0" w:color="auto"/>
                <w:right w:val="none" w:sz="0" w:space="0" w:color="auto"/>
              </w:divBdr>
            </w:div>
          </w:divsChild>
        </w:div>
        <w:div w:id="1152869980">
          <w:marLeft w:val="0"/>
          <w:marRight w:val="0"/>
          <w:marTop w:val="0"/>
          <w:marBottom w:val="0"/>
          <w:divBdr>
            <w:top w:val="none" w:sz="0" w:space="0" w:color="auto"/>
            <w:left w:val="none" w:sz="0" w:space="0" w:color="auto"/>
            <w:bottom w:val="none" w:sz="0" w:space="0" w:color="auto"/>
            <w:right w:val="none" w:sz="0" w:space="0" w:color="auto"/>
          </w:divBdr>
          <w:divsChild>
            <w:div w:id="1733385151">
              <w:marLeft w:val="0"/>
              <w:marRight w:val="0"/>
              <w:marTop w:val="0"/>
              <w:marBottom w:val="0"/>
              <w:divBdr>
                <w:top w:val="none" w:sz="0" w:space="0" w:color="auto"/>
                <w:left w:val="none" w:sz="0" w:space="0" w:color="auto"/>
                <w:bottom w:val="none" w:sz="0" w:space="0" w:color="auto"/>
                <w:right w:val="none" w:sz="0" w:space="0" w:color="auto"/>
              </w:divBdr>
            </w:div>
          </w:divsChild>
        </w:div>
        <w:div w:id="1162621639">
          <w:marLeft w:val="0"/>
          <w:marRight w:val="0"/>
          <w:marTop w:val="0"/>
          <w:marBottom w:val="0"/>
          <w:divBdr>
            <w:top w:val="none" w:sz="0" w:space="0" w:color="auto"/>
            <w:left w:val="none" w:sz="0" w:space="0" w:color="auto"/>
            <w:bottom w:val="none" w:sz="0" w:space="0" w:color="auto"/>
            <w:right w:val="none" w:sz="0" w:space="0" w:color="auto"/>
          </w:divBdr>
          <w:divsChild>
            <w:div w:id="1023895644">
              <w:marLeft w:val="0"/>
              <w:marRight w:val="0"/>
              <w:marTop w:val="0"/>
              <w:marBottom w:val="0"/>
              <w:divBdr>
                <w:top w:val="none" w:sz="0" w:space="0" w:color="auto"/>
                <w:left w:val="none" w:sz="0" w:space="0" w:color="auto"/>
                <w:bottom w:val="none" w:sz="0" w:space="0" w:color="auto"/>
                <w:right w:val="none" w:sz="0" w:space="0" w:color="auto"/>
              </w:divBdr>
            </w:div>
          </w:divsChild>
        </w:div>
        <w:div w:id="1233466063">
          <w:marLeft w:val="0"/>
          <w:marRight w:val="0"/>
          <w:marTop w:val="0"/>
          <w:marBottom w:val="0"/>
          <w:divBdr>
            <w:top w:val="none" w:sz="0" w:space="0" w:color="auto"/>
            <w:left w:val="none" w:sz="0" w:space="0" w:color="auto"/>
            <w:bottom w:val="none" w:sz="0" w:space="0" w:color="auto"/>
            <w:right w:val="none" w:sz="0" w:space="0" w:color="auto"/>
          </w:divBdr>
          <w:divsChild>
            <w:div w:id="677077744">
              <w:marLeft w:val="0"/>
              <w:marRight w:val="0"/>
              <w:marTop w:val="0"/>
              <w:marBottom w:val="0"/>
              <w:divBdr>
                <w:top w:val="none" w:sz="0" w:space="0" w:color="auto"/>
                <w:left w:val="none" w:sz="0" w:space="0" w:color="auto"/>
                <w:bottom w:val="none" w:sz="0" w:space="0" w:color="auto"/>
                <w:right w:val="none" w:sz="0" w:space="0" w:color="auto"/>
              </w:divBdr>
            </w:div>
          </w:divsChild>
        </w:div>
        <w:div w:id="1249729285">
          <w:marLeft w:val="0"/>
          <w:marRight w:val="0"/>
          <w:marTop w:val="0"/>
          <w:marBottom w:val="0"/>
          <w:divBdr>
            <w:top w:val="none" w:sz="0" w:space="0" w:color="auto"/>
            <w:left w:val="none" w:sz="0" w:space="0" w:color="auto"/>
            <w:bottom w:val="none" w:sz="0" w:space="0" w:color="auto"/>
            <w:right w:val="none" w:sz="0" w:space="0" w:color="auto"/>
          </w:divBdr>
          <w:divsChild>
            <w:div w:id="676659922">
              <w:marLeft w:val="0"/>
              <w:marRight w:val="0"/>
              <w:marTop w:val="0"/>
              <w:marBottom w:val="0"/>
              <w:divBdr>
                <w:top w:val="none" w:sz="0" w:space="0" w:color="auto"/>
                <w:left w:val="none" w:sz="0" w:space="0" w:color="auto"/>
                <w:bottom w:val="none" w:sz="0" w:space="0" w:color="auto"/>
                <w:right w:val="none" w:sz="0" w:space="0" w:color="auto"/>
              </w:divBdr>
            </w:div>
          </w:divsChild>
        </w:div>
        <w:div w:id="1264266851">
          <w:marLeft w:val="0"/>
          <w:marRight w:val="0"/>
          <w:marTop w:val="0"/>
          <w:marBottom w:val="0"/>
          <w:divBdr>
            <w:top w:val="none" w:sz="0" w:space="0" w:color="auto"/>
            <w:left w:val="none" w:sz="0" w:space="0" w:color="auto"/>
            <w:bottom w:val="none" w:sz="0" w:space="0" w:color="auto"/>
            <w:right w:val="none" w:sz="0" w:space="0" w:color="auto"/>
          </w:divBdr>
          <w:divsChild>
            <w:div w:id="748843822">
              <w:marLeft w:val="0"/>
              <w:marRight w:val="0"/>
              <w:marTop w:val="0"/>
              <w:marBottom w:val="0"/>
              <w:divBdr>
                <w:top w:val="none" w:sz="0" w:space="0" w:color="auto"/>
                <w:left w:val="none" w:sz="0" w:space="0" w:color="auto"/>
                <w:bottom w:val="none" w:sz="0" w:space="0" w:color="auto"/>
                <w:right w:val="none" w:sz="0" w:space="0" w:color="auto"/>
              </w:divBdr>
            </w:div>
          </w:divsChild>
        </w:div>
        <w:div w:id="1299528338">
          <w:marLeft w:val="0"/>
          <w:marRight w:val="0"/>
          <w:marTop w:val="0"/>
          <w:marBottom w:val="0"/>
          <w:divBdr>
            <w:top w:val="none" w:sz="0" w:space="0" w:color="auto"/>
            <w:left w:val="none" w:sz="0" w:space="0" w:color="auto"/>
            <w:bottom w:val="none" w:sz="0" w:space="0" w:color="auto"/>
            <w:right w:val="none" w:sz="0" w:space="0" w:color="auto"/>
          </w:divBdr>
          <w:divsChild>
            <w:div w:id="1531649512">
              <w:marLeft w:val="0"/>
              <w:marRight w:val="0"/>
              <w:marTop w:val="0"/>
              <w:marBottom w:val="0"/>
              <w:divBdr>
                <w:top w:val="none" w:sz="0" w:space="0" w:color="auto"/>
                <w:left w:val="none" w:sz="0" w:space="0" w:color="auto"/>
                <w:bottom w:val="none" w:sz="0" w:space="0" w:color="auto"/>
                <w:right w:val="none" w:sz="0" w:space="0" w:color="auto"/>
              </w:divBdr>
            </w:div>
          </w:divsChild>
        </w:div>
        <w:div w:id="1352142188">
          <w:marLeft w:val="0"/>
          <w:marRight w:val="0"/>
          <w:marTop w:val="0"/>
          <w:marBottom w:val="0"/>
          <w:divBdr>
            <w:top w:val="none" w:sz="0" w:space="0" w:color="auto"/>
            <w:left w:val="none" w:sz="0" w:space="0" w:color="auto"/>
            <w:bottom w:val="none" w:sz="0" w:space="0" w:color="auto"/>
            <w:right w:val="none" w:sz="0" w:space="0" w:color="auto"/>
          </w:divBdr>
          <w:divsChild>
            <w:div w:id="83183900">
              <w:marLeft w:val="0"/>
              <w:marRight w:val="0"/>
              <w:marTop w:val="0"/>
              <w:marBottom w:val="0"/>
              <w:divBdr>
                <w:top w:val="none" w:sz="0" w:space="0" w:color="auto"/>
                <w:left w:val="none" w:sz="0" w:space="0" w:color="auto"/>
                <w:bottom w:val="none" w:sz="0" w:space="0" w:color="auto"/>
                <w:right w:val="none" w:sz="0" w:space="0" w:color="auto"/>
              </w:divBdr>
            </w:div>
          </w:divsChild>
        </w:div>
        <w:div w:id="1457141892">
          <w:marLeft w:val="0"/>
          <w:marRight w:val="0"/>
          <w:marTop w:val="0"/>
          <w:marBottom w:val="0"/>
          <w:divBdr>
            <w:top w:val="none" w:sz="0" w:space="0" w:color="auto"/>
            <w:left w:val="none" w:sz="0" w:space="0" w:color="auto"/>
            <w:bottom w:val="none" w:sz="0" w:space="0" w:color="auto"/>
            <w:right w:val="none" w:sz="0" w:space="0" w:color="auto"/>
          </w:divBdr>
          <w:divsChild>
            <w:div w:id="595334164">
              <w:marLeft w:val="0"/>
              <w:marRight w:val="0"/>
              <w:marTop w:val="0"/>
              <w:marBottom w:val="0"/>
              <w:divBdr>
                <w:top w:val="none" w:sz="0" w:space="0" w:color="auto"/>
                <w:left w:val="none" w:sz="0" w:space="0" w:color="auto"/>
                <w:bottom w:val="none" w:sz="0" w:space="0" w:color="auto"/>
                <w:right w:val="none" w:sz="0" w:space="0" w:color="auto"/>
              </w:divBdr>
            </w:div>
          </w:divsChild>
        </w:div>
        <w:div w:id="1457528998">
          <w:marLeft w:val="0"/>
          <w:marRight w:val="0"/>
          <w:marTop w:val="0"/>
          <w:marBottom w:val="0"/>
          <w:divBdr>
            <w:top w:val="none" w:sz="0" w:space="0" w:color="auto"/>
            <w:left w:val="none" w:sz="0" w:space="0" w:color="auto"/>
            <w:bottom w:val="none" w:sz="0" w:space="0" w:color="auto"/>
            <w:right w:val="none" w:sz="0" w:space="0" w:color="auto"/>
          </w:divBdr>
          <w:divsChild>
            <w:div w:id="742921386">
              <w:marLeft w:val="0"/>
              <w:marRight w:val="0"/>
              <w:marTop w:val="0"/>
              <w:marBottom w:val="0"/>
              <w:divBdr>
                <w:top w:val="none" w:sz="0" w:space="0" w:color="auto"/>
                <w:left w:val="none" w:sz="0" w:space="0" w:color="auto"/>
                <w:bottom w:val="none" w:sz="0" w:space="0" w:color="auto"/>
                <w:right w:val="none" w:sz="0" w:space="0" w:color="auto"/>
              </w:divBdr>
            </w:div>
          </w:divsChild>
        </w:div>
        <w:div w:id="1533154519">
          <w:marLeft w:val="0"/>
          <w:marRight w:val="0"/>
          <w:marTop w:val="0"/>
          <w:marBottom w:val="0"/>
          <w:divBdr>
            <w:top w:val="none" w:sz="0" w:space="0" w:color="auto"/>
            <w:left w:val="none" w:sz="0" w:space="0" w:color="auto"/>
            <w:bottom w:val="none" w:sz="0" w:space="0" w:color="auto"/>
            <w:right w:val="none" w:sz="0" w:space="0" w:color="auto"/>
          </w:divBdr>
          <w:divsChild>
            <w:div w:id="332533006">
              <w:marLeft w:val="0"/>
              <w:marRight w:val="0"/>
              <w:marTop w:val="0"/>
              <w:marBottom w:val="0"/>
              <w:divBdr>
                <w:top w:val="none" w:sz="0" w:space="0" w:color="auto"/>
                <w:left w:val="none" w:sz="0" w:space="0" w:color="auto"/>
                <w:bottom w:val="none" w:sz="0" w:space="0" w:color="auto"/>
                <w:right w:val="none" w:sz="0" w:space="0" w:color="auto"/>
              </w:divBdr>
            </w:div>
          </w:divsChild>
        </w:div>
        <w:div w:id="1586645405">
          <w:marLeft w:val="0"/>
          <w:marRight w:val="0"/>
          <w:marTop w:val="0"/>
          <w:marBottom w:val="0"/>
          <w:divBdr>
            <w:top w:val="none" w:sz="0" w:space="0" w:color="auto"/>
            <w:left w:val="none" w:sz="0" w:space="0" w:color="auto"/>
            <w:bottom w:val="none" w:sz="0" w:space="0" w:color="auto"/>
            <w:right w:val="none" w:sz="0" w:space="0" w:color="auto"/>
          </w:divBdr>
          <w:divsChild>
            <w:div w:id="2005929957">
              <w:marLeft w:val="0"/>
              <w:marRight w:val="0"/>
              <w:marTop w:val="0"/>
              <w:marBottom w:val="0"/>
              <w:divBdr>
                <w:top w:val="none" w:sz="0" w:space="0" w:color="auto"/>
                <w:left w:val="none" w:sz="0" w:space="0" w:color="auto"/>
                <w:bottom w:val="none" w:sz="0" w:space="0" w:color="auto"/>
                <w:right w:val="none" w:sz="0" w:space="0" w:color="auto"/>
              </w:divBdr>
            </w:div>
          </w:divsChild>
        </w:div>
        <w:div w:id="1620448240">
          <w:marLeft w:val="0"/>
          <w:marRight w:val="0"/>
          <w:marTop w:val="0"/>
          <w:marBottom w:val="0"/>
          <w:divBdr>
            <w:top w:val="none" w:sz="0" w:space="0" w:color="auto"/>
            <w:left w:val="none" w:sz="0" w:space="0" w:color="auto"/>
            <w:bottom w:val="none" w:sz="0" w:space="0" w:color="auto"/>
            <w:right w:val="none" w:sz="0" w:space="0" w:color="auto"/>
          </w:divBdr>
          <w:divsChild>
            <w:div w:id="283999170">
              <w:marLeft w:val="0"/>
              <w:marRight w:val="0"/>
              <w:marTop w:val="0"/>
              <w:marBottom w:val="0"/>
              <w:divBdr>
                <w:top w:val="none" w:sz="0" w:space="0" w:color="auto"/>
                <w:left w:val="none" w:sz="0" w:space="0" w:color="auto"/>
                <w:bottom w:val="none" w:sz="0" w:space="0" w:color="auto"/>
                <w:right w:val="none" w:sz="0" w:space="0" w:color="auto"/>
              </w:divBdr>
            </w:div>
          </w:divsChild>
        </w:div>
        <w:div w:id="1641154764">
          <w:marLeft w:val="0"/>
          <w:marRight w:val="0"/>
          <w:marTop w:val="0"/>
          <w:marBottom w:val="0"/>
          <w:divBdr>
            <w:top w:val="none" w:sz="0" w:space="0" w:color="auto"/>
            <w:left w:val="none" w:sz="0" w:space="0" w:color="auto"/>
            <w:bottom w:val="none" w:sz="0" w:space="0" w:color="auto"/>
            <w:right w:val="none" w:sz="0" w:space="0" w:color="auto"/>
          </w:divBdr>
          <w:divsChild>
            <w:div w:id="2132942299">
              <w:marLeft w:val="0"/>
              <w:marRight w:val="0"/>
              <w:marTop w:val="0"/>
              <w:marBottom w:val="0"/>
              <w:divBdr>
                <w:top w:val="none" w:sz="0" w:space="0" w:color="auto"/>
                <w:left w:val="none" w:sz="0" w:space="0" w:color="auto"/>
                <w:bottom w:val="none" w:sz="0" w:space="0" w:color="auto"/>
                <w:right w:val="none" w:sz="0" w:space="0" w:color="auto"/>
              </w:divBdr>
            </w:div>
          </w:divsChild>
        </w:div>
        <w:div w:id="1678848316">
          <w:marLeft w:val="0"/>
          <w:marRight w:val="0"/>
          <w:marTop w:val="0"/>
          <w:marBottom w:val="0"/>
          <w:divBdr>
            <w:top w:val="none" w:sz="0" w:space="0" w:color="auto"/>
            <w:left w:val="none" w:sz="0" w:space="0" w:color="auto"/>
            <w:bottom w:val="none" w:sz="0" w:space="0" w:color="auto"/>
            <w:right w:val="none" w:sz="0" w:space="0" w:color="auto"/>
          </w:divBdr>
          <w:divsChild>
            <w:div w:id="1410927256">
              <w:marLeft w:val="0"/>
              <w:marRight w:val="0"/>
              <w:marTop w:val="0"/>
              <w:marBottom w:val="0"/>
              <w:divBdr>
                <w:top w:val="none" w:sz="0" w:space="0" w:color="auto"/>
                <w:left w:val="none" w:sz="0" w:space="0" w:color="auto"/>
                <w:bottom w:val="none" w:sz="0" w:space="0" w:color="auto"/>
                <w:right w:val="none" w:sz="0" w:space="0" w:color="auto"/>
              </w:divBdr>
            </w:div>
          </w:divsChild>
        </w:div>
        <w:div w:id="1748190566">
          <w:marLeft w:val="0"/>
          <w:marRight w:val="0"/>
          <w:marTop w:val="0"/>
          <w:marBottom w:val="0"/>
          <w:divBdr>
            <w:top w:val="none" w:sz="0" w:space="0" w:color="auto"/>
            <w:left w:val="none" w:sz="0" w:space="0" w:color="auto"/>
            <w:bottom w:val="none" w:sz="0" w:space="0" w:color="auto"/>
            <w:right w:val="none" w:sz="0" w:space="0" w:color="auto"/>
          </w:divBdr>
          <w:divsChild>
            <w:div w:id="479422137">
              <w:marLeft w:val="0"/>
              <w:marRight w:val="0"/>
              <w:marTop w:val="0"/>
              <w:marBottom w:val="0"/>
              <w:divBdr>
                <w:top w:val="none" w:sz="0" w:space="0" w:color="auto"/>
                <w:left w:val="none" w:sz="0" w:space="0" w:color="auto"/>
                <w:bottom w:val="none" w:sz="0" w:space="0" w:color="auto"/>
                <w:right w:val="none" w:sz="0" w:space="0" w:color="auto"/>
              </w:divBdr>
            </w:div>
          </w:divsChild>
        </w:div>
        <w:div w:id="1775786295">
          <w:marLeft w:val="0"/>
          <w:marRight w:val="0"/>
          <w:marTop w:val="0"/>
          <w:marBottom w:val="0"/>
          <w:divBdr>
            <w:top w:val="none" w:sz="0" w:space="0" w:color="auto"/>
            <w:left w:val="none" w:sz="0" w:space="0" w:color="auto"/>
            <w:bottom w:val="none" w:sz="0" w:space="0" w:color="auto"/>
            <w:right w:val="none" w:sz="0" w:space="0" w:color="auto"/>
          </w:divBdr>
          <w:divsChild>
            <w:div w:id="352077138">
              <w:marLeft w:val="0"/>
              <w:marRight w:val="0"/>
              <w:marTop w:val="0"/>
              <w:marBottom w:val="0"/>
              <w:divBdr>
                <w:top w:val="none" w:sz="0" w:space="0" w:color="auto"/>
                <w:left w:val="none" w:sz="0" w:space="0" w:color="auto"/>
                <w:bottom w:val="none" w:sz="0" w:space="0" w:color="auto"/>
                <w:right w:val="none" w:sz="0" w:space="0" w:color="auto"/>
              </w:divBdr>
            </w:div>
          </w:divsChild>
        </w:div>
        <w:div w:id="1814448891">
          <w:marLeft w:val="0"/>
          <w:marRight w:val="0"/>
          <w:marTop w:val="0"/>
          <w:marBottom w:val="0"/>
          <w:divBdr>
            <w:top w:val="none" w:sz="0" w:space="0" w:color="auto"/>
            <w:left w:val="none" w:sz="0" w:space="0" w:color="auto"/>
            <w:bottom w:val="none" w:sz="0" w:space="0" w:color="auto"/>
            <w:right w:val="none" w:sz="0" w:space="0" w:color="auto"/>
          </w:divBdr>
          <w:divsChild>
            <w:div w:id="767121000">
              <w:marLeft w:val="0"/>
              <w:marRight w:val="0"/>
              <w:marTop w:val="0"/>
              <w:marBottom w:val="0"/>
              <w:divBdr>
                <w:top w:val="none" w:sz="0" w:space="0" w:color="auto"/>
                <w:left w:val="none" w:sz="0" w:space="0" w:color="auto"/>
                <w:bottom w:val="none" w:sz="0" w:space="0" w:color="auto"/>
                <w:right w:val="none" w:sz="0" w:space="0" w:color="auto"/>
              </w:divBdr>
            </w:div>
          </w:divsChild>
        </w:div>
        <w:div w:id="1856072360">
          <w:marLeft w:val="0"/>
          <w:marRight w:val="0"/>
          <w:marTop w:val="0"/>
          <w:marBottom w:val="0"/>
          <w:divBdr>
            <w:top w:val="none" w:sz="0" w:space="0" w:color="auto"/>
            <w:left w:val="none" w:sz="0" w:space="0" w:color="auto"/>
            <w:bottom w:val="none" w:sz="0" w:space="0" w:color="auto"/>
            <w:right w:val="none" w:sz="0" w:space="0" w:color="auto"/>
          </w:divBdr>
          <w:divsChild>
            <w:div w:id="506868102">
              <w:marLeft w:val="0"/>
              <w:marRight w:val="0"/>
              <w:marTop w:val="0"/>
              <w:marBottom w:val="0"/>
              <w:divBdr>
                <w:top w:val="none" w:sz="0" w:space="0" w:color="auto"/>
                <w:left w:val="none" w:sz="0" w:space="0" w:color="auto"/>
                <w:bottom w:val="none" w:sz="0" w:space="0" w:color="auto"/>
                <w:right w:val="none" w:sz="0" w:space="0" w:color="auto"/>
              </w:divBdr>
            </w:div>
          </w:divsChild>
        </w:div>
        <w:div w:id="1867213509">
          <w:marLeft w:val="0"/>
          <w:marRight w:val="0"/>
          <w:marTop w:val="0"/>
          <w:marBottom w:val="0"/>
          <w:divBdr>
            <w:top w:val="none" w:sz="0" w:space="0" w:color="auto"/>
            <w:left w:val="none" w:sz="0" w:space="0" w:color="auto"/>
            <w:bottom w:val="none" w:sz="0" w:space="0" w:color="auto"/>
            <w:right w:val="none" w:sz="0" w:space="0" w:color="auto"/>
          </w:divBdr>
          <w:divsChild>
            <w:div w:id="735398516">
              <w:marLeft w:val="0"/>
              <w:marRight w:val="0"/>
              <w:marTop w:val="0"/>
              <w:marBottom w:val="0"/>
              <w:divBdr>
                <w:top w:val="none" w:sz="0" w:space="0" w:color="auto"/>
                <w:left w:val="none" w:sz="0" w:space="0" w:color="auto"/>
                <w:bottom w:val="none" w:sz="0" w:space="0" w:color="auto"/>
                <w:right w:val="none" w:sz="0" w:space="0" w:color="auto"/>
              </w:divBdr>
            </w:div>
          </w:divsChild>
        </w:div>
        <w:div w:id="1868760083">
          <w:marLeft w:val="0"/>
          <w:marRight w:val="0"/>
          <w:marTop w:val="0"/>
          <w:marBottom w:val="0"/>
          <w:divBdr>
            <w:top w:val="none" w:sz="0" w:space="0" w:color="auto"/>
            <w:left w:val="none" w:sz="0" w:space="0" w:color="auto"/>
            <w:bottom w:val="none" w:sz="0" w:space="0" w:color="auto"/>
            <w:right w:val="none" w:sz="0" w:space="0" w:color="auto"/>
          </w:divBdr>
          <w:divsChild>
            <w:div w:id="529489656">
              <w:marLeft w:val="0"/>
              <w:marRight w:val="0"/>
              <w:marTop w:val="0"/>
              <w:marBottom w:val="0"/>
              <w:divBdr>
                <w:top w:val="none" w:sz="0" w:space="0" w:color="auto"/>
                <w:left w:val="none" w:sz="0" w:space="0" w:color="auto"/>
                <w:bottom w:val="none" w:sz="0" w:space="0" w:color="auto"/>
                <w:right w:val="none" w:sz="0" w:space="0" w:color="auto"/>
              </w:divBdr>
            </w:div>
          </w:divsChild>
        </w:div>
        <w:div w:id="1900089767">
          <w:marLeft w:val="0"/>
          <w:marRight w:val="0"/>
          <w:marTop w:val="0"/>
          <w:marBottom w:val="0"/>
          <w:divBdr>
            <w:top w:val="none" w:sz="0" w:space="0" w:color="auto"/>
            <w:left w:val="none" w:sz="0" w:space="0" w:color="auto"/>
            <w:bottom w:val="none" w:sz="0" w:space="0" w:color="auto"/>
            <w:right w:val="none" w:sz="0" w:space="0" w:color="auto"/>
          </w:divBdr>
          <w:divsChild>
            <w:div w:id="1553030774">
              <w:marLeft w:val="0"/>
              <w:marRight w:val="0"/>
              <w:marTop w:val="0"/>
              <w:marBottom w:val="0"/>
              <w:divBdr>
                <w:top w:val="none" w:sz="0" w:space="0" w:color="auto"/>
                <w:left w:val="none" w:sz="0" w:space="0" w:color="auto"/>
                <w:bottom w:val="none" w:sz="0" w:space="0" w:color="auto"/>
                <w:right w:val="none" w:sz="0" w:space="0" w:color="auto"/>
              </w:divBdr>
            </w:div>
          </w:divsChild>
        </w:div>
        <w:div w:id="1908803068">
          <w:marLeft w:val="0"/>
          <w:marRight w:val="0"/>
          <w:marTop w:val="0"/>
          <w:marBottom w:val="0"/>
          <w:divBdr>
            <w:top w:val="none" w:sz="0" w:space="0" w:color="auto"/>
            <w:left w:val="none" w:sz="0" w:space="0" w:color="auto"/>
            <w:bottom w:val="none" w:sz="0" w:space="0" w:color="auto"/>
            <w:right w:val="none" w:sz="0" w:space="0" w:color="auto"/>
          </w:divBdr>
          <w:divsChild>
            <w:div w:id="1724791174">
              <w:marLeft w:val="0"/>
              <w:marRight w:val="0"/>
              <w:marTop w:val="0"/>
              <w:marBottom w:val="0"/>
              <w:divBdr>
                <w:top w:val="none" w:sz="0" w:space="0" w:color="auto"/>
                <w:left w:val="none" w:sz="0" w:space="0" w:color="auto"/>
                <w:bottom w:val="none" w:sz="0" w:space="0" w:color="auto"/>
                <w:right w:val="none" w:sz="0" w:space="0" w:color="auto"/>
              </w:divBdr>
            </w:div>
          </w:divsChild>
        </w:div>
        <w:div w:id="1910340769">
          <w:marLeft w:val="0"/>
          <w:marRight w:val="0"/>
          <w:marTop w:val="0"/>
          <w:marBottom w:val="0"/>
          <w:divBdr>
            <w:top w:val="none" w:sz="0" w:space="0" w:color="auto"/>
            <w:left w:val="none" w:sz="0" w:space="0" w:color="auto"/>
            <w:bottom w:val="none" w:sz="0" w:space="0" w:color="auto"/>
            <w:right w:val="none" w:sz="0" w:space="0" w:color="auto"/>
          </w:divBdr>
          <w:divsChild>
            <w:div w:id="1269774726">
              <w:marLeft w:val="0"/>
              <w:marRight w:val="0"/>
              <w:marTop w:val="0"/>
              <w:marBottom w:val="0"/>
              <w:divBdr>
                <w:top w:val="none" w:sz="0" w:space="0" w:color="auto"/>
                <w:left w:val="none" w:sz="0" w:space="0" w:color="auto"/>
                <w:bottom w:val="none" w:sz="0" w:space="0" w:color="auto"/>
                <w:right w:val="none" w:sz="0" w:space="0" w:color="auto"/>
              </w:divBdr>
            </w:div>
          </w:divsChild>
        </w:div>
        <w:div w:id="1961953120">
          <w:marLeft w:val="0"/>
          <w:marRight w:val="0"/>
          <w:marTop w:val="0"/>
          <w:marBottom w:val="0"/>
          <w:divBdr>
            <w:top w:val="none" w:sz="0" w:space="0" w:color="auto"/>
            <w:left w:val="none" w:sz="0" w:space="0" w:color="auto"/>
            <w:bottom w:val="none" w:sz="0" w:space="0" w:color="auto"/>
            <w:right w:val="none" w:sz="0" w:space="0" w:color="auto"/>
          </w:divBdr>
          <w:divsChild>
            <w:div w:id="292490184">
              <w:marLeft w:val="0"/>
              <w:marRight w:val="0"/>
              <w:marTop w:val="0"/>
              <w:marBottom w:val="0"/>
              <w:divBdr>
                <w:top w:val="none" w:sz="0" w:space="0" w:color="auto"/>
                <w:left w:val="none" w:sz="0" w:space="0" w:color="auto"/>
                <w:bottom w:val="none" w:sz="0" w:space="0" w:color="auto"/>
                <w:right w:val="none" w:sz="0" w:space="0" w:color="auto"/>
              </w:divBdr>
            </w:div>
          </w:divsChild>
        </w:div>
        <w:div w:id="1985548751">
          <w:marLeft w:val="0"/>
          <w:marRight w:val="0"/>
          <w:marTop w:val="0"/>
          <w:marBottom w:val="0"/>
          <w:divBdr>
            <w:top w:val="none" w:sz="0" w:space="0" w:color="auto"/>
            <w:left w:val="none" w:sz="0" w:space="0" w:color="auto"/>
            <w:bottom w:val="none" w:sz="0" w:space="0" w:color="auto"/>
            <w:right w:val="none" w:sz="0" w:space="0" w:color="auto"/>
          </w:divBdr>
          <w:divsChild>
            <w:div w:id="2019964284">
              <w:marLeft w:val="0"/>
              <w:marRight w:val="0"/>
              <w:marTop w:val="0"/>
              <w:marBottom w:val="0"/>
              <w:divBdr>
                <w:top w:val="none" w:sz="0" w:space="0" w:color="auto"/>
                <w:left w:val="none" w:sz="0" w:space="0" w:color="auto"/>
                <w:bottom w:val="none" w:sz="0" w:space="0" w:color="auto"/>
                <w:right w:val="none" w:sz="0" w:space="0" w:color="auto"/>
              </w:divBdr>
            </w:div>
          </w:divsChild>
        </w:div>
        <w:div w:id="2057510506">
          <w:marLeft w:val="0"/>
          <w:marRight w:val="0"/>
          <w:marTop w:val="0"/>
          <w:marBottom w:val="0"/>
          <w:divBdr>
            <w:top w:val="none" w:sz="0" w:space="0" w:color="auto"/>
            <w:left w:val="none" w:sz="0" w:space="0" w:color="auto"/>
            <w:bottom w:val="none" w:sz="0" w:space="0" w:color="auto"/>
            <w:right w:val="none" w:sz="0" w:space="0" w:color="auto"/>
          </w:divBdr>
          <w:divsChild>
            <w:div w:id="627322002">
              <w:marLeft w:val="0"/>
              <w:marRight w:val="0"/>
              <w:marTop w:val="0"/>
              <w:marBottom w:val="0"/>
              <w:divBdr>
                <w:top w:val="none" w:sz="0" w:space="0" w:color="auto"/>
                <w:left w:val="none" w:sz="0" w:space="0" w:color="auto"/>
                <w:bottom w:val="none" w:sz="0" w:space="0" w:color="auto"/>
                <w:right w:val="none" w:sz="0" w:space="0" w:color="auto"/>
              </w:divBdr>
            </w:div>
          </w:divsChild>
        </w:div>
        <w:div w:id="2077586305">
          <w:marLeft w:val="0"/>
          <w:marRight w:val="0"/>
          <w:marTop w:val="0"/>
          <w:marBottom w:val="0"/>
          <w:divBdr>
            <w:top w:val="none" w:sz="0" w:space="0" w:color="auto"/>
            <w:left w:val="none" w:sz="0" w:space="0" w:color="auto"/>
            <w:bottom w:val="none" w:sz="0" w:space="0" w:color="auto"/>
            <w:right w:val="none" w:sz="0" w:space="0" w:color="auto"/>
          </w:divBdr>
          <w:divsChild>
            <w:div w:id="3806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D357-B62C-4475-940B-730958031FD0}">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4</TotalTime>
  <Pages>31</Pages>
  <Words>15574</Words>
  <Characters>85662</Characters>
  <Application>Microsoft Office Word</Application>
  <DocSecurity>0</DocSecurity>
  <Lines>713</Lines>
  <Paragraphs>202</Paragraphs>
  <ScaleCrop>false</ScaleCrop>
  <Company/>
  <LinksUpToDate>false</LinksUpToDate>
  <CharactersWithSpaces>101034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Aldair Mejia Molina</dc:creator>
  <cp:keywords/>
  <dc:description/>
  <cp:lastModifiedBy>Rodrigo Ortega Arreguin</cp:lastModifiedBy>
  <cp:revision>3</cp:revision>
  <cp:lastPrinted>2024-09-18T15:18:00Z</cp:lastPrinted>
  <dcterms:created xsi:type="dcterms:W3CDTF">2024-09-18T15:18:00Z</dcterms:created>
  <dcterms:modified xsi:type="dcterms:W3CDTF">2024-09-18T15:19:00Z</dcterms:modified>
</cp:coreProperties>
</file>