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8BE7F" w14:textId="77777777" w:rsidR="00D843BC" w:rsidRDefault="00D843BC" w:rsidP="00D843BC">
      <w:pPr>
        <w:spacing w:after="0" w:line="276" w:lineRule="auto"/>
        <w:jc w:val="both"/>
        <w:rPr>
          <w:rFonts w:ascii="ITC Avant Garde" w:hAnsi="ITC Avant Garde"/>
          <w:bCs/>
          <w:sz w:val="20"/>
          <w:szCs w:val="20"/>
        </w:rPr>
      </w:pPr>
      <w:bookmarkStart w:id="0" w:name="_GoBack"/>
      <w:bookmarkEnd w:id="0"/>
    </w:p>
    <w:p w14:paraId="2501055F" w14:textId="40BD90CC" w:rsidR="00D843BC" w:rsidRPr="00D843BC" w:rsidRDefault="00D843BC" w:rsidP="00D843BC">
      <w:pPr>
        <w:spacing w:after="0" w:line="276" w:lineRule="auto"/>
        <w:jc w:val="right"/>
        <w:rPr>
          <w:rFonts w:ascii="ITC Avant Garde" w:hAnsi="ITC Avant Garde"/>
          <w:bCs/>
          <w:sz w:val="20"/>
          <w:szCs w:val="20"/>
        </w:rPr>
      </w:pPr>
      <w:r w:rsidRPr="00D843BC">
        <w:rPr>
          <w:rFonts w:ascii="ITC Avant Garde" w:hAnsi="ITC Avant Garde"/>
          <w:bCs/>
          <w:sz w:val="20"/>
          <w:szCs w:val="20"/>
        </w:rPr>
        <w:t>Ciudad de México, a 24 de mayo de 2022.</w:t>
      </w:r>
    </w:p>
    <w:p w14:paraId="1E625B7B" w14:textId="77777777" w:rsidR="00D843BC" w:rsidRPr="00D843BC" w:rsidRDefault="00D843BC" w:rsidP="00C47D2A">
      <w:pPr>
        <w:spacing w:after="0" w:line="276" w:lineRule="auto"/>
        <w:jc w:val="both"/>
        <w:rPr>
          <w:rFonts w:ascii="ITC Avant Garde" w:hAnsi="ITC Avant Garde"/>
          <w:b/>
          <w:sz w:val="20"/>
          <w:szCs w:val="20"/>
        </w:rPr>
      </w:pPr>
    </w:p>
    <w:p w14:paraId="723E3EE8" w14:textId="77777777" w:rsidR="00D843BC" w:rsidRPr="00D843BC" w:rsidRDefault="00D843BC" w:rsidP="00C47D2A">
      <w:pPr>
        <w:spacing w:after="0" w:line="276" w:lineRule="auto"/>
        <w:jc w:val="both"/>
        <w:rPr>
          <w:rFonts w:ascii="ITC Avant Garde" w:hAnsi="ITC Avant Garde"/>
          <w:b/>
          <w:sz w:val="20"/>
          <w:szCs w:val="20"/>
        </w:rPr>
      </w:pPr>
    </w:p>
    <w:p w14:paraId="441647C3" w14:textId="3E5C33DB" w:rsidR="002936C4" w:rsidRPr="00D843BC" w:rsidRDefault="00737FCB" w:rsidP="00C47D2A">
      <w:pPr>
        <w:spacing w:after="0" w:line="276" w:lineRule="auto"/>
        <w:jc w:val="both"/>
        <w:rPr>
          <w:rFonts w:ascii="ITC Avant Garde" w:hAnsi="ITC Avant Garde"/>
          <w:b/>
          <w:sz w:val="20"/>
          <w:szCs w:val="20"/>
        </w:rPr>
      </w:pPr>
      <w:r w:rsidRPr="00D843BC">
        <w:rPr>
          <w:rFonts w:ascii="ITC Avant Garde" w:hAnsi="ITC Avant Garde"/>
          <w:b/>
          <w:sz w:val="20"/>
          <w:szCs w:val="20"/>
        </w:rPr>
        <w:t xml:space="preserve">RESPUESTAS GENERALES </w:t>
      </w:r>
      <w:r w:rsidR="00C233C4" w:rsidRPr="00D843BC">
        <w:rPr>
          <w:rFonts w:ascii="ITC Avant Garde" w:hAnsi="ITC Avant Garde"/>
          <w:b/>
          <w:sz w:val="20"/>
          <w:szCs w:val="20"/>
        </w:rPr>
        <w:t xml:space="preserve">DEL INSTITUTO FEDERAL DE TELECOMUNICACIONES </w:t>
      </w:r>
      <w:r w:rsidRPr="00D843BC">
        <w:rPr>
          <w:rFonts w:ascii="ITC Avant Garde" w:hAnsi="ITC Avant Garde"/>
          <w:b/>
          <w:sz w:val="20"/>
          <w:szCs w:val="20"/>
        </w:rPr>
        <w:t xml:space="preserve">A LOS COMENTARIOS, OPINIONES Y MANIFESTACIONES RECIBIDAS </w:t>
      </w:r>
      <w:r w:rsidR="002936C4" w:rsidRPr="00D843BC">
        <w:rPr>
          <w:rFonts w:ascii="ITC Avant Garde" w:hAnsi="ITC Avant Garde"/>
          <w:b/>
          <w:sz w:val="20"/>
          <w:szCs w:val="20"/>
        </w:rPr>
        <w:t>DURANTE LA CONSULTA PÚBLICA DEL:</w:t>
      </w:r>
    </w:p>
    <w:p w14:paraId="25CBD810" w14:textId="77777777" w:rsidR="00C47D2A" w:rsidRPr="00D843BC" w:rsidRDefault="00C47D2A" w:rsidP="00C47D2A">
      <w:pPr>
        <w:spacing w:after="0" w:line="276" w:lineRule="auto"/>
        <w:jc w:val="both"/>
        <w:rPr>
          <w:rFonts w:ascii="ITC Avant Garde" w:hAnsi="ITC Avant Garde"/>
          <w:b/>
          <w:sz w:val="20"/>
          <w:szCs w:val="20"/>
        </w:rPr>
      </w:pPr>
    </w:p>
    <w:p w14:paraId="182C9796" w14:textId="77777777" w:rsidR="002936C4" w:rsidRPr="00D843BC" w:rsidRDefault="005F3A0F" w:rsidP="00C47D2A">
      <w:pPr>
        <w:spacing w:after="0" w:line="276" w:lineRule="auto"/>
        <w:jc w:val="both"/>
        <w:rPr>
          <w:rFonts w:ascii="ITC Avant Garde" w:hAnsi="ITC Avant Garde"/>
          <w:b/>
          <w:sz w:val="20"/>
          <w:szCs w:val="20"/>
        </w:rPr>
      </w:pPr>
      <w:r w:rsidRPr="00D843BC">
        <w:rPr>
          <w:rFonts w:ascii="ITC Avant Garde" w:hAnsi="ITC Avant Garde"/>
          <w:b/>
          <w:sz w:val="20"/>
          <w:szCs w:val="20"/>
        </w:rPr>
        <w:t>“</w:t>
      </w:r>
      <w:r w:rsidR="006D2FD7" w:rsidRPr="00D843BC">
        <w:rPr>
          <w:rFonts w:ascii="ITC Avant Garde" w:hAnsi="ITC Avant Garde"/>
          <w:b/>
          <w:sz w:val="20"/>
          <w:szCs w:val="20"/>
        </w:rPr>
        <w:t>ANTEPROYECTO DE ACUERDO MEDIANTE EL CUAL EL PLENO DEL INSTITUTO FEDERAL DE TELECOMUNICACIONES ADICIONA LA FRACCIÓN XV DEL ARTÍCULO 4 DE LOS LINEAMIENTOS DEL REGISTRO PÚBLICO DE CONCESIONES</w:t>
      </w:r>
      <w:r w:rsidRPr="00D843BC">
        <w:rPr>
          <w:rFonts w:ascii="ITC Avant Garde" w:hAnsi="ITC Avant Garde"/>
          <w:b/>
          <w:sz w:val="20"/>
          <w:szCs w:val="20"/>
        </w:rPr>
        <w:t>”</w:t>
      </w:r>
    </w:p>
    <w:p w14:paraId="01C00AB2" w14:textId="77777777" w:rsidR="00C47D2A" w:rsidRPr="00D843BC" w:rsidRDefault="00C47D2A" w:rsidP="00C47D2A">
      <w:pPr>
        <w:spacing w:after="0" w:line="276" w:lineRule="auto"/>
        <w:jc w:val="both"/>
        <w:rPr>
          <w:rFonts w:ascii="ITC Avant Garde" w:hAnsi="ITC Avant Garde"/>
          <w:b/>
          <w:sz w:val="20"/>
          <w:szCs w:val="20"/>
        </w:rPr>
      </w:pPr>
    </w:p>
    <w:p w14:paraId="10D03671" w14:textId="77777777" w:rsidR="00D843BC" w:rsidRPr="00D843BC" w:rsidRDefault="00D843BC" w:rsidP="00D843BC">
      <w:pPr>
        <w:spacing w:after="0" w:line="276" w:lineRule="auto"/>
        <w:jc w:val="both"/>
        <w:rPr>
          <w:rFonts w:ascii="ITC Avant Garde" w:hAnsi="ITC Avant Garde"/>
          <w:b/>
          <w:sz w:val="20"/>
          <w:szCs w:val="20"/>
        </w:rPr>
      </w:pPr>
      <w:r w:rsidRPr="00D843BC">
        <w:rPr>
          <w:rFonts w:ascii="ITC Avant Garde" w:hAnsi="ITC Avant Garde"/>
          <w:b/>
          <w:sz w:val="20"/>
          <w:szCs w:val="20"/>
        </w:rPr>
        <w:t>OBJETIVO DE LA CONSULTA PÚBLICA</w:t>
      </w:r>
    </w:p>
    <w:p w14:paraId="1EC54254" w14:textId="77777777" w:rsidR="00D843BC" w:rsidRPr="00D843BC" w:rsidRDefault="00D843BC" w:rsidP="00D843BC">
      <w:pPr>
        <w:spacing w:after="0" w:line="276" w:lineRule="auto"/>
        <w:jc w:val="both"/>
        <w:rPr>
          <w:rFonts w:ascii="ITC Avant Garde" w:hAnsi="ITC Avant Garde"/>
          <w:b/>
          <w:sz w:val="20"/>
          <w:szCs w:val="20"/>
        </w:rPr>
      </w:pPr>
    </w:p>
    <w:p w14:paraId="108E499D" w14:textId="76757831" w:rsidR="00D843BC" w:rsidRPr="00D843BC" w:rsidRDefault="00D843BC" w:rsidP="00D843BC">
      <w:pPr>
        <w:jc w:val="both"/>
        <w:rPr>
          <w:rFonts w:ascii="ITC Avant Garde" w:hAnsi="ITC Avant Garde"/>
          <w:sz w:val="20"/>
          <w:szCs w:val="20"/>
        </w:rPr>
      </w:pPr>
      <w:r w:rsidRPr="00D843BC">
        <w:rPr>
          <w:rFonts w:ascii="ITC Avant Garde" w:hAnsi="ITC Avant Garde"/>
          <w:sz w:val="20"/>
          <w:szCs w:val="20"/>
        </w:rPr>
        <w:t>La Consulta Pública se llevó a cabo con el objeto de transparentar y dar a conocer la propuesta de modificar los Lineamientos del Registro</w:t>
      </w:r>
      <w:r w:rsidRPr="00D843BC">
        <w:rPr>
          <w:rFonts w:ascii="ITC Avant Garde" w:hAnsi="ITC Avant Garde"/>
          <w:sz w:val="20"/>
          <w:szCs w:val="20"/>
          <w:u w:val="words"/>
        </w:rPr>
        <w:t xml:space="preserve"> </w:t>
      </w:r>
      <w:r w:rsidRPr="00D843BC">
        <w:rPr>
          <w:rFonts w:ascii="ITC Avant Garde" w:hAnsi="ITC Avant Garde"/>
          <w:sz w:val="20"/>
          <w:szCs w:val="20"/>
        </w:rPr>
        <w:t xml:space="preserve">Público de Concesiones a fin de adicionar una fracción al artículo 4 </w:t>
      </w:r>
      <w:r>
        <w:rPr>
          <w:rFonts w:ascii="ITC Avant Garde" w:hAnsi="ITC Avant Garde"/>
          <w:sz w:val="20"/>
          <w:szCs w:val="20"/>
        </w:rPr>
        <w:t xml:space="preserve">de dicho ordenamiento, </w:t>
      </w:r>
      <w:r w:rsidRPr="00D843BC">
        <w:rPr>
          <w:rFonts w:ascii="ITC Avant Garde" w:hAnsi="ITC Avant Garde"/>
          <w:sz w:val="20"/>
          <w:szCs w:val="20"/>
        </w:rPr>
        <w:t xml:space="preserve">que da sustento jurídico a las inscripciones en el Registro Público de Concesiones, tal fracción </w:t>
      </w:r>
      <w:r>
        <w:rPr>
          <w:rFonts w:ascii="ITC Avant Garde" w:hAnsi="ITC Avant Garde"/>
          <w:sz w:val="20"/>
          <w:szCs w:val="20"/>
        </w:rPr>
        <w:t xml:space="preserve">a adicionar </w:t>
      </w:r>
      <w:r w:rsidRPr="00D843BC">
        <w:rPr>
          <w:rFonts w:ascii="ITC Avant Garde" w:hAnsi="ITC Avant Garde"/>
          <w:sz w:val="20"/>
          <w:szCs w:val="20"/>
        </w:rPr>
        <w:t>refiere a las sanciones impuestas por el Tribunal Electoral del Poder Judicial de la Federación a concesionarios de telecomunicaciones y radiodifusión; con el propósito de que las personas interesadas, tuvieran conocimiento de los términos propuestos por el Instituto y, a partir de ello, formular a este órgano regulador sus comentarios, opiniones o aportaciones que permitan fortalecer dicha propuesta normativa, así como para afinar con mayor precisión los posibles impactos que se desprendan a razón de su posible entrada en vigor.</w:t>
      </w:r>
    </w:p>
    <w:p w14:paraId="3DAACF3F" w14:textId="215500A3" w:rsidR="00D843BC" w:rsidRPr="00D843BC" w:rsidRDefault="00D843BC" w:rsidP="00D843BC">
      <w:pPr>
        <w:jc w:val="both"/>
        <w:rPr>
          <w:rFonts w:ascii="ITC Avant Garde" w:hAnsi="ITC Avant Garde"/>
          <w:sz w:val="20"/>
          <w:szCs w:val="20"/>
        </w:rPr>
      </w:pPr>
      <w:r w:rsidRPr="00D843BC">
        <w:rPr>
          <w:rFonts w:ascii="ITC Avant Garde" w:hAnsi="ITC Avant Garde"/>
          <w:sz w:val="20"/>
          <w:szCs w:val="20"/>
        </w:rPr>
        <w:t xml:space="preserve">La Consulta Pública se llevó a cabo del 11 de marzo al 08 de abril de 2022 y la </w:t>
      </w:r>
      <w:r>
        <w:rPr>
          <w:rFonts w:ascii="ITC Avant Garde" w:hAnsi="ITC Avant Garde"/>
          <w:sz w:val="20"/>
          <w:szCs w:val="20"/>
        </w:rPr>
        <w:t xml:space="preserve">Dirección General Adjunta del Registro Público de Telecomunicaciones de la </w:t>
      </w:r>
      <w:r w:rsidRPr="00D843BC">
        <w:rPr>
          <w:rFonts w:ascii="ITC Avant Garde" w:hAnsi="ITC Avant Garde"/>
          <w:sz w:val="20"/>
          <w:szCs w:val="20"/>
        </w:rPr>
        <w:t xml:space="preserve">Unidad de Concesiones y Servicios del Instituto Federal de Telecomunicaciones es </w:t>
      </w:r>
      <w:r>
        <w:rPr>
          <w:rFonts w:ascii="ITC Avant Garde" w:hAnsi="ITC Avant Garde"/>
          <w:sz w:val="20"/>
          <w:szCs w:val="20"/>
        </w:rPr>
        <w:t>el área administrativa</w:t>
      </w:r>
      <w:r w:rsidRPr="00D843BC">
        <w:rPr>
          <w:rFonts w:ascii="ITC Avant Garde" w:hAnsi="ITC Avant Garde"/>
          <w:sz w:val="20"/>
          <w:szCs w:val="20"/>
        </w:rPr>
        <w:t xml:space="preserve"> responsable de dich</w:t>
      </w:r>
      <w:r>
        <w:rPr>
          <w:rFonts w:ascii="ITC Avant Garde" w:hAnsi="ITC Avant Garde"/>
          <w:sz w:val="20"/>
          <w:szCs w:val="20"/>
        </w:rPr>
        <w:t xml:space="preserve">o proceso </w:t>
      </w:r>
      <w:proofErr w:type="spellStart"/>
      <w:r>
        <w:rPr>
          <w:rFonts w:ascii="ITC Avant Garde" w:hAnsi="ITC Avant Garde"/>
          <w:sz w:val="20"/>
          <w:szCs w:val="20"/>
        </w:rPr>
        <w:t>consultvo</w:t>
      </w:r>
      <w:proofErr w:type="spellEnd"/>
      <w:r w:rsidRPr="00D843BC">
        <w:rPr>
          <w:rFonts w:ascii="ITC Avant Garde" w:hAnsi="ITC Avant Garde"/>
          <w:sz w:val="20"/>
          <w:szCs w:val="20"/>
        </w:rPr>
        <w:t>.</w:t>
      </w:r>
    </w:p>
    <w:p w14:paraId="5CDD7B1A" w14:textId="77777777" w:rsidR="00D843BC" w:rsidRPr="00D843BC" w:rsidRDefault="00D843BC" w:rsidP="00D843BC">
      <w:pPr>
        <w:spacing w:after="0" w:line="276" w:lineRule="auto"/>
        <w:jc w:val="both"/>
        <w:rPr>
          <w:rFonts w:ascii="ITC Avant Garde" w:hAnsi="ITC Avant Garde"/>
          <w:sz w:val="20"/>
          <w:szCs w:val="20"/>
        </w:rPr>
      </w:pPr>
    </w:p>
    <w:p w14:paraId="37C87EC5" w14:textId="77777777" w:rsidR="00D843BC" w:rsidRPr="00D843BC" w:rsidRDefault="00D843BC" w:rsidP="00D843BC">
      <w:pPr>
        <w:jc w:val="both"/>
        <w:rPr>
          <w:rFonts w:ascii="ITC Avant Garde" w:hAnsi="ITC Avant Garde"/>
          <w:b/>
          <w:sz w:val="20"/>
          <w:szCs w:val="20"/>
        </w:rPr>
      </w:pPr>
      <w:r w:rsidRPr="00D843BC">
        <w:rPr>
          <w:rFonts w:ascii="ITC Avant Garde" w:hAnsi="ITC Avant Garde"/>
          <w:b/>
          <w:sz w:val="20"/>
          <w:szCs w:val="20"/>
        </w:rPr>
        <w:t>DESCRIPCIÓN DE LA CONSULTA PÚBLICA</w:t>
      </w:r>
    </w:p>
    <w:p w14:paraId="21B41BBE" w14:textId="77777777" w:rsidR="00D843BC" w:rsidRPr="00D843BC" w:rsidRDefault="00D843BC" w:rsidP="00D843BC">
      <w:pPr>
        <w:jc w:val="both"/>
        <w:rPr>
          <w:rFonts w:ascii="ITC Avant Garde" w:hAnsi="ITC Avant Garde"/>
          <w:sz w:val="20"/>
          <w:szCs w:val="20"/>
        </w:rPr>
      </w:pPr>
      <w:r w:rsidRPr="00D843BC">
        <w:rPr>
          <w:rFonts w:ascii="ITC Avant Garde" w:hAnsi="ITC Avant Garde"/>
          <w:sz w:val="20"/>
          <w:szCs w:val="20"/>
        </w:rPr>
        <w:t xml:space="preserve">El Instituto recibió los comentarios de la Consulta Pública en el correo electrónico </w:t>
      </w:r>
      <w:hyperlink r:id="rId7" w:history="1">
        <w:r w:rsidRPr="00D843BC">
          <w:rPr>
            <w:rStyle w:val="Hipervnculo"/>
            <w:rFonts w:ascii="ITC Avant Garde" w:hAnsi="ITC Avant Garde"/>
            <w:sz w:val="20"/>
            <w:szCs w:val="20"/>
          </w:rPr>
          <w:t>lineamientos.registro@ift.org.mx</w:t>
        </w:r>
      </w:hyperlink>
      <w:r w:rsidRPr="00D843BC">
        <w:rPr>
          <w:rFonts w:ascii="ITC Avant Garde" w:hAnsi="ITC Avant Garde"/>
          <w:sz w:val="20"/>
          <w:szCs w:val="20"/>
        </w:rPr>
        <w:t xml:space="preserve">, para lo cual puso a disposición en el portal del Instituto el </w:t>
      </w:r>
      <w:r w:rsidRPr="00D843BC">
        <w:rPr>
          <w:rFonts w:ascii="ITC Avant Garde" w:hAnsi="ITC Avant Garde"/>
          <w:b/>
          <w:sz w:val="20"/>
          <w:szCs w:val="20"/>
        </w:rPr>
        <w:t>“Formato para participar en la Consulta Pública”</w:t>
      </w:r>
    </w:p>
    <w:p w14:paraId="3632741D" w14:textId="77777777" w:rsidR="00DC05AE" w:rsidRPr="00D843BC" w:rsidRDefault="009702F1" w:rsidP="00C47D2A">
      <w:pPr>
        <w:spacing w:after="0" w:line="276" w:lineRule="auto"/>
        <w:jc w:val="both"/>
        <w:rPr>
          <w:rFonts w:ascii="ITC Avant Garde" w:hAnsi="ITC Avant Garde"/>
          <w:sz w:val="20"/>
          <w:szCs w:val="20"/>
        </w:rPr>
      </w:pPr>
      <w:r w:rsidRPr="00D843BC">
        <w:rPr>
          <w:rFonts w:ascii="ITC Avant Garde" w:hAnsi="ITC Avant Garde"/>
          <w:sz w:val="20"/>
          <w:szCs w:val="20"/>
        </w:rPr>
        <w:t>Una vez concluido el plazo de consulta respectivo, se publicaron en el portal de Internet del Instituto</w:t>
      </w:r>
      <w:r w:rsidR="0085122F" w:rsidRPr="00D843BC">
        <w:rPr>
          <w:rFonts w:ascii="ITC Avant Garde" w:hAnsi="ITC Avant Garde"/>
          <w:sz w:val="20"/>
          <w:szCs w:val="20"/>
        </w:rPr>
        <w:t xml:space="preserve"> Federal de Telecomunicaciones (en lo sucesivo, el “Instituto”)</w:t>
      </w:r>
      <w:r w:rsidRPr="00D843BC">
        <w:rPr>
          <w:rFonts w:ascii="ITC Avant Garde" w:hAnsi="ITC Avant Garde"/>
          <w:sz w:val="20"/>
          <w:szCs w:val="20"/>
        </w:rPr>
        <w:t xml:space="preserve"> todos y cada uno de los comentarios, opiniones y propuestas concretas recibidas respecto del Anteproye</w:t>
      </w:r>
      <w:r w:rsidR="002936C4" w:rsidRPr="00D843BC">
        <w:rPr>
          <w:rFonts w:ascii="ITC Avant Garde" w:hAnsi="ITC Avant Garde"/>
          <w:sz w:val="20"/>
          <w:szCs w:val="20"/>
        </w:rPr>
        <w:t>cto materia de la C</w:t>
      </w:r>
      <w:r w:rsidRPr="00D843BC">
        <w:rPr>
          <w:rFonts w:ascii="ITC Avant Garde" w:hAnsi="ITC Avant Garde"/>
          <w:sz w:val="20"/>
          <w:szCs w:val="20"/>
        </w:rPr>
        <w:t>onsulta</w:t>
      </w:r>
      <w:r w:rsidR="002936C4" w:rsidRPr="00D843BC">
        <w:rPr>
          <w:rFonts w:ascii="ITC Avant Garde" w:hAnsi="ITC Avant Garde"/>
          <w:sz w:val="20"/>
          <w:szCs w:val="20"/>
        </w:rPr>
        <w:t xml:space="preserve"> Pública</w:t>
      </w:r>
      <w:r w:rsidRPr="00D843BC">
        <w:rPr>
          <w:rFonts w:ascii="ITC Avant Garde" w:hAnsi="ITC Avant Garde"/>
          <w:sz w:val="20"/>
          <w:szCs w:val="20"/>
        </w:rPr>
        <w:t>.</w:t>
      </w:r>
      <w:r w:rsidR="002936C4" w:rsidRPr="00D843BC">
        <w:rPr>
          <w:rFonts w:ascii="ITC Avant Garde" w:hAnsi="ITC Avant Garde"/>
          <w:sz w:val="20"/>
          <w:szCs w:val="20"/>
        </w:rPr>
        <w:t xml:space="preserve"> </w:t>
      </w:r>
    </w:p>
    <w:p w14:paraId="489D3B1A" w14:textId="77777777" w:rsidR="00C47D2A" w:rsidRPr="00D843BC" w:rsidRDefault="00C47D2A" w:rsidP="00C47D2A">
      <w:pPr>
        <w:spacing w:after="0" w:line="276" w:lineRule="auto"/>
        <w:jc w:val="both"/>
        <w:rPr>
          <w:rFonts w:ascii="ITC Avant Garde" w:hAnsi="ITC Avant Garde"/>
          <w:sz w:val="20"/>
          <w:szCs w:val="20"/>
        </w:rPr>
      </w:pPr>
    </w:p>
    <w:p w14:paraId="52F1219F" w14:textId="77777777" w:rsidR="002936C4" w:rsidRPr="00D843BC" w:rsidRDefault="00DC05AE" w:rsidP="00C47D2A">
      <w:pPr>
        <w:spacing w:after="0" w:line="276" w:lineRule="auto"/>
        <w:jc w:val="both"/>
        <w:rPr>
          <w:rFonts w:ascii="ITC Avant Garde" w:hAnsi="ITC Avant Garde"/>
          <w:sz w:val="20"/>
          <w:szCs w:val="20"/>
        </w:rPr>
      </w:pPr>
      <w:r w:rsidRPr="00D843BC">
        <w:rPr>
          <w:rFonts w:ascii="ITC Avant Garde" w:hAnsi="ITC Avant Garde"/>
          <w:sz w:val="20"/>
          <w:szCs w:val="20"/>
        </w:rPr>
        <w:t>D</w:t>
      </w:r>
      <w:r w:rsidR="002936C4" w:rsidRPr="00D843BC">
        <w:rPr>
          <w:rFonts w:ascii="ITC Avant Garde" w:hAnsi="ITC Avant Garde"/>
          <w:sz w:val="20"/>
          <w:szCs w:val="20"/>
        </w:rPr>
        <w:t xml:space="preserve">urante el plazo de duración de la consulta pública de mérito se recibieron </w:t>
      </w:r>
      <w:r w:rsidR="00522FAA" w:rsidRPr="00D843BC">
        <w:rPr>
          <w:rFonts w:ascii="ITC Avant Garde" w:hAnsi="ITC Avant Garde"/>
          <w:sz w:val="20"/>
          <w:szCs w:val="20"/>
        </w:rPr>
        <w:t>comentarios</w:t>
      </w:r>
      <w:r w:rsidR="002936C4" w:rsidRPr="00D843BC">
        <w:rPr>
          <w:rFonts w:ascii="ITC Avant Garde" w:hAnsi="ITC Avant Garde"/>
          <w:sz w:val="20"/>
          <w:szCs w:val="20"/>
        </w:rPr>
        <w:t xml:space="preserve"> de</w:t>
      </w:r>
      <w:r w:rsidRPr="00D843BC">
        <w:rPr>
          <w:rFonts w:ascii="ITC Avant Garde" w:hAnsi="ITC Avant Garde"/>
          <w:sz w:val="20"/>
          <w:szCs w:val="20"/>
        </w:rPr>
        <w:t xml:space="preserve"> </w:t>
      </w:r>
      <w:r w:rsidR="00125EA4" w:rsidRPr="00D843BC">
        <w:rPr>
          <w:rFonts w:ascii="ITC Avant Garde" w:hAnsi="ITC Avant Garde"/>
          <w:sz w:val="20"/>
          <w:szCs w:val="20"/>
        </w:rPr>
        <w:t>8</w:t>
      </w:r>
      <w:r w:rsidR="00522FAA" w:rsidRPr="00D843BC">
        <w:rPr>
          <w:rFonts w:ascii="ITC Avant Garde" w:hAnsi="ITC Avant Garde"/>
          <w:sz w:val="20"/>
          <w:szCs w:val="20"/>
        </w:rPr>
        <w:t xml:space="preserve"> </w:t>
      </w:r>
      <w:r w:rsidRPr="00D843BC">
        <w:rPr>
          <w:rFonts w:ascii="ITC Avant Garde" w:hAnsi="ITC Avant Garde"/>
          <w:sz w:val="20"/>
          <w:szCs w:val="20"/>
        </w:rPr>
        <w:t>concesionarios</w:t>
      </w:r>
      <w:r w:rsidR="002936C4" w:rsidRPr="00D843BC">
        <w:rPr>
          <w:rFonts w:ascii="ITC Avant Garde" w:hAnsi="ITC Avant Garde"/>
          <w:sz w:val="20"/>
          <w:szCs w:val="20"/>
        </w:rPr>
        <w:t xml:space="preserve">, en la forma de </w:t>
      </w:r>
      <w:r w:rsidR="00125EA4" w:rsidRPr="00D843BC">
        <w:rPr>
          <w:rFonts w:ascii="ITC Avant Garde" w:hAnsi="ITC Avant Garde"/>
          <w:sz w:val="20"/>
          <w:szCs w:val="20"/>
        </w:rPr>
        <w:t>2</w:t>
      </w:r>
      <w:r w:rsidR="002936C4" w:rsidRPr="00D843BC">
        <w:rPr>
          <w:rFonts w:ascii="ITC Avant Garde" w:hAnsi="ITC Avant Garde"/>
          <w:sz w:val="20"/>
          <w:szCs w:val="20"/>
        </w:rPr>
        <w:t xml:space="preserve"> participaciones:</w:t>
      </w:r>
    </w:p>
    <w:p w14:paraId="07A3AE0D" w14:textId="77777777" w:rsidR="00C47D2A" w:rsidRPr="00D843BC" w:rsidRDefault="00C47D2A" w:rsidP="00C47D2A">
      <w:pPr>
        <w:spacing w:after="0" w:line="276" w:lineRule="auto"/>
        <w:jc w:val="both"/>
        <w:rPr>
          <w:rFonts w:ascii="ITC Avant Garde" w:hAnsi="ITC Avant Garde"/>
          <w:sz w:val="20"/>
          <w:szCs w:val="20"/>
        </w:rPr>
      </w:pPr>
    </w:p>
    <w:tbl>
      <w:tblPr>
        <w:tblStyle w:val="Tablaconcuadrcula"/>
        <w:tblW w:w="0" w:type="auto"/>
        <w:tblLook w:val="04A0" w:firstRow="1" w:lastRow="0" w:firstColumn="1" w:lastColumn="0" w:noHBand="0" w:noVBand="1"/>
      </w:tblPr>
      <w:tblGrid>
        <w:gridCol w:w="3681"/>
        <w:gridCol w:w="5147"/>
      </w:tblGrid>
      <w:tr w:rsidR="00522FAA" w:rsidRPr="00D843BC" w14:paraId="464C49EF" w14:textId="77777777" w:rsidTr="00DA3052">
        <w:trPr>
          <w:tblHeader/>
        </w:trPr>
        <w:tc>
          <w:tcPr>
            <w:tcW w:w="3681" w:type="dxa"/>
            <w:shd w:val="clear" w:color="auto" w:fill="A8D08D" w:themeFill="accent6" w:themeFillTint="99"/>
          </w:tcPr>
          <w:p w14:paraId="2D58E1AB" w14:textId="77777777" w:rsidR="00522FAA" w:rsidRPr="00D843BC" w:rsidRDefault="00522FAA" w:rsidP="00C47D2A">
            <w:pPr>
              <w:spacing w:line="276" w:lineRule="auto"/>
              <w:ind w:left="454" w:hanging="454"/>
              <w:jc w:val="center"/>
              <w:rPr>
                <w:rFonts w:ascii="ITC Avant Garde" w:hAnsi="ITC Avant Garde"/>
                <w:b/>
                <w:sz w:val="20"/>
                <w:szCs w:val="20"/>
              </w:rPr>
            </w:pPr>
            <w:r w:rsidRPr="00D843BC">
              <w:rPr>
                <w:rFonts w:ascii="ITC Avant Garde" w:hAnsi="ITC Avant Garde"/>
                <w:b/>
                <w:sz w:val="20"/>
                <w:szCs w:val="20"/>
              </w:rPr>
              <w:t>PARTICIPACIÓN</w:t>
            </w:r>
          </w:p>
        </w:tc>
        <w:tc>
          <w:tcPr>
            <w:tcW w:w="5147" w:type="dxa"/>
            <w:shd w:val="clear" w:color="auto" w:fill="A8D08D" w:themeFill="accent6" w:themeFillTint="99"/>
          </w:tcPr>
          <w:p w14:paraId="45D638C2" w14:textId="77777777" w:rsidR="00522FAA" w:rsidRPr="00D843BC" w:rsidRDefault="00522FAA" w:rsidP="00C47D2A">
            <w:pPr>
              <w:spacing w:line="276" w:lineRule="auto"/>
              <w:ind w:left="459" w:hanging="425"/>
              <w:jc w:val="center"/>
              <w:rPr>
                <w:rFonts w:ascii="ITC Avant Garde" w:hAnsi="ITC Avant Garde"/>
                <w:b/>
                <w:sz w:val="20"/>
                <w:szCs w:val="20"/>
              </w:rPr>
            </w:pPr>
            <w:r w:rsidRPr="00D843BC">
              <w:rPr>
                <w:rFonts w:ascii="ITC Avant Garde" w:hAnsi="ITC Avant Garde"/>
                <w:b/>
                <w:sz w:val="20"/>
                <w:szCs w:val="20"/>
              </w:rPr>
              <w:t>CONCESIONARIO</w:t>
            </w:r>
          </w:p>
        </w:tc>
      </w:tr>
      <w:tr w:rsidR="00633B02" w:rsidRPr="00D843BC" w14:paraId="5D285863" w14:textId="77777777" w:rsidTr="00DA3052">
        <w:tc>
          <w:tcPr>
            <w:tcW w:w="3681" w:type="dxa"/>
          </w:tcPr>
          <w:p w14:paraId="77BD3F65" w14:textId="77777777" w:rsidR="00633B02" w:rsidRPr="00D843BC" w:rsidRDefault="00633B02" w:rsidP="00C47D2A">
            <w:pPr>
              <w:spacing w:line="276" w:lineRule="auto"/>
              <w:rPr>
                <w:rFonts w:ascii="ITC Avant Garde" w:hAnsi="ITC Avant Garde"/>
                <w:sz w:val="20"/>
                <w:szCs w:val="20"/>
              </w:rPr>
            </w:pPr>
            <w:r w:rsidRPr="00D843BC">
              <w:rPr>
                <w:rFonts w:ascii="ITC Avant Garde" w:hAnsi="ITC Avant Garde"/>
                <w:sz w:val="20"/>
                <w:szCs w:val="20"/>
              </w:rPr>
              <w:t>Mega Cable, S.A. de C.V.</w:t>
            </w:r>
          </w:p>
        </w:tc>
        <w:tc>
          <w:tcPr>
            <w:tcW w:w="5147" w:type="dxa"/>
          </w:tcPr>
          <w:p w14:paraId="32360346" w14:textId="47444863" w:rsidR="00633B02" w:rsidRPr="00D843BC" w:rsidRDefault="008D4F05" w:rsidP="00C47D2A">
            <w:pPr>
              <w:pStyle w:val="Prrafodelista"/>
              <w:numPr>
                <w:ilvl w:val="0"/>
                <w:numId w:val="39"/>
              </w:numPr>
              <w:spacing w:line="276" w:lineRule="auto"/>
              <w:ind w:left="459" w:hanging="283"/>
              <w:rPr>
                <w:rFonts w:ascii="ITC Avant Garde" w:hAnsi="ITC Avant Garde"/>
                <w:sz w:val="20"/>
                <w:szCs w:val="20"/>
              </w:rPr>
            </w:pPr>
            <w:r w:rsidRPr="00D843BC">
              <w:rPr>
                <w:rFonts w:ascii="ITC Avant Garde" w:hAnsi="ITC Avant Garde"/>
                <w:sz w:val="20"/>
                <w:szCs w:val="20"/>
              </w:rPr>
              <w:t>Mega Cable, S.A. de C.V.</w:t>
            </w:r>
          </w:p>
        </w:tc>
      </w:tr>
      <w:tr w:rsidR="00633B02" w:rsidRPr="00D843BC" w14:paraId="453AB77B" w14:textId="77777777" w:rsidTr="00DA3052">
        <w:tc>
          <w:tcPr>
            <w:tcW w:w="3681" w:type="dxa"/>
          </w:tcPr>
          <w:p w14:paraId="6FD3C480" w14:textId="77777777" w:rsidR="00633B02" w:rsidRPr="00D843BC" w:rsidRDefault="00633B02" w:rsidP="00C47D2A">
            <w:pPr>
              <w:spacing w:line="276" w:lineRule="auto"/>
              <w:rPr>
                <w:rFonts w:ascii="ITC Avant Garde" w:hAnsi="ITC Avant Garde"/>
                <w:sz w:val="20"/>
                <w:szCs w:val="20"/>
              </w:rPr>
            </w:pPr>
            <w:r w:rsidRPr="00D843BC">
              <w:rPr>
                <w:rFonts w:ascii="ITC Avant Garde" w:hAnsi="ITC Avant Garde"/>
                <w:sz w:val="20"/>
                <w:szCs w:val="20"/>
              </w:rPr>
              <w:t>Grupo Televisa</w:t>
            </w:r>
          </w:p>
        </w:tc>
        <w:tc>
          <w:tcPr>
            <w:tcW w:w="5147" w:type="dxa"/>
          </w:tcPr>
          <w:tbl>
            <w:tblPr>
              <w:tblW w:w="0" w:type="auto"/>
              <w:tblBorders>
                <w:top w:val="nil"/>
                <w:left w:val="nil"/>
                <w:bottom w:val="nil"/>
                <w:right w:val="nil"/>
              </w:tblBorders>
              <w:tblLook w:val="0000" w:firstRow="0" w:lastRow="0" w:firstColumn="0" w:lastColumn="0" w:noHBand="0" w:noVBand="0"/>
            </w:tblPr>
            <w:tblGrid>
              <w:gridCol w:w="4931"/>
            </w:tblGrid>
            <w:tr w:rsidR="00633B02" w:rsidRPr="00D843BC" w14:paraId="0E6BA9B5" w14:textId="77777777" w:rsidTr="00C97E8C">
              <w:trPr>
                <w:trHeight w:val="831"/>
              </w:trPr>
              <w:tc>
                <w:tcPr>
                  <w:tcW w:w="0" w:type="auto"/>
                </w:tcPr>
                <w:p w14:paraId="2A2649FA" w14:textId="77777777" w:rsidR="00633B02" w:rsidRPr="00D843BC" w:rsidRDefault="00633B02" w:rsidP="008435E8">
                  <w:pPr>
                    <w:pStyle w:val="Prrafodelista"/>
                    <w:numPr>
                      <w:ilvl w:val="0"/>
                      <w:numId w:val="41"/>
                    </w:numPr>
                    <w:autoSpaceDE w:val="0"/>
                    <w:autoSpaceDN w:val="0"/>
                    <w:adjustRightInd w:val="0"/>
                    <w:spacing w:after="0" w:line="276" w:lineRule="auto"/>
                    <w:ind w:left="346" w:hanging="277"/>
                    <w:rPr>
                      <w:rFonts w:ascii="ITC Avant Garde" w:hAnsi="ITC Avant Garde" w:cs="Century Gothic"/>
                      <w:color w:val="000000"/>
                      <w:sz w:val="20"/>
                      <w:szCs w:val="20"/>
                    </w:rPr>
                  </w:pPr>
                  <w:r w:rsidRPr="00D843BC">
                    <w:rPr>
                      <w:rFonts w:ascii="ITC Avant Garde" w:hAnsi="ITC Avant Garde" w:cs="Century Gothic"/>
                      <w:color w:val="000000"/>
                      <w:sz w:val="20"/>
                      <w:szCs w:val="20"/>
                    </w:rPr>
                    <w:t>Cablevisión, S.A. de C.V.</w:t>
                  </w:r>
                </w:p>
                <w:p w14:paraId="19F0CFD1" w14:textId="77777777" w:rsidR="00633B02" w:rsidRPr="00D843BC" w:rsidRDefault="00633B02" w:rsidP="008435E8">
                  <w:pPr>
                    <w:pStyle w:val="Prrafodelista"/>
                    <w:numPr>
                      <w:ilvl w:val="0"/>
                      <w:numId w:val="41"/>
                    </w:numPr>
                    <w:autoSpaceDE w:val="0"/>
                    <w:autoSpaceDN w:val="0"/>
                    <w:adjustRightInd w:val="0"/>
                    <w:spacing w:after="0" w:line="276" w:lineRule="auto"/>
                    <w:ind w:left="346" w:hanging="277"/>
                    <w:rPr>
                      <w:rFonts w:ascii="ITC Avant Garde" w:hAnsi="ITC Avant Garde" w:cs="Century Gothic"/>
                      <w:color w:val="000000"/>
                      <w:sz w:val="20"/>
                      <w:szCs w:val="20"/>
                    </w:rPr>
                  </w:pPr>
                  <w:proofErr w:type="spellStart"/>
                  <w:r w:rsidRPr="00D843BC">
                    <w:rPr>
                      <w:rFonts w:ascii="ITC Avant Garde" w:hAnsi="ITC Avant Garde" w:cs="Century Gothic"/>
                      <w:color w:val="000000"/>
                      <w:sz w:val="20"/>
                      <w:szCs w:val="20"/>
                    </w:rPr>
                    <w:t>Operbes</w:t>
                  </w:r>
                  <w:proofErr w:type="spellEnd"/>
                  <w:r w:rsidRPr="00D843BC">
                    <w:rPr>
                      <w:rFonts w:ascii="ITC Avant Garde" w:hAnsi="ITC Avant Garde" w:cs="Century Gothic"/>
                      <w:color w:val="000000"/>
                      <w:sz w:val="20"/>
                      <w:szCs w:val="20"/>
                    </w:rPr>
                    <w:t>, S.A. de C.V.</w:t>
                  </w:r>
                </w:p>
                <w:p w14:paraId="46615027" w14:textId="77777777" w:rsidR="00633B02" w:rsidRPr="00D843BC" w:rsidRDefault="00633B02" w:rsidP="008435E8">
                  <w:pPr>
                    <w:pStyle w:val="Prrafodelista"/>
                    <w:numPr>
                      <w:ilvl w:val="0"/>
                      <w:numId w:val="41"/>
                    </w:numPr>
                    <w:autoSpaceDE w:val="0"/>
                    <w:autoSpaceDN w:val="0"/>
                    <w:adjustRightInd w:val="0"/>
                    <w:spacing w:after="0" w:line="276" w:lineRule="auto"/>
                    <w:ind w:left="346" w:hanging="277"/>
                    <w:rPr>
                      <w:rFonts w:ascii="ITC Avant Garde" w:hAnsi="ITC Avant Garde" w:cs="Century Gothic"/>
                      <w:color w:val="000000"/>
                      <w:sz w:val="20"/>
                      <w:szCs w:val="20"/>
                    </w:rPr>
                  </w:pPr>
                  <w:r w:rsidRPr="00D843BC">
                    <w:rPr>
                      <w:rFonts w:ascii="ITC Avant Garde" w:hAnsi="ITC Avant Garde" w:cs="Century Gothic"/>
                      <w:color w:val="000000"/>
                      <w:sz w:val="20"/>
                      <w:szCs w:val="20"/>
                    </w:rPr>
                    <w:t>Cablemás Telecomunicaciones, S.A. de C.V.</w:t>
                  </w:r>
                </w:p>
                <w:p w14:paraId="1E4CD019" w14:textId="77777777" w:rsidR="00633B02" w:rsidRPr="00D843BC" w:rsidRDefault="00633B02" w:rsidP="008435E8">
                  <w:pPr>
                    <w:pStyle w:val="Prrafodelista"/>
                    <w:numPr>
                      <w:ilvl w:val="0"/>
                      <w:numId w:val="41"/>
                    </w:numPr>
                    <w:autoSpaceDE w:val="0"/>
                    <w:autoSpaceDN w:val="0"/>
                    <w:adjustRightInd w:val="0"/>
                    <w:spacing w:after="0" w:line="276" w:lineRule="auto"/>
                    <w:ind w:left="346" w:hanging="277"/>
                    <w:rPr>
                      <w:rFonts w:ascii="ITC Avant Garde" w:hAnsi="ITC Avant Garde" w:cs="Century Gothic"/>
                      <w:color w:val="000000"/>
                      <w:sz w:val="20"/>
                      <w:szCs w:val="20"/>
                    </w:rPr>
                  </w:pPr>
                  <w:r w:rsidRPr="00D843BC">
                    <w:rPr>
                      <w:rFonts w:ascii="ITC Avant Garde" w:hAnsi="ITC Avant Garde" w:cs="Century Gothic"/>
                      <w:color w:val="000000"/>
                      <w:sz w:val="20"/>
                      <w:szCs w:val="20"/>
                    </w:rPr>
                    <w:t>México Red de Telecomunicaciones, S. de R.L. de C.V.</w:t>
                  </w:r>
                </w:p>
                <w:p w14:paraId="03D80017" w14:textId="77777777" w:rsidR="00633B02" w:rsidRPr="00D843BC" w:rsidRDefault="00633B02" w:rsidP="008435E8">
                  <w:pPr>
                    <w:pStyle w:val="Prrafodelista"/>
                    <w:numPr>
                      <w:ilvl w:val="0"/>
                      <w:numId w:val="41"/>
                    </w:numPr>
                    <w:autoSpaceDE w:val="0"/>
                    <w:autoSpaceDN w:val="0"/>
                    <w:adjustRightInd w:val="0"/>
                    <w:spacing w:after="0" w:line="276" w:lineRule="auto"/>
                    <w:ind w:left="346" w:hanging="277"/>
                    <w:rPr>
                      <w:rFonts w:ascii="ITC Avant Garde" w:hAnsi="ITC Avant Garde" w:cs="Century Gothic"/>
                      <w:color w:val="000000"/>
                      <w:sz w:val="20"/>
                      <w:szCs w:val="20"/>
                    </w:rPr>
                  </w:pPr>
                  <w:r w:rsidRPr="00D843BC">
                    <w:rPr>
                      <w:rFonts w:ascii="ITC Avant Garde" w:hAnsi="ITC Avant Garde" w:cs="Century Gothic"/>
                      <w:color w:val="000000"/>
                      <w:sz w:val="20"/>
                      <w:szCs w:val="20"/>
                    </w:rPr>
                    <w:t>Televisión Internacional, S.A. de C.V.</w:t>
                  </w:r>
                </w:p>
                <w:p w14:paraId="10881DE4" w14:textId="77777777" w:rsidR="00633B02" w:rsidRPr="00D843BC" w:rsidRDefault="00633B02" w:rsidP="008435E8">
                  <w:pPr>
                    <w:pStyle w:val="Prrafodelista"/>
                    <w:numPr>
                      <w:ilvl w:val="0"/>
                      <w:numId w:val="41"/>
                    </w:numPr>
                    <w:autoSpaceDE w:val="0"/>
                    <w:autoSpaceDN w:val="0"/>
                    <w:adjustRightInd w:val="0"/>
                    <w:spacing w:after="0" w:line="276" w:lineRule="auto"/>
                    <w:ind w:left="346" w:hanging="277"/>
                    <w:rPr>
                      <w:rFonts w:ascii="ITC Avant Garde" w:hAnsi="ITC Avant Garde" w:cs="Century Gothic"/>
                      <w:color w:val="000000"/>
                      <w:sz w:val="20"/>
                      <w:szCs w:val="20"/>
                    </w:rPr>
                  </w:pPr>
                  <w:r w:rsidRPr="00D843BC">
                    <w:rPr>
                      <w:rFonts w:ascii="ITC Avant Garde" w:hAnsi="ITC Avant Garde" w:cs="Century Gothic"/>
                      <w:color w:val="000000"/>
                      <w:sz w:val="20"/>
                      <w:szCs w:val="20"/>
                    </w:rPr>
                    <w:t>Cablevisión Red, S.A. de C.V.</w:t>
                  </w:r>
                </w:p>
                <w:p w14:paraId="50EF7BC2" w14:textId="77777777" w:rsidR="00633B02" w:rsidRPr="00D843BC" w:rsidRDefault="00633B02" w:rsidP="008435E8">
                  <w:pPr>
                    <w:pStyle w:val="Prrafodelista"/>
                    <w:numPr>
                      <w:ilvl w:val="0"/>
                      <w:numId w:val="41"/>
                    </w:numPr>
                    <w:autoSpaceDE w:val="0"/>
                    <w:autoSpaceDN w:val="0"/>
                    <w:adjustRightInd w:val="0"/>
                    <w:spacing w:after="0" w:line="276" w:lineRule="auto"/>
                    <w:ind w:left="346" w:hanging="277"/>
                    <w:rPr>
                      <w:rFonts w:ascii="ITC Avant Garde" w:hAnsi="ITC Avant Garde" w:cs="Century Gothic"/>
                      <w:color w:val="000000"/>
                      <w:sz w:val="20"/>
                      <w:szCs w:val="20"/>
                    </w:rPr>
                  </w:pPr>
                  <w:r w:rsidRPr="00D843BC">
                    <w:rPr>
                      <w:rFonts w:ascii="ITC Avant Garde" w:hAnsi="ITC Avant Garde" w:cs="Century Gothic"/>
                      <w:color w:val="000000"/>
                      <w:sz w:val="20"/>
                      <w:szCs w:val="20"/>
                    </w:rPr>
                    <w:t xml:space="preserve">TV Cable de Oriente, S.A. de C.V. </w:t>
                  </w:r>
                </w:p>
              </w:tc>
            </w:tr>
          </w:tbl>
          <w:p w14:paraId="535A2B44" w14:textId="77777777" w:rsidR="00633B02" w:rsidRPr="00D843BC" w:rsidRDefault="00633B02" w:rsidP="00C47D2A">
            <w:pPr>
              <w:pStyle w:val="Prrafodelista"/>
              <w:spacing w:line="276" w:lineRule="auto"/>
              <w:ind w:left="459"/>
              <w:rPr>
                <w:rFonts w:ascii="ITC Avant Garde" w:hAnsi="ITC Avant Garde"/>
                <w:sz w:val="20"/>
                <w:szCs w:val="20"/>
              </w:rPr>
            </w:pPr>
          </w:p>
        </w:tc>
      </w:tr>
    </w:tbl>
    <w:p w14:paraId="789DB31C" w14:textId="77777777" w:rsidR="002936C4" w:rsidRPr="00D843BC" w:rsidRDefault="002936C4" w:rsidP="00C47D2A">
      <w:pPr>
        <w:spacing w:after="0" w:line="276" w:lineRule="auto"/>
        <w:jc w:val="both"/>
        <w:rPr>
          <w:rFonts w:ascii="ITC Avant Garde" w:hAnsi="ITC Avant Garde"/>
          <w:sz w:val="20"/>
          <w:szCs w:val="20"/>
        </w:rPr>
      </w:pPr>
    </w:p>
    <w:p w14:paraId="54ED39AC" w14:textId="77777777" w:rsidR="009702F1" w:rsidRPr="00D843BC" w:rsidRDefault="008E0DA1" w:rsidP="00C47D2A">
      <w:pPr>
        <w:spacing w:after="0" w:line="276" w:lineRule="auto"/>
        <w:jc w:val="both"/>
        <w:rPr>
          <w:rFonts w:ascii="ITC Avant Garde" w:hAnsi="ITC Avant Garde"/>
          <w:b/>
          <w:sz w:val="20"/>
          <w:szCs w:val="20"/>
        </w:rPr>
      </w:pPr>
      <w:r w:rsidRPr="00D843BC">
        <w:rPr>
          <w:rFonts w:ascii="ITC Avant Garde" w:hAnsi="ITC Avant Garde"/>
          <w:b/>
          <w:sz w:val="20"/>
          <w:szCs w:val="20"/>
        </w:rPr>
        <w:t>RESPUESTAS A</w:t>
      </w:r>
      <w:r w:rsidR="00510ADC" w:rsidRPr="00D843BC">
        <w:rPr>
          <w:rFonts w:ascii="ITC Avant Garde" w:hAnsi="ITC Avant Garde"/>
          <w:b/>
          <w:sz w:val="20"/>
          <w:szCs w:val="20"/>
        </w:rPr>
        <w:t xml:space="preserve"> LOS COMENTARIOS RECIBIDOS</w:t>
      </w:r>
    </w:p>
    <w:p w14:paraId="2BCA691B" w14:textId="77777777" w:rsidR="00C47D2A" w:rsidRPr="00D843BC" w:rsidRDefault="00C47D2A" w:rsidP="00C47D2A">
      <w:pPr>
        <w:spacing w:after="0" w:line="276" w:lineRule="auto"/>
        <w:jc w:val="both"/>
        <w:rPr>
          <w:rFonts w:ascii="ITC Avant Garde" w:hAnsi="ITC Avant Garde"/>
          <w:b/>
          <w:sz w:val="20"/>
          <w:szCs w:val="20"/>
        </w:rPr>
      </w:pPr>
    </w:p>
    <w:p w14:paraId="0F2F00AF" w14:textId="77777777" w:rsidR="00510ADC" w:rsidRPr="00D843BC" w:rsidRDefault="00510ADC" w:rsidP="00C47D2A">
      <w:pPr>
        <w:spacing w:after="0" w:line="276" w:lineRule="auto"/>
        <w:jc w:val="both"/>
        <w:rPr>
          <w:rFonts w:ascii="ITC Avant Garde" w:hAnsi="ITC Avant Garde"/>
          <w:sz w:val="20"/>
          <w:szCs w:val="20"/>
        </w:rPr>
      </w:pPr>
      <w:r w:rsidRPr="00D843BC">
        <w:rPr>
          <w:rFonts w:ascii="ITC Avant Garde" w:hAnsi="ITC Avant Garde"/>
          <w:sz w:val="20"/>
          <w:szCs w:val="20"/>
        </w:rPr>
        <w:t xml:space="preserve">A fin de atender los comentarios, opiniones y manifestaciones recibidas, </w:t>
      </w:r>
      <w:r w:rsidR="0047425B" w:rsidRPr="00D843BC">
        <w:rPr>
          <w:rFonts w:ascii="ITC Avant Garde" w:hAnsi="ITC Avant Garde"/>
          <w:sz w:val="20"/>
          <w:szCs w:val="20"/>
        </w:rPr>
        <w:t>y toda vez que los mismos fueron emitidos de manera general,</w:t>
      </w:r>
      <w:r w:rsidR="003C0A5F" w:rsidRPr="00D843BC">
        <w:rPr>
          <w:rFonts w:ascii="ITC Avant Garde" w:hAnsi="ITC Avant Garde"/>
          <w:sz w:val="20"/>
          <w:szCs w:val="20"/>
        </w:rPr>
        <w:t xml:space="preserve"> se agruparon por participante y en seguida </w:t>
      </w:r>
      <w:r w:rsidRPr="00D843BC">
        <w:rPr>
          <w:rFonts w:ascii="ITC Avant Garde" w:hAnsi="ITC Avant Garde"/>
          <w:sz w:val="20"/>
          <w:szCs w:val="20"/>
        </w:rPr>
        <w:t>se responden. Aunado a lo anterior, es de mencionar que todas las opiniones y pronunciamientos recibidos, se encuentran disponibles para su consulta en la página de Internet del Instituto.</w:t>
      </w:r>
    </w:p>
    <w:p w14:paraId="193A052E" w14:textId="77777777" w:rsidR="00510ADC" w:rsidRPr="00D843BC" w:rsidRDefault="00510ADC" w:rsidP="00C47D2A">
      <w:pPr>
        <w:spacing w:after="0" w:line="276" w:lineRule="auto"/>
        <w:jc w:val="both"/>
        <w:rPr>
          <w:rFonts w:ascii="ITC Avant Garde" w:hAnsi="ITC Avant Garde"/>
          <w:sz w:val="20"/>
          <w:szCs w:val="20"/>
        </w:rPr>
      </w:pPr>
    </w:p>
    <w:p w14:paraId="61E573C0" w14:textId="77777777" w:rsidR="00941BCA" w:rsidRPr="00D843BC" w:rsidRDefault="00941BCA" w:rsidP="00D843BC">
      <w:pPr>
        <w:pStyle w:val="Prrafodelista"/>
        <w:numPr>
          <w:ilvl w:val="0"/>
          <w:numId w:val="42"/>
        </w:numPr>
        <w:spacing w:after="0" w:line="276" w:lineRule="auto"/>
        <w:ind w:left="709" w:hanging="283"/>
        <w:jc w:val="both"/>
        <w:rPr>
          <w:rFonts w:ascii="ITC Avant Garde" w:hAnsi="ITC Avant Garde"/>
          <w:b/>
          <w:sz w:val="20"/>
          <w:szCs w:val="20"/>
        </w:rPr>
      </w:pPr>
      <w:r w:rsidRPr="00D843BC">
        <w:rPr>
          <w:rFonts w:ascii="ITC Avant Garde" w:hAnsi="ITC Avant Garde"/>
          <w:b/>
          <w:sz w:val="20"/>
          <w:szCs w:val="20"/>
        </w:rPr>
        <w:t xml:space="preserve">ARTICULO </w:t>
      </w:r>
      <w:r w:rsidR="00633B02" w:rsidRPr="00D843BC">
        <w:rPr>
          <w:rFonts w:ascii="ITC Avant Garde" w:hAnsi="ITC Avant Garde"/>
          <w:b/>
          <w:sz w:val="20"/>
          <w:szCs w:val="20"/>
        </w:rPr>
        <w:t>4 FRACCIÓN XV</w:t>
      </w:r>
    </w:p>
    <w:p w14:paraId="3A9675E0" w14:textId="77777777" w:rsidR="008976DF" w:rsidRPr="00D843BC" w:rsidRDefault="008976DF" w:rsidP="00D843BC">
      <w:pPr>
        <w:spacing w:after="0" w:line="276" w:lineRule="auto"/>
        <w:ind w:left="709" w:hanging="283"/>
        <w:jc w:val="both"/>
        <w:rPr>
          <w:rFonts w:ascii="ITC Avant Garde" w:hAnsi="ITC Avant Garde"/>
          <w:b/>
          <w:sz w:val="20"/>
          <w:szCs w:val="20"/>
        </w:rPr>
      </w:pPr>
    </w:p>
    <w:p w14:paraId="3934E625" w14:textId="77777777" w:rsidR="008976DF" w:rsidRPr="00D843BC" w:rsidRDefault="008976DF" w:rsidP="00D843BC">
      <w:pPr>
        <w:pStyle w:val="Prrafodelista"/>
        <w:numPr>
          <w:ilvl w:val="0"/>
          <w:numId w:val="43"/>
        </w:numPr>
        <w:spacing w:after="0" w:line="276" w:lineRule="auto"/>
        <w:ind w:left="709" w:hanging="283"/>
        <w:jc w:val="both"/>
        <w:rPr>
          <w:rFonts w:ascii="ITC Avant Garde" w:hAnsi="ITC Avant Garde"/>
          <w:b/>
          <w:sz w:val="20"/>
          <w:szCs w:val="20"/>
        </w:rPr>
      </w:pPr>
      <w:r w:rsidRPr="00D843BC">
        <w:rPr>
          <w:rFonts w:ascii="ITC Avant Garde" w:hAnsi="ITC Avant Garde"/>
          <w:b/>
          <w:sz w:val="20"/>
          <w:szCs w:val="20"/>
        </w:rPr>
        <w:t>MEGA CABLE, S.A. DE C.V.</w:t>
      </w:r>
    </w:p>
    <w:p w14:paraId="3D6DF621" w14:textId="77777777" w:rsidR="008976DF" w:rsidRPr="00D843BC" w:rsidRDefault="008976DF" w:rsidP="00C47D2A">
      <w:pPr>
        <w:spacing w:after="0" w:line="276" w:lineRule="auto"/>
        <w:ind w:left="426"/>
        <w:jc w:val="both"/>
        <w:rPr>
          <w:rFonts w:ascii="ITC Avant Garde" w:hAnsi="ITC Avant Garde"/>
          <w:b/>
          <w:sz w:val="20"/>
          <w:szCs w:val="20"/>
        </w:rPr>
      </w:pPr>
    </w:p>
    <w:p w14:paraId="3E881DEA" w14:textId="7C4EA7B3" w:rsidR="00633B02" w:rsidRPr="00D843BC" w:rsidRDefault="008D4F05" w:rsidP="00C47D2A">
      <w:pPr>
        <w:spacing w:after="0" w:line="276" w:lineRule="auto"/>
        <w:ind w:left="426"/>
        <w:jc w:val="both"/>
        <w:rPr>
          <w:rFonts w:ascii="ITC Avant Garde" w:hAnsi="ITC Avant Garde"/>
          <w:sz w:val="20"/>
          <w:szCs w:val="20"/>
        </w:rPr>
      </w:pPr>
      <w:r w:rsidRPr="00D843BC">
        <w:rPr>
          <w:rFonts w:ascii="ITC Avant Garde" w:hAnsi="ITC Avant Garde"/>
          <w:b/>
          <w:sz w:val="20"/>
          <w:szCs w:val="20"/>
        </w:rPr>
        <w:t xml:space="preserve">COMENTARIO: </w:t>
      </w:r>
      <w:r w:rsidR="00633B02" w:rsidRPr="00D843BC">
        <w:rPr>
          <w:rFonts w:ascii="ITC Avant Garde" w:hAnsi="ITC Avant Garde"/>
          <w:sz w:val="20"/>
          <w:szCs w:val="20"/>
        </w:rPr>
        <w:t xml:space="preserve">El concesionario Mega Cable, S.A. de C.V. (en lo sucesivo, “Mega Cable”), señala que </w:t>
      </w:r>
      <w:r w:rsidR="00EB6334" w:rsidRPr="00D843BC">
        <w:rPr>
          <w:rFonts w:ascii="ITC Avant Garde" w:hAnsi="ITC Avant Garde"/>
          <w:sz w:val="20"/>
          <w:szCs w:val="20"/>
        </w:rPr>
        <w:t>l</w:t>
      </w:r>
      <w:r w:rsidR="00633B02" w:rsidRPr="00D843BC">
        <w:rPr>
          <w:rFonts w:ascii="ITC Avant Garde" w:hAnsi="ITC Avant Garde"/>
          <w:sz w:val="20"/>
          <w:szCs w:val="20"/>
        </w:rPr>
        <w:t>os tribunales del Poder Judicial de la Federación no imponen sanciones; sino que, por el contrario, dirimen controversias entre la autoridad responsable y los gobernados; haciendo cumplir la ley.</w:t>
      </w:r>
    </w:p>
    <w:p w14:paraId="06F07041" w14:textId="77777777" w:rsidR="00C47D2A" w:rsidRPr="00D843BC" w:rsidRDefault="00C47D2A" w:rsidP="00C47D2A">
      <w:pPr>
        <w:spacing w:after="0" w:line="276" w:lineRule="auto"/>
        <w:ind w:left="426"/>
        <w:jc w:val="both"/>
        <w:rPr>
          <w:rFonts w:ascii="ITC Avant Garde" w:hAnsi="ITC Avant Garde"/>
          <w:sz w:val="20"/>
          <w:szCs w:val="20"/>
        </w:rPr>
      </w:pPr>
    </w:p>
    <w:p w14:paraId="510F23B6" w14:textId="77777777" w:rsidR="007F50A1" w:rsidRPr="00D843BC" w:rsidRDefault="00A44E62" w:rsidP="00C47D2A">
      <w:pPr>
        <w:spacing w:after="0" w:line="276" w:lineRule="auto"/>
        <w:ind w:left="426"/>
        <w:jc w:val="both"/>
        <w:rPr>
          <w:rFonts w:ascii="ITC Avant Garde" w:hAnsi="ITC Avant Garde"/>
          <w:sz w:val="20"/>
          <w:szCs w:val="20"/>
        </w:rPr>
      </w:pPr>
      <w:r w:rsidRPr="00D843BC">
        <w:rPr>
          <w:rFonts w:ascii="ITC Avant Garde" w:hAnsi="ITC Avant Garde"/>
          <w:b/>
          <w:sz w:val="20"/>
          <w:szCs w:val="20"/>
        </w:rPr>
        <w:t>RESPUESTA:</w:t>
      </w:r>
      <w:r w:rsidRPr="00D843BC">
        <w:rPr>
          <w:rFonts w:ascii="ITC Avant Garde" w:hAnsi="ITC Avant Garde"/>
          <w:sz w:val="20"/>
          <w:szCs w:val="20"/>
        </w:rPr>
        <w:t xml:space="preserve"> </w:t>
      </w:r>
      <w:r w:rsidR="00A35D3E" w:rsidRPr="00D843BC">
        <w:rPr>
          <w:rFonts w:ascii="ITC Avant Garde" w:hAnsi="ITC Avant Garde"/>
          <w:sz w:val="20"/>
          <w:szCs w:val="20"/>
        </w:rPr>
        <w:t xml:space="preserve">Como se señaló </w:t>
      </w:r>
      <w:r w:rsidR="007F50A1" w:rsidRPr="00D843BC">
        <w:rPr>
          <w:rFonts w:ascii="ITC Avant Garde" w:hAnsi="ITC Avant Garde"/>
          <w:sz w:val="20"/>
          <w:szCs w:val="20"/>
        </w:rPr>
        <w:t xml:space="preserve">en el antecedente Sexto del Anteproyecto en comento, en el Instituto se han recibido diversas solicitudes del Tribunal Electoral del Poder Judicial de la Federación (en lo sucesivo el “TEPJF”) para la inscripción en el Registro Público de Concesiones de sanciones que, como parte de sus facultades, han sido impuestas a concesionarios que prestan servicios de radiodifusión, en este sentido, se determinó señalar en el “Acuerdo mediante el cual el Pleno del Instituto Federal de Telecomunicaciones adiciona la fracción XV del artículo 4 de los Lineamientos del Registro Público de Concesiones” (en lo sucesivo, “el Acuerdo”), a los Tribunales del Poder Judicial de la Federación entre los cuales se incluye el Tribunal Electoral del Poder Judicial de la Federación, quien de conformidad con lo señalado en la Ley General de Instituciones y Procedimientos Electorales, cuenta con las atribuciones necesarias </w:t>
      </w:r>
      <w:r w:rsidR="00C47D2A" w:rsidRPr="00D843BC">
        <w:rPr>
          <w:rFonts w:ascii="ITC Avant Garde" w:hAnsi="ITC Avant Garde"/>
          <w:sz w:val="20"/>
          <w:szCs w:val="20"/>
        </w:rPr>
        <w:t>para imponer las sanciones correspondientes.</w:t>
      </w:r>
    </w:p>
    <w:p w14:paraId="4CD9DC80" w14:textId="77777777" w:rsidR="007F50A1" w:rsidRPr="00D843BC" w:rsidRDefault="007F50A1" w:rsidP="00C47D2A">
      <w:pPr>
        <w:spacing w:after="0" w:line="276" w:lineRule="auto"/>
        <w:ind w:left="426"/>
        <w:jc w:val="both"/>
        <w:rPr>
          <w:rFonts w:ascii="ITC Avant Garde" w:hAnsi="ITC Avant Garde"/>
          <w:sz w:val="20"/>
          <w:szCs w:val="20"/>
        </w:rPr>
      </w:pPr>
    </w:p>
    <w:p w14:paraId="5CECFD1B" w14:textId="1EB30950" w:rsidR="00633B02" w:rsidRPr="00D843BC" w:rsidRDefault="008D4F05" w:rsidP="00C47D2A">
      <w:pPr>
        <w:spacing w:after="0" w:line="276" w:lineRule="auto"/>
        <w:ind w:left="426"/>
        <w:jc w:val="both"/>
        <w:rPr>
          <w:rFonts w:ascii="ITC Avant Garde" w:hAnsi="ITC Avant Garde"/>
          <w:sz w:val="20"/>
          <w:szCs w:val="20"/>
        </w:rPr>
      </w:pPr>
      <w:r w:rsidRPr="00D843BC">
        <w:rPr>
          <w:rFonts w:ascii="ITC Avant Garde" w:hAnsi="ITC Avant Garde"/>
          <w:b/>
          <w:sz w:val="20"/>
          <w:szCs w:val="20"/>
        </w:rPr>
        <w:t xml:space="preserve">COMENTARIO: </w:t>
      </w:r>
      <w:r w:rsidR="00C47D2A" w:rsidRPr="00D843BC">
        <w:rPr>
          <w:rFonts w:ascii="ITC Avant Garde" w:hAnsi="ITC Avant Garde"/>
          <w:sz w:val="20"/>
          <w:szCs w:val="20"/>
        </w:rPr>
        <w:t>A</w:t>
      </w:r>
      <w:r w:rsidR="00633B02" w:rsidRPr="00D843BC">
        <w:rPr>
          <w:rFonts w:ascii="ITC Avant Garde" w:hAnsi="ITC Avant Garde"/>
          <w:sz w:val="20"/>
          <w:szCs w:val="20"/>
        </w:rPr>
        <w:t>simismo, refiere</w:t>
      </w:r>
      <w:r w:rsidR="00C47D2A" w:rsidRPr="00D843BC">
        <w:rPr>
          <w:rFonts w:ascii="ITC Avant Garde" w:hAnsi="ITC Avant Garde"/>
          <w:sz w:val="20"/>
          <w:szCs w:val="20"/>
        </w:rPr>
        <w:t xml:space="preserve"> Mega Cable</w:t>
      </w:r>
      <w:r w:rsidR="00633B02" w:rsidRPr="00D843BC">
        <w:rPr>
          <w:rFonts w:ascii="ITC Avant Garde" w:hAnsi="ITC Avant Garde"/>
          <w:sz w:val="20"/>
          <w:szCs w:val="20"/>
        </w:rPr>
        <w:t xml:space="preserve"> que</w:t>
      </w:r>
      <w:r w:rsidR="00C47D2A" w:rsidRPr="00D843BC">
        <w:rPr>
          <w:rFonts w:ascii="ITC Avant Garde" w:hAnsi="ITC Avant Garde"/>
          <w:sz w:val="20"/>
          <w:szCs w:val="20"/>
        </w:rPr>
        <w:t>,</w:t>
      </w:r>
      <w:r w:rsidR="00633B02" w:rsidRPr="00D843BC">
        <w:rPr>
          <w:rFonts w:ascii="ITC Avant Garde" w:hAnsi="ITC Avant Garde"/>
          <w:sz w:val="20"/>
          <w:szCs w:val="20"/>
        </w:rPr>
        <w:t xml:space="preserve"> contrario a lo plasmado en el Anteproyecto en mención y de conformidad a las disposiciones legales, las sentencias de amparo se registran en el Consejo de la Judicatura y no en el Instituto Federal de Telecomunicaciones.</w:t>
      </w:r>
    </w:p>
    <w:p w14:paraId="0AB6D026" w14:textId="77777777" w:rsidR="00A40283" w:rsidRPr="00D843BC" w:rsidRDefault="00A40283" w:rsidP="00C47D2A">
      <w:pPr>
        <w:spacing w:after="0" w:line="276" w:lineRule="auto"/>
        <w:ind w:left="426"/>
        <w:jc w:val="both"/>
        <w:rPr>
          <w:rFonts w:ascii="ITC Avant Garde" w:hAnsi="ITC Avant Garde"/>
          <w:sz w:val="20"/>
          <w:szCs w:val="20"/>
        </w:rPr>
      </w:pPr>
    </w:p>
    <w:p w14:paraId="225C0564" w14:textId="13708140" w:rsidR="00A40283" w:rsidRPr="00D843BC" w:rsidRDefault="00A40283" w:rsidP="00A40283">
      <w:pPr>
        <w:spacing w:after="0" w:line="276" w:lineRule="auto"/>
        <w:ind w:left="426"/>
        <w:jc w:val="both"/>
        <w:rPr>
          <w:rFonts w:ascii="ITC Avant Garde" w:hAnsi="ITC Avant Garde"/>
          <w:sz w:val="20"/>
          <w:szCs w:val="20"/>
        </w:rPr>
      </w:pPr>
      <w:r w:rsidRPr="00D843BC">
        <w:rPr>
          <w:rFonts w:ascii="ITC Avant Garde" w:hAnsi="ITC Avant Garde"/>
          <w:sz w:val="20"/>
          <w:szCs w:val="20"/>
        </w:rPr>
        <w:t>De igual manera alude a que el Instituto no fundamenta ni motiva la razón por la que pretende inscribir las sanciones que imponen a concesionarios y autorizados en materia de telecomunicaciones; dando como consecuencia la ilegalidad de la adición</w:t>
      </w:r>
      <w:r w:rsidR="008435E8" w:rsidRPr="00D843BC">
        <w:rPr>
          <w:rFonts w:ascii="ITC Avant Garde" w:hAnsi="ITC Avant Garde"/>
          <w:sz w:val="20"/>
          <w:szCs w:val="20"/>
        </w:rPr>
        <w:t>.</w:t>
      </w:r>
    </w:p>
    <w:p w14:paraId="3F47A106" w14:textId="77777777" w:rsidR="00C47D2A" w:rsidRPr="00D843BC" w:rsidRDefault="00C47D2A" w:rsidP="00C47D2A">
      <w:pPr>
        <w:spacing w:after="0" w:line="276" w:lineRule="auto"/>
        <w:ind w:left="426"/>
        <w:jc w:val="both"/>
        <w:rPr>
          <w:rFonts w:ascii="ITC Avant Garde" w:hAnsi="ITC Avant Garde"/>
          <w:sz w:val="20"/>
          <w:szCs w:val="20"/>
        </w:rPr>
      </w:pPr>
    </w:p>
    <w:p w14:paraId="39F938E6" w14:textId="52DB2A46" w:rsidR="00C47D2A" w:rsidRPr="00D843BC" w:rsidRDefault="00C47D2A" w:rsidP="00C47D2A">
      <w:pPr>
        <w:spacing w:after="0" w:line="276" w:lineRule="auto"/>
        <w:ind w:left="426"/>
        <w:jc w:val="both"/>
        <w:rPr>
          <w:rFonts w:ascii="ITC Avant Garde" w:hAnsi="ITC Avant Garde"/>
          <w:sz w:val="20"/>
          <w:szCs w:val="20"/>
        </w:rPr>
      </w:pPr>
      <w:r w:rsidRPr="00D843BC">
        <w:rPr>
          <w:rFonts w:ascii="ITC Avant Garde" w:hAnsi="ITC Avant Garde"/>
          <w:b/>
          <w:sz w:val="20"/>
          <w:szCs w:val="20"/>
        </w:rPr>
        <w:t>RESPUESTA:</w:t>
      </w:r>
      <w:r w:rsidRPr="00D843BC">
        <w:rPr>
          <w:rFonts w:ascii="ITC Avant Garde" w:hAnsi="ITC Avant Garde"/>
          <w:sz w:val="20"/>
          <w:szCs w:val="20"/>
        </w:rPr>
        <w:t xml:space="preserve"> Si bien es cierto, las sentencias emitidas por el Tribunal Electoral de la Poder Judicial de la Federación son publicadas en el portal de internet del mismo Tribunal Electoral del Poder Judicial de la Federación, también es </w:t>
      </w:r>
      <w:r w:rsidR="00A40283" w:rsidRPr="00D843BC">
        <w:rPr>
          <w:rFonts w:ascii="ITC Avant Garde" w:hAnsi="ITC Avant Garde"/>
          <w:sz w:val="20"/>
          <w:szCs w:val="20"/>
        </w:rPr>
        <w:t xml:space="preserve">cierto que, al estar relacionadas con los concesionarios de servicios de telecomunicaciones y radiodifusión, la debida inscripción en el Registro Público de Concesiones y su publicación, forma parte de la regulación, promoción y supervisión del uso y aprovechamiento y explotación del espectro radioeléctrico, los recursos orbitales, satelitales, las redes de telecomunicaciones, incluyendo las redes públicas de telecomunicaciones, que tiene a su cargo el Instituto, por lo que </w:t>
      </w:r>
      <w:r w:rsidR="008435E8" w:rsidRPr="00D843BC">
        <w:rPr>
          <w:rFonts w:ascii="ITC Avant Garde" w:hAnsi="ITC Avant Garde"/>
          <w:sz w:val="20"/>
          <w:szCs w:val="20"/>
        </w:rPr>
        <w:t>no se considera contrario a derecho</w:t>
      </w:r>
      <w:r w:rsidR="00A40283" w:rsidRPr="00D843BC">
        <w:rPr>
          <w:rFonts w:ascii="ITC Avant Garde" w:hAnsi="ITC Avant Garde"/>
          <w:sz w:val="20"/>
          <w:szCs w:val="20"/>
        </w:rPr>
        <w:t xml:space="preserve"> inscribir y publicar las mismas en el portal del Registro Público de Concesiones del Instituto.</w:t>
      </w:r>
    </w:p>
    <w:p w14:paraId="1D1E6BE5" w14:textId="77777777" w:rsidR="008435E8" w:rsidRPr="00D843BC" w:rsidRDefault="008435E8" w:rsidP="008D4F05">
      <w:pPr>
        <w:spacing w:after="0" w:line="276" w:lineRule="auto"/>
        <w:jc w:val="both"/>
        <w:rPr>
          <w:rFonts w:ascii="ITC Avant Garde" w:hAnsi="ITC Avant Garde"/>
          <w:sz w:val="20"/>
          <w:szCs w:val="20"/>
        </w:rPr>
      </w:pPr>
    </w:p>
    <w:p w14:paraId="4B2C66D0" w14:textId="2D9213D1" w:rsidR="00EB6334" w:rsidRPr="00D843BC" w:rsidRDefault="008D4F05" w:rsidP="00C47D2A">
      <w:pPr>
        <w:spacing w:after="0" w:line="276" w:lineRule="auto"/>
        <w:ind w:left="426"/>
        <w:jc w:val="both"/>
        <w:rPr>
          <w:rFonts w:ascii="ITC Avant Garde" w:hAnsi="ITC Avant Garde"/>
          <w:sz w:val="20"/>
          <w:szCs w:val="20"/>
        </w:rPr>
      </w:pPr>
      <w:r w:rsidRPr="00D843BC">
        <w:rPr>
          <w:rFonts w:ascii="ITC Avant Garde" w:hAnsi="ITC Avant Garde"/>
          <w:b/>
          <w:sz w:val="20"/>
          <w:szCs w:val="20"/>
        </w:rPr>
        <w:t xml:space="preserve">COMENTARIO: </w:t>
      </w:r>
      <w:r w:rsidR="00EB6334" w:rsidRPr="00D843BC">
        <w:rPr>
          <w:rFonts w:ascii="ITC Avant Garde" w:hAnsi="ITC Avant Garde"/>
          <w:sz w:val="20"/>
          <w:szCs w:val="20"/>
        </w:rPr>
        <w:t>Por otro lado, refiere que es importante considerar que, de conformidad a lo establecido en los artículos 1, 9, 97, 113 y demás relativos y aplicable, de la Ley Federal de Transparencia y Acceso a la Información Pública, esta Autoridad está obligada a clasificar la información confidencial y proteger los datos personales de las personas jurídicas, incluidos informes económicos, comerciales y aquellos inherentes a la identidad.</w:t>
      </w:r>
    </w:p>
    <w:p w14:paraId="0171198D" w14:textId="77777777" w:rsidR="00A40283" w:rsidRPr="00D843BC" w:rsidRDefault="00A40283" w:rsidP="00C47D2A">
      <w:pPr>
        <w:spacing w:after="0" w:line="276" w:lineRule="auto"/>
        <w:ind w:left="426"/>
        <w:jc w:val="both"/>
        <w:rPr>
          <w:rFonts w:ascii="ITC Avant Garde" w:hAnsi="ITC Avant Garde"/>
          <w:sz w:val="20"/>
          <w:szCs w:val="20"/>
        </w:rPr>
      </w:pPr>
    </w:p>
    <w:p w14:paraId="6AEDDD7C" w14:textId="77777777" w:rsidR="00EB6334" w:rsidRPr="00D843BC" w:rsidRDefault="00EB6334" w:rsidP="00C47D2A">
      <w:pPr>
        <w:spacing w:after="0" w:line="276" w:lineRule="auto"/>
        <w:ind w:left="426"/>
        <w:jc w:val="both"/>
        <w:rPr>
          <w:rFonts w:ascii="ITC Avant Garde" w:hAnsi="ITC Avant Garde"/>
          <w:sz w:val="20"/>
          <w:szCs w:val="20"/>
        </w:rPr>
      </w:pPr>
      <w:r w:rsidRPr="00D843BC">
        <w:rPr>
          <w:rFonts w:ascii="ITC Avant Garde" w:hAnsi="ITC Avant Garde"/>
          <w:sz w:val="20"/>
          <w:szCs w:val="20"/>
        </w:rPr>
        <w:t>Por lo que aduce que, el Instituto tiene la obligación de velar por la protección de los datos personales y deben permanecer ajenos al conocimiento, vista e injerencia de terceros.</w:t>
      </w:r>
    </w:p>
    <w:p w14:paraId="4256BEC8" w14:textId="77777777" w:rsidR="00A40283" w:rsidRPr="00D843BC" w:rsidRDefault="00A40283" w:rsidP="00C47D2A">
      <w:pPr>
        <w:spacing w:after="0" w:line="276" w:lineRule="auto"/>
        <w:ind w:left="426"/>
        <w:jc w:val="both"/>
        <w:rPr>
          <w:rFonts w:ascii="ITC Avant Garde" w:hAnsi="ITC Avant Garde"/>
          <w:sz w:val="20"/>
          <w:szCs w:val="20"/>
        </w:rPr>
      </w:pPr>
    </w:p>
    <w:p w14:paraId="14E1D0DB" w14:textId="77777777" w:rsidR="00633B02" w:rsidRPr="00D843BC" w:rsidRDefault="00EB6334" w:rsidP="00C47D2A">
      <w:pPr>
        <w:spacing w:after="0" w:line="276" w:lineRule="auto"/>
        <w:ind w:left="426"/>
        <w:jc w:val="both"/>
        <w:rPr>
          <w:rFonts w:ascii="ITC Avant Garde" w:hAnsi="ITC Avant Garde"/>
          <w:sz w:val="20"/>
          <w:szCs w:val="20"/>
        </w:rPr>
      </w:pPr>
      <w:r w:rsidRPr="00D843BC">
        <w:rPr>
          <w:rFonts w:ascii="ITC Avant Garde" w:hAnsi="ITC Avant Garde"/>
          <w:sz w:val="20"/>
          <w:szCs w:val="20"/>
        </w:rPr>
        <w:t>Precisando de igual manera que el Anteproyecto se da en contravención a dicha disposición normativa, así como al propio principio de legalidad; ya que, si bien es cierto, que las disposiciones legales le otorgan al Instituto diversos poderes para su actuar como Autoridad en la materia, también es cierto que dichas disposiciones regulan su ejercicio; por lo que, el Instituto pretende ir más allá de las facultades que le otorga la ley sin una justificación objetiva y razonable.</w:t>
      </w:r>
    </w:p>
    <w:p w14:paraId="36161F00" w14:textId="77777777" w:rsidR="00A40283" w:rsidRPr="00D843BC" w:rsidRDefault="00A40283" w:rsidP="00C47D2A">
      <w:pPr>
        <w:spacing w:after="0" w:line="276" w:lineRule="auto"/>
        <w:ind w:left="426"/>
        <w:jc w:val="both"/>
        <w:rPr>
          <w:rFonts w:ascii="ITC Avant Garde" w:hAnsi="ITC Avant Garde"/>
          <w:sz w:val="20"/>
          <w:szCs w:val="20"/>
        </w:rPr>
      </w:pPr>
    </w:p>
    <w:p w14:paraId="09B01ABF" w14:textId="70D3F679" w:rsidR="00A40283" w:rsidRPr="00D843BC" w:rsidRDefault="00A40283" w:rsidP="00A40283">
      <w:pPr>
        <w:spacing w:after="0" w:line="276" w:lineRule="auto"/>
        <w:ind w:left="426"/>
        <w:jc w:val="both"/>
        <w:rPr>
          <w:rFonts w:ascii="ITC Avant Garde" w:hAnsi="ITC Avant Garde"/>
          <w:sz w:val="20"/>
          <w:szCs w:val="20"/>
        </w:rPr>
      </w:pPr>
      <w:r w:rsidRPr="00D843BC">
        <w:rPr>
          <w:rFonts w:ascii="ITC Avant Garde" w:hAnsi="ITC Avant Garde"/>
          <w:b/>
          <w:sz w:val="20"/>
          <w:szCs w:val="20"/>
        </w:rPr>
        <w:lastRenderedPageBreak/>
        <w:t>RESPUESTA:</w:t>
      </w:r>
      <w:r w:rsidRPr="00D843BC">
        <w:rPr>
          <w:rFonts w:ascii="ITC Avant Garde" w:hAnsi="ITC Avant Garde"/>
          <w:sz w:val="20"/>
          <w:szCs w:val="20"/>
        </w:rPr>
        <w:t xml:space="preserve"> Al respecto, es de señalar que de conformidad con lo señalado en el tercer párrafo del artículo 178 de la Ley Federal de Telecomunicaciones y Radiodifusión el Registro </w:t>
      </w:r>
      <w:r w:rsidR="008435E8" w:rsidRPr="00D843BC">
        <w:rPr>
          <w:rFonts w:ascii="ITC Avant Garde" w:hAnsi="ITC Avant Garde"/>
          <w:sz w:val="20"/>
          <w:szCs w:val="20"/>
        </w:rPr>
        <w:t xml:space="preserve">Público de Concesiones </w:t>
      </w:r>
      <w:r w:rsidRPr="00D843BC">
        <w:rPr>
          <w:rFonts w:ascii="ITC Avant Garde" w:hAnsi="ITC Avant Garde"/>
          <w:sz w:val="20"/>
          <w:szCs w:val="20"/>
        </w:rPr>
        <w:t>es un instrumento con el que el Instituto promoverá la transparencia y el acceso a la información; por tal razón el Instituto promoverá, permanentemente, la inclusión de nuevos actos materia de registro, así como la mayor publicidad y acceso a la información en él registrada, bajo principios de gobierno digital y datos abiertos.</w:t>
      </w:r>
    </w:p>
    <w:p w14:paraId="43FEB966" w14:textId="77777777" w:rsidR="00A40283" w:rsidRPr="00D843BC" w:rsidRDefault="00A40283" w:rsidP="00C47D2A">
      <w:pPr>
        <w:spacing w:after="0" w:line="276" w:lineRule="auto"/>
        <w:ind w:left="426"/>
        <w:jc w:val="both"/>
        <w:rPr>
          <w:rFonts w:ascii="ITC Avant Garde" w:hAnsi="ITC Avant Garde"/>
          <w:sz w:val="20"/>
          <w:szCs w:val="20"/>
        </w:rPr>
      </w:pPr>
    </w:p>
    <w:p w14:paraId="6D67351F" w14:textId="77777777" w:rsidR="00384D2E" w:rsidRPr="00D843BC" w:rsidRDefault="00A40283" w:rsidP="00C47D2A">
      <w:pPr>
        <w:spacing w:after="0" w:line="276" w:lineRule="auto"/>
        <w:ind w:left="426"/>
        <w:jc w:val="both"/>
        <w:rPr>
          <w:rFonts w:ascii="ITC Avant Garde" w:hAnsi="ITC Avant Garde"/>
          <w:sz w:val="20"/>
          <w:szCs w:val="20"/>
        </w:rPr>
      </w:pPr>
      <w:r w:rsidRPr="00D843BC">
        <w:rPr>
          <w:rFonts w:ascii="ITC Avant Garde" w:hAnsi="ITC Avant Garde"/>
          <w:sz w:val="20"/>
          <w:szCs w:val="20"/>
        </w:rPr>
        <w:t>Asimismo, y toda vez como se ha precisado</w:t>
      </w:r>
      <w:r w:rsidR="008435E8" w:rsidRPr="00D843BC">
        <w:rPr>
          <w:rFonts w:ascii="ITC Avant Garde" w:hAnsi="ITC Avant Garde"/>
          <w:sz w:val="20"/>
          <w:szCs w:val="20"/>
        </w:rPr>
        <w:t xml:space="preserve"> en párrafos previos</w:t>
      </w:r>
      <w:r w:rsidRPr="00D843BC">
        <w:rPr>
          <w:rFonts w:ascii="ITC Avant Garde" w:hAnsi="ITC Avant Garde"/>
          <w:sz w:val="20"/>
          <w:szCs w:val="20"/>
        </w:rPr>
        <w:t xml:space="preserve">, las sanciones sujetas a inscripción a las que se refiere el Acuerdo serán publicadas previamente en el portal de Internet del Tribunal Electoral del Poder Judicial de la Federación, </w:t>
      </w:r>
      <w:r w:rsidR="008435E8" w:rsidRPr="00D843BC">
        <w:rPr>
          <w:rFonts w:ascii="ITC Avant Garde" w:hAnsi="ITC Avant Garde"/>
          <w:sz w:val="20"/>
          <w:szCs w:val="20"/>
        </w:rPr>
        <w:t xml:space="preserve">en este sentido, </w:t>
      </w:r>
      <w:r w:rsidRPr="00D843BC">
        <w:rPr>
          <w:rFonts w:ascii="ITC Avant Garde" w:hAnsi="ITC Avant Garde"/>
          <w:sz w:val="20"/>
          <w:szCs w:val="20"/>
        </w:rPr>
        <w:t xml:space="preserve">con </w:t>
      </w:r>
      <w:r w:rsidR="008435E8" w:rsidRPr="00D843BC">
        <w:rPr>
          <w:rFonts w:ascii="ITC Avant Garde" w:hAnsi="ITC Avant Garde"/>
          <w:sz w:val="20"/>
          <w:szCs w:val="20"/>
        </w:rPr>
        <w:t>la</w:t>
      </w:r>
      <w:r w:rsidRPr="00D843BC">
        <w:rPr>
          <w:rFonts w:ascii="ITC Avant Garde" w:hAnsi="ITC Avant Garde"/>
          <w:sz w:val="20"/>
          <w:szCs w:val="20"/>
        </w:rPr>
        <w:t xml:space="preserve"> inscripción y publicación en el Registro Público de Concesiones del Instituto no se estaría vulnerando alguna información que sea de carácter confidencial o reservada</w:t>
      </w:r>
      <w:r w:rsidR="00384D2E" w:rsidRPr="00D843BC">
        <w:rPr>
          <w:rFonts w:ascii="ITC Avant Garde" w:hAnsi="ITC Avant Garde"/>
          <w:sz w:val="20"/>
          <w:szCs w:val="20"/>
        </w:rPr>
        <w:t>.</w:t>
      </w:r>
    </w:p>
    <w:p w14:paraId="32B92EC5" w14:textId="77777777" w:rsidR="00384D2E" w:rsidRPr="00D843BC" w:rsidRDefault="00384D2E" w:rsidP="00C47D2A">
      <w:pPr>
        <w:spacing w:after="0" w:line="276" w:lineRule="auto"/>
        <w:ind w:left="426"/>
        <w:jc w:val="both"/>
        <w:rPr>
          <w:rFonts w:ascii="ITC Avant Garde" w:hAnsi="ITC Avant Garde"/>
          <w:sz w:val="20"/>
          <w:szCs w:val="20"/>
        </w:rPr>
      </w:pPr>
    </w:p>
    <w:p w14:paraId="1E1B57BF" w14:textId="7F1BE4CB" w:rsidR="00A40283" w:rsidRPr="00D843BC" w:rsidRDefault="00384D2E" w:rsidP="00C47D2A">
      <w:pPr>
        <w:spacing w:after="0" w:line="276" w:lineRule="auto"/>
        <w:ind w:left="426"/>
        <w:jc w:val="both"/>
        <w:rPr>
          <w:rFonts w:ascii="ITC Avant Garde" w:hAnsi="ITC Avant Garde"/>
          <w:sz w:val="20"/>
          <w:szCs w:val="20"/>
        </w:rPr>
      </w:pPr>
      <w:r w:rsidRPr="00D843BC">
        <w:rPr>
          <w:rFonts w:ascii="ITC Avant Garde" w:hAnsi="ITC Avant Garde"/>
          <w:sz w:val="20"/>
          <w:szCs w:val="20"/>
        </w:rPr>
        <w:t>No obstante, resulta importante destacar que</w:t>
      </w:r>
      <w:r w:rsidR="00B706F5" w:rsidRPr="00D843BC">
        <w:rPr>
          <w:rFonts w:ascii="ITC Avant Garde" w:hAnsi="ITC Avant Garde"/>
          <w:sz w:val="20"/>
          <w:szCs w:val="20"/>
        </w:rPr>
        <w:t>,</w:t>
      </w:r>
      <w:r w:rsidR="00A40283" w:rsidRPr="00D843BC">
        <w:rPr>
          <w:rFonts w:ascii="ITC Avant Garde" w:hAnsi="ITC Avant Garde"/>
          <w:sz w:val="20"/>
          <w:szCs w:val="20"/>
        </w:rPr>
        <w:t xml:space="preserve"> en caso de ser necesario, el </w:t>
      </w:r>
      <w:r w:rsidR="00B706F5" w:rsidRPr="00D843BC">
        <w:rPr>
          <w:rFonts w:ascii="ITC Avant Garde" w:hAnsi="ITC Avant Garde"/>
          <w:sz w:val="20"/>
          <w:szCs w:val="20"/>
        </w:rPr>
        <w:t xml:space="preserve">Instituto </w:t>
      </w:r>
      <w:r w:rsidRPr="00D843BC">
        <w:rPr>
          <w:rFonts w:ascii="ITC Avant Garde" w:hAnsi="ITC Avant Garde"/>
          <w:sz w:val="20"/>
          <w:szCs w:val="20"/>
        </w:rPr>
        <w:t xml:space="preserve">está obligado a </w:t>
      </w:r>
      <w:r w:rsidR="00B706F5" w:rsidRPr="00D843BC">
        <w:rPr>
          <w:rFonts w:ascii="ITC Avant Garde" w:hAnsi="ITC Avant Garde"/>
          <w:sz w:val="20"/>
          <w:szCs w:val="20"/>
        </w:rPr>
        <w:t>elabor la clasificación de la información correspondiente</w:t>
      </w:r>
      <w:r w:rsidRPr="00D843BC">
        <w:rPr>
          <w:rFonts w:ascii="ITC Avant Garde" w:hAnsi="ITC Avant Garde"/>
          <w:sz w:val="20"/>
          <w:szCs w:val="20"/>
        </w:rPr>
        <w:t>, en caso de que exista información reservada o confidencial,</w:t>
      </w:r>
      <w:r w:rsidR="00B706F5" w:rsidRPr="00D843BC">
        <w:rPr>
          <w:rFonts w:ascii="ITC Avant Garde" w:hAnsi="ITC Avant Garde"/>
          <w:sz w:val="20"/>
          <w:szCs w:val="20"/>
        </w:rPr>
        <w:t xml:space="preserve"> de conformidad con lo que dispone la Ley en materia de transparencia y protección de datos personales.</w:t>
      </w:r>
      <w:r w:rsidR="00A40283" w:rsidRPr="00D843BC">
        <w:rPr>
          <w:rFonts w:ascii="ITC Avant Garde" w:hAnsi="ITC Avant Garde"/>
          <w:sz w:val="20"/>
          <w:szCs w:val="20"/>
        </w:rPr>
        <w:t xml:space="preserve"> </w:t>
      </w:r>
    </w:p>
    <w:p w14:paraId="1A01FE20" w14:textId="77777777" w:rsidR="0047425B" w:rsidRPr="00D843BC" w:rsidRDefault="0047425B" w:rsidP="00C47D2A">
      <w:pPr>
        <w:spacing w:after="0" w:line="276" w:lineRule="auto"/>
        <w:ind w:left="426"/>
        <w:jc w:val="both"/>
        <w:rPr>
          <w:rFonts w:ascii="ITC Avant Garde" w:hAnsi="ITC Avant Garde"/>
          <w:sz w:val="20"/>
          <w:szCs w:val="20"/>
        </w:rPr>
      </w:pPr>
    </w:p>
    <w:p w14:paraId="597ECCE4" w14:textId="77777777" w:rsidR="0047425B" w:rsidRPr="00D843BC" w:rsidRDefault="0047425B" w:rsidP="00C47D2A">
      <w:pPr>
        <w:spacing w:after="0" w:line="276" w:lineRule="auto"/>
        <w:ind w:left="426"/>
        <w:jc w:val="both"/>
        <w:rPr>
          <w:rFonts w:ascii="ITC Avant Garde" w:hAnsi="ITC Avant Garde"/>
          <w:sz w:val="20"/>
          <w:szCs w:val="20"/>
        </w:rPr>
      </w:pPr>
      <w:r w:rsidRPr="00D843BC">
        <w:rPr>
          <w:rFonts w:ascii="ITC Avant Garde" w:hAnsi="ITC Avant Garde"/>
          <w:sz w:val="20"/>
          <w:szCs w:val="20"/>
        </w:rPr>
        <w:t xml:space="preserve">Finalmente, el Instituto agradece los comentarios realizados por el participante. </w:t>
      </w:r>
    </w:p>
    <w:p w14:paraId="70873AAA" w14:textId="77777777" w:rsidR="00A40283" w:rsidRPr="00D843BC" w:rsidRDefault="00A40283" w:rsidP="00C47D2A">
      <w:pPr>
        <w:spacing w:after="0" w:line="276" w:lineRule="auto"/>
        <w:ind w:left="426"/>
        <w:jc w:val="both"/>
        <w:rPr>
          <w:rFonts w:ascii="ITC Avant Garde" w:hAnsi="ITC Avant Garde"/>
          <w:sz w:val="20"/>
          <w:szCs w:val="20"/>
        </w:rPr>
      </w:pPr>
    </w:p>
    <w:p w14:paraId="0EE284EC" w14:textId="77777777" w:rsidR="008976DF" w:rsidRPr="00D843BC" w:rsidRDefault="008976DF" w:rsidP="00D843BC">
      <w:pPr>
        <w:pStyle w:val="Prrafodelista"/>
        <w:numPr>
          <w:ilvl w:val="0"/>
          <w:numId w:val="43"/>
        </w:numPr>
        <w:spacing w:after="0" w:line="276" w:lineRule="auto"/>
        <w:ind w:left="709" w:hanging="283"/>
        <w:jc w:val="both"/>
        <w:rPr>
          <w:rFonts w:ascii="ITC Avant Garde" w:hAnsi="ITC Avant Garde"/>
          <w:b/>
          <w:sz w:val="20"/>
          <w:szCs w:val="20"/>
        </w:rPr>
      </w:pPr>
      <w:r w:rsidRPr="00D843BC">
        <w:rPr>
          <w:rFonts w:ascii="ITC Avant Garde" w:hAnsi="ITC Avant Garde"/>
          <w:b/>
          <w:sz w:val="20"/>
          <w:szCs w:val="20"/>
        </w:rPr>
        <w:t>CABLEVISIÓN, S.A. DE C.V., OPERBES, S.A. DE C.V., CABLEMÁS TELECOMUNICACIONES, S.A. DE C.V., MÉXICO RED DE TELECOMUNICACIONES, S. DE R.L. DE C.V., TELEVISIÓN INTERNACIONAL, S.A. DE C.V., CABLEVISIÓN RED, S.A. DE C.V., TV CABLE DE ORIENTE, S.A. DE C.V.</w:t>
      </w:r>
    </w:p>
    <w:p w14:paraId="2311FA46" w14:textId="77777777" w:rsidR="008976DF" w:rsidRPr="00D843BC" w:rsidRDefault="008976DF" w:rsidP="00C47D2A">
      <w:pPr>
        <w:spacing w:after="0" w:line="276" w:lineRule="auto"/>
        <w:ind w:left="426"/>
        <w:jc w:val="both"/>
        <w:rPr>
          <w:rFonts w:ascii="ITC Avant Garde" w:hAnsi="ITC Avant Garde"/>
          <w:sz w:val="20"/>
          <w:szCs w:val="20"/>
        </w:rPr>
      </w:pPr>
    </w:p>
    <w:p w14:paraId="03BB0D2D" w14:textId="2CE2C01A" w:rsidR="00A44E62" w:rsidRPr="00D843BC" w:rsidRDefault="008D4F05" w:rsidP="00C47D2A">
      <w:pPr>
        <w:spacing w:after="0" w:line="276" w:lineRule="auto"/>
        <w:ind w:left="426"/>
        <w:jc w:val="both"/>
        <w:rPr>
          <w:rFonts w:ascii="ITC Avant Garde" w:hAnsi="ITC Avant Garde"/>
          <w:sz w:val="20"/>
          <w:szCs w:val="20"/>
        </w:rPr>
      </w:pPr>
      <w:r w:rsidRPr="00D843BC">
        <w:rPr>
          <w:rFonts w:ascii="ITC Avant Garde" w:hAnsi="ITC Avant Garde"/>
          <w:b/>
          <w:sz w:val="20"/>
          <w:szCs w:val="20"/>
        </w:rPr>
        <w:t xml:space="preserve">COMENTARIO: </w:t>
      </w:r>
      <w:r w:rsidR="00EB6334" w:rsidRPr="00D843BC">
        <w:rPr>
          <w:rFonts w:ascii="ITC Avant Garde" w:hAnsi="ITC Avant Garde"/>
          <w:sz w:val="20"/>
          <w:szCs w:val="20"/>
        </w:rPr>
        <w:t xml:space="preserve">Por su parte Cablevisión, S.A. de C.V., </w:t>
      </w:r>
      <w:proofErr w:type="spellStart"/>
      <w:r w:rsidR="00EB6334" w:rsidRPr="00D843BC">
        <w:rPr>
          <w:rFonts w:ascii="ITC Avant Garde" w:hAnsi="ITC Avant Garde"/>
          <w:sz w:val="20"/>
          <w:szCs w:val="20"/>
        </w:rPr>
        <w:t>Operbes</w:t>
      </w:r>
      <w:proofErr w:type="spellEnd"/>
      <w:r w:rsidR="00EB6334" w:rsidRPr="00D843BC">
        <w:rPr>
          <w:rFonts w:ascii="ITC Avant Garde" w:hAnsi="ITC Avant Garde"/>
          <w:sz w:val="20"/>
          <w:szCs w:val="20"/>
        </w:rPr>
        <w:t>, S.A. de C.V., Cablemás Telecomunicaciones, S.A. de C.V., México Red de Telecomunicaciones, S. de R.L. de C.V., Televisión Internacional, S.A. de C.V., Cablevisión Red, S.A. de C.V., y TV Cable de Oriente, S.A. de C.V. (en lo sucesivo, “Grupo Televisa”), señala que</w:t>
      </w:r>
      <w:r w:rsidR="00B706F5" w:rsidRPr="00D843BC">
        <w:rPr>
          <w:rFonts w:ascii="ITC Avant Garde" w:hAnsi="ITC Avant Garde"/>
          <w:sz w:val="20"/>
          <w:szCs w:val="20"/>
        </w:rPr>
        <w:t>, e</w:t>
      </w:r>
      <w:r w:rsidR="00A44E62" w:rsidRPr="00D843BC">
        <w:rPr>
          <w:rFonts w:ascii="ITC Avant Garde" w:hAnsi="ITC Avant Garde"/>
          <w:sz w:val="20"/>
          <w:szCs w:val="20"/>
        </w:rPr>
        <w:t xml:space="preserve">n virtud del principio de legalidad, los actos de autoridad deben fundarse y motivarse. Esto quiere decir que “ha de expresarse con precisión el precepto legal aplicable al caso” y “también deben señalarse con precisión, las circunstancias especiales, razones particulares o causas inmediatas que se hayan tenido en consideración para la emisión del acto, siendo </w:t>
      </w:r>
      <w:proofErr w:type="gramStart"/>
      <w:r w:rsidR="00A44E62" w:rsidRPr="00D843BC">
        <w:rPr>
          <w:rFonts w:ascii="ITC Avant Garde" w:hAnsi="ITC Avant Garde"/>
          <w:sz w:val="20"/>
          <w:szCs w:val="20"/>
        </w:rPr>
        <w:t>necesario</w:t>
      </w:r>
      <w:proofErr w:type="gramEnd"/>
      <w:r w:rsidR="00A44E62" w:rsidRPr="00D843BC">
        <w:rPr>
          <w:rFonts w:ascii="ITC Avant Garde" w:hAnsi="ITC Avant Garde"/>
          <w:sz w:val="20"/>
          <w:szCs w:val="20"/>
        </w:rPr>
        <w:t xml:space="preserve"> además, que exista adecuación entre los motivos aducidos y las normas aplicables”.</w:t>
      </w:r>
    </w:p>
    <w:p w14:paraId="39F51E3C" w14:textId="77777777" w:rsidR="00B706F5" w:rsidRPr="00D843BC" w:rsidRDefault="00B706F5" w:rsidP="00C47D2A">
      <w:pPr>
        <w:spacing w:after="0" w:line="276" w:lineRule="auto"/>
        <w:ind w:left="426"/>
        <w:jc w:val="both"/>
        <w:rPr>
          <w:rFonts w:ascii="ITC Avant Garde" w:hAnsi="ITC Avant Garde"/>
          <w:sz w:val="20"/>
          <w:szCs w:val="20"/>
        </w:rPr>
      </w:pPr>
    </w:p>
    <w:p w14:paraId="0B95C80E" w14:textId="77777777" w:rsidR="00A44E62" w:rsidRPr="00D843BC" w:rsidRDefault="00B706F5" w:rsidP="00C47D2A">
      <w:pPr>
        <w:spacing w:after="0" w:line="276" w:lineRule="auto"/>
        <w:ind w:left="426"/>
        <w:jc w:val="both"/>
        <w:rPr>
          <w:rFonts w:ascii="ITC Avant Garde" w:hAnsi="ITC Avant Garde"/>
          <w:sz w:val="20"/>
          <w:szCs w:val="20"/>
        </w:rPr>
      </w:pPr>
      <w:r w:rsidRPr="00D843BC">
        <w:rPr>
          <w:rFonts w:ascii="ITC Avant Garde" w:hAnsi="ITC Avant Garde"/>
          <w:sz w:val="20"/>
          <w:szCs w:val="20"/>
        </w:rPr>
        <w:t>Refiere que e</w:t>
      </w:r>
      <w:r w:rsidR="00A44E62" w:rsidRPr="00D843BC">
        <w:rPr>
          <w:rFonts w:ascii="ITC Avant Garde" w:hAnsi="ITC Avant Garde"/>
          <w:sz w:val="20"/>
          <w:szCs w:val="20"/>
        </w:rPr>
        <w:t xml:space="preserve">l RPC se encuentra regulado en los artículos 177, 178, 179 y 180 de la Ley Federal de Telecomunicaciones y Radiodifusión (“LFTR”). No obstante, de ninguna de las disposiciones citadas se observa la voluntad del legislador para que ese Instituto </w:t>
      </w:r>
      <w:r w:rsidR="00A44E62" w:rsidRPr="00D843BC">
        <w:rPr>
          <w:rFonts w:ascii="ITC Avant Garde" w:hAnsi="ITC Avant Garde"/>
          <w:sz w:val="20"/>
          <w:szCs w:val="20"/>
        </w:rPr>
        <w:lastRenderedPageBreak/>
        <w:t>inscriba las sanciones impuestas por algún órgano dependiente del Poder Judicial de la Federación o cualquier otra autoridad jurisdiccional. De lo anterior, se advierte que no existe fundamento legal para adicionar la fracción XV al artículo 4 de los Lineamientos.</w:t>
      </w:r>
    </w:p>
    <w:p w14:paraId="0C2875EA" w14:textId="77777777" w:rsidR="00B706F5" w:rsidRPr="00D843BC" w:rsidRDefault="00B706F5" w:rsidP="00C47D2A">
      <w:pPr>
        <w:spacing w:after="0" w:line="276" w:lineRule="auto"/>
        <w:ind w:left="426"/>
        <w:jc w:val="both"/>
        <w:rPr>
          <w:rFonts w:ascii="ITC Avant Garde" w:hAnsi="ITC Avant Garde"/>
          <w:sz w:val="20"/>
          <w:szCs w:val="20"/>
        </w:rPr>
      </w:pPr>
    </w:p>
    <w:p w14:paraId="074047A9" w14:textId="70F9CEB5" w:rsidR="00A44E62" w:rsidRPr="00D843BC" w:rsidRDefault="00B706F5" w:rsidP="00C47D2A">
      <w:pPr>
        <w:spacing w:after="0" w:line="276" w:lineRule="auto"/>
        <w:ind w:left="426"/>
        <w:jc w:val="both"/>
        <w:rPr>
          <w:rFonts w:ascii="ITC Avant Garde" w:hAnsi="ITC Avant Garde"/>
          <w:sz w:val="20"/>
          <w:szCs w:val="20"/>
        </w:rPr>
      </w:pPr>
      <w:proofErr w:type="gramStart"/>
      <w:r w:rsidRPr="00D843BC">
        <w:rPr>
          <w:rFonts w:ascii="ITC Avant Garde" w:hAnsi="ITC Avant Garde"/>
          <w:sz w:val="20"/>
          <w:szCs w:val="20"/>
        </w:rPr>
        <w:t>Asimismo</w:t>
      </w:r>
      <w:proofErr w:type="gramEnd"/>
      <w:r w:rsidRPr="00D843BC">
        <w:rPr>
          <w:rFonts w:ascii="ITC Avant Garde" w:hAnsi="ITC Avant Garde"/>
          <w:sz w:val="20"/>
          <w:szCs w:val="20"/>
        </w:rPr>
        <w:t xml:space="preserve"> señala que</w:t>
      </w:r>
      <w:r w:rsidR="00A44E62" w:rsidRPr="00D843BC">
        <w:rPr>
          <w:rFonts w:ascii="ITC Avant Garde" w:hAnsi="ITC Avant Garde"/>
          <w:sz w:val="20"/>
          <w:szCs w:val="20"/>
        </w:rPr>
        <w:t xml:space="preserve">, ese Instituto refiere que el artículo 177 de la LFTR, relacionado con el artículo 4 de los Lineamientos, no prevé en ninguna de sus fracciones, la inscripción en el RPC de las sanciones impuestas por las autoridades del Poder Judicial de la Federación o cualquier otra autoridad jurisdiccional. Sin embargo, se pretende justificar dicha inclusión con base en la fracción XXII del artículo 177 de la LFTR que establece la facultad del Pleno de ese Instituto de </w:t>
      </w:r>
      <w:r w:rsidR="008435E8" w:rsidRPr="00D843BC">
        <w:rPr>
          <w:rFonts w:ascii="ITC Avant Garde" w:hAnsi="ITC Avant Garde"/>
          <w:sz w:val="20"/>
          <w:szCs w:val="20"/>
        </w:rPr>
        <w:t>acordar</w:t>
      </w:r>
      <w:r w:rsidR="00A44E62" w:rsidRPr="00D843BC">
        <w:rPr>
          <w:rFonts w:ascii="ITC Avant Garde" w:hAnsi="ITC Avant Garde"/>
          <w:sz w:val="20"/>
          <w:szCs w:val="20"/>
        </w:rPr>
        <w:t xml:space="preserve"> la inscripción de cualquier otro documento distinto que determine.</w:t>
      </w:r>
    </w:p>
    <w:p w14:paraId="4809D3F8" w14:textId="77777777" w:rsidR="00F305CD" w:rsidRPr="00D843BC" w:rsidRDefault="00F305CD" w:rsidP="00C47D2A">
      <w:pPr>
        <w:spacing w:after="0" w:line="276" w:lineRule="auto"/>
        <w:ind w:left="426"/>
        <w:jc w:val="both"/>
        <w:rPr>
          <w:rFonts w:ascii="ITC Avant Garde" w:hAnsi="ITC Avant Garde"/>
          <w:sz w:val="20"/>
          <w:szCs w:val="20"/>
        </w:rPr>
      </w:pPr>
    </w:p>
    <w:p w14:paraId="3C15A610" w14:textId="3E4A4456" w:rsidR="00A44E62" w:rsidRPr="00D843BC" w:rsidRDefault="00A44E62" w:rsidP="00C47D2A">
      <w:pPr>
        <w:spacing w:after="0" w:line="276" w:lineRule="auto"/>
        <w:ind w:left="426"/>
        <w:jc w:val="both"/>
        <w:rPr>
          <w:rFonts w:ascii="ITC Avant Garde" w:hAnsi="ITC Avant Garde"/>
          <w:sz w:val="20"/>
          <w:szCs w:val="20"/>
        </w:rPr>
      </w:pPr>
      <w:r w:rsidRPr="00D843BC">
        <w:rPr>
          <w:rFonts w:ascii="ITC Avant Garde" w:hAnsi="ITC Avant Garde"/>
          <w:sz w:val="20"/>
          <w:szCs w:val="20"/>
        </w:rPr>
        <w:t>P</w:t>
      </w:r>
      <w:r w:rsidR="00F305CD" w:rsidRPr="00D843BC">
        <w:rPr>
          <w:rFonts w:ascii="ITC Avant Garde" w:hAnsi="ITC Avant Garde"/>
          <w:sz w:val="20"/>
          <w:szCs w:val="20"/>
        </w:rPr>
        <w:t>recisando que su</w:t>
      </w:r>
      <w:r w:rsidRPr="00D843BC">
        <w:rPr>
          <w:rFonts w:ascii="ITC Avant Garde" w:hAnsi="ITC Avant Garde"/>
          <w:sz w:val="20"/>
          <w:szCs w:val="20"/>
        </w:rPr>
        <w:t xml:space="preserve">s Representadas consideran que ese Instituto omite que, en todo caso, deberá motivar adecuadamente el por qué estima que deberían inscribirse las sanciones impuestas por autoridades del Poder Judicial de la Federación o cualquier otra autoridad jurisdiccional. En ese sentido, de la lectura del </w:t>
      </w:r>
      <w:r w:rsidR="008435E8" w:rsidRPr="00D843BC">
        <w:rPr>
          <w:rFonts w:ascii="ITC Avant Garde" w:hAnsi="ITC Avant Garde"/>
          <w:sz w:val="20"/>
          <w:szCs w:val="20"/>
        </w:rPr>
        <w:t>A</w:t>
      </w:r>
      <w:r w:rsidRPr="00D843BC">
        <w:rPr>
          <w:rFonts w:ascii="ITC Avant Garde" w:hAnsi="ITC Avant Garde"/>
          <w:sz w:val="20"/>
          <w:szCs w:val="20"/>
        </w:rPr>
        <w:t>nteproyecto, no se advierte razonamiento alguno tendiente a justificar esta cuestión, ni siquiera se observa cuál sería el beneficio que con dicho registro se generaría a la sociedad o a los usuarios finales de los servicios de telecomunicaciones y radiodifusión.</w:t>
      </w:r>
    </w:p>
    <w:p w14:paraId="25908CE7" w14:textId="77777777" w:rsidR="00F305CD" w:rsidRPr="00D843BC" w:rsidRDefault="00F305CD" w:rsidP="00C47D2A">
      <w:pPr>
        <w:spacing w:after="0" w:line="276" w:lineRule="auto"/>
        <w:ind w:left="426"/>
        <w:jc w:val="both"/>
        <w:rPr>
          <w:rFonts w:ascii="ITC Avant Garde" w:hAnsi="ITC Avant Garde"/>
          <w:sz w:val="20"/>
          <w:szCs w:val="20"/>
        </w:rPr>
      </w:pPr>
    </w:p>
    <w:p w14:paraId="357A52A2" w14:textId="40200B9A" w:rsidR="00A44E62" w:rsidRPr="00D843BC" w:rsidRDefault="00F305CD" w:rsidP="00C47D2A">
      <w:pPr>
        <w:spacing w:after="0" w:line="276" w:lineRule="auto"/>
        <w:ind w:left="426"/>
        <w:jc w:val="both"/>
        <w:rPr>
          <w:rFonts w:ascii="ITC Avant Garde" w:hAnsi="ITC Avant Garde"/>
          <w:sz w:val="20"/>
          <w:szCs w:val="20"/>
        </w:rPr>
      </w:pPr>
      <w:r w:rsidRPr="00D843BC">
        <w:rPr>
          <w:rFonts w:ascii="ITC Avant Garde" w:hAnsi="ITC Avant Garde"/>
          <w:sz w:val="20"/>
          <w:szCs w:val="20"/>
        </w:rPr>
        <w:t>De igual manera señala</w:t>
      </w:r>
      <w:r w:rsidR="00FB5D18" w:rsidRPr="00D843BC">
        <w:rPr>
          <w:rFonts w:ascii="ITC Avant Garde" w:hAnsi="ITC Avant Garde"/>
          <w:sz w:val="20"/>
          <w:szCs w:val="20"/>
        </w:rPr>
        <w:t xml:space="preserve"> Grupo Televisa</w:t>
      </w:r>
      <w:r w:rsidRPr="00D843BC">
        <w:rPr>
          <w:rFonts w:ascii="ITC Avant Garde" w:hAnsi="ITC Avant Garde"/>
          <w:sz w:val="20"/>
          <w:szCs w:val="20"/>
        </w:rPr>
        <w:t xml:space="preserve"> que, </w:t>
      </w:r>
      <w:r w:rsidR="00A44E62" w:rsidRPr="00D843BC">
        <w:rPr>
          <w:rFonts w:ascii="ITC Avant Garde" w:hAnsi="ITC Avant Garde"/>
          <w:sz w:val="20"/>
          <w:szCs w:val="20"/>
        </w:rPr>
        <w:t xml:space="preserve">de la lectura del </w:t>
      </w:r>
      <w:r w:rsidR="008435E8" w:rsidRPr="00D843BC">
        <w:rPr>
          <w:rFonts w:ascii="ITC Avant Garde" w:hAnsi="ITC Avant Garde"/>
          <w:sz w:val="20"/>
          <w:szCs w:val="20"/>
        </w:rPr>
        <w:t>A</w:t>
      </w:r>
      <w:r w:rsidR="00A44E62" w:rsidRPr="00D843BC">
        <w:rPr>
          <w:rFonts w:ascii="ITC Avant Garde" w:hAnsi="ITC Avant Garde"/>
          <w:sz w:val="20"/>
          <w:szCs w:val="20"/>
        </w:rPr>
        <w:t>nteproyecto se aprecia que ese Instituto señala que la Sala Regional Especializada del Tribunal Electoral del Poder Judicial de la Federación, supuestamente, en el ejercicio de sus atribuciones constitucionales, en los procedimientos especiales sancionadores instaurados en contra de diversos concesionarios de servicios de radiodifusión, ha dado vista con las sanciones impuestas y ha solicitado su inscripción en el RPC. No obstante, del análisis del marco normativo aplicable a la materia, no es posible advertir la facultad de las Salas del Tribunal Electoral para solicitar a ese Instituto que las sanciones sean inscritas en su RPC, excediendo su ámbito de competencia.</w:t>
      </w:r>
    </w:p>
    <w:p w14:paraId="30C0ED17" w14:textId="77777777" w:rsidR="00F305CD" w:rsidRPr="00D843BC" w:rsidRDefault="00F305CD" w:rsidP="00C47D2A">
      <w:pPr>
        <w:spacing w:after="0" w:line="276" w:lineRule="auto"/>
        <w:ind w:left="426"/>
        <w:jc w:val="both"/>
        <w:rPr>
          <w:rFonts w:ascii="ITC Avant Garde" w:hAnsi="ITC Avant Garde"/>
          <w:sz w:val="20"/>
          <w:szCs w:val="20"/>
        </w:rPr>
      </w:pPr>
    </w:p>
    <w:p w14:paraId="745455D5" w14:textId="77777777" w:rsidR="00A44E62" w:rsidRPr="00D843BC" w:rsidRDefault="00FB5D18" w:rsidP="00C47D2A">
      <w:pPr>
        <w:spacing w:after="0" w:line="276" w:lineRule="auto"/>
        <w:ind w:left="426"/>
        <w:jc w:val="both"/>
        <w:rPr>
          <w:rFonts w:ascii="ITC Avant Garde" w:hAnsi="ITC Avant Garde"/>
          <w:sz w:val="20"/>
          <w:szCs w:val="20"/>
        </w:rPr>
      </w:pPr>
      <w:r w:rsidRPr="00D843BC">
        <w:rPr>
          <w:rFonts w:ascii="ITC Avant Garde" w:hAnsi="ITC Avant Garde"/>
          <w:sz w:val="20"/>
          <w:szCs w:val="20"/>
        </w:rPr>
        <w:t>Puntualizando que, lo a</w:t>
      </w:r>
      <w:r w:rsidR="00A44E62" w:rsidRPr="00D843BC">
        <w:rPr>
          <w:rFonts w:ascii="ITC Avant Garde" w:hAnsi="ITC Avant Garde"/>
          <w:sz w:val="20"/>
          <w:szCs w:val="20"/>
        </w:rPr>
        <w:t>nterior se hace aún más patente si se toma en consideración que la naturaleza de las infracciones y de su correspondiente imposición en materia electoral, son diametralmente distintas de aquellas conductas que pudieran encuadrar dentro de las infracciones y sanciones</w:t>
      </w:r>
      <w:r w:rsidR="00F305CD" w:rsidRPr="00D843BC">
        <w:rPr>
          <w:rFonts w:ascii="ITC Avant Garde" w:hAnsi="ITC Avant Garde"/>
          <w:sz w:val="20"/>
          <w:szCs w:val="20"/>
        </w:rPr>
        <w:t xml:space="preserve"> </w:t>
      </w:r>
      <w:r w:rsidR="00A44E62" w:rsidRPr="00D843BC">
        <w:rPr>
          <w:rFonts w:ascii="ITC Avant Garde" w:hAnsi="ITC Avant Garde"/>
          <w:sz w:val="20"/>
          <w:szCs w:val="20"/>
        </w:rPr>
        <w:t>correspondientes al cúmulo de atribuciones de ese Instituto. Máxime, que la inscripción de las sanciones en el RPC que en su caso pudiera imponer una Sala Regional o cualquier otra autoridad jurisdiccional a ningún fin práctico llevaría dado que, en los procedimientos sancionadores en materia telecomunicaciones y radiodifusión no son relevantes las sanciones impuestas en materia electoral para efectos de la individualización de las sanciones que en su caso se impongan en estos.</w:t>
      </w:r>
    </w:p>
    <w:p w14:paraId="626DBB59" w14:textId="77777777" w:rsidR="00F305CD" w:rsidRPr="00D843BC" w:rsidRDefault="00F305CD" w:rsidP="00C47D2A">
      <w:pPr>
        <w:spacing w:after="0" w:line="276" w:lineRule="auto"/>
        <w:ind w:left="426"/>
        <w:jc w:val="both"/>
        <w:rPr>
          <w:rFonts w:ascii="ITC Avant Garde" w:hAnsi="ITC Avant Garde"/>
          <w:sz w:val="20"/>
          <w:szCs w:val="20"/>
        </w:rPr>
      </w:pPr>
    </w:p>
    <w:p w14:paraId="26B91F9F" w14:textId="77777777" w:rsidR="00A44E62" w:rsidRPr="00D843BC" w:rsidRDefault="00FB5D18" w:rsidP="00C47D2A">
      <w:pPr>
        <w:spacing w:after="0" w:line="276" w:lineRule="auto"/>
        <w:ind w:left="426"/>
        <w:jc w:val="both"/>
        <w:rPr>
          <w:rFonts w:ascii="ITC Avant Garde" w:hAnsi="ITC Avant Garde"/>
          <w:sz w:val="20"/>
          <w:szCs w:val="20"/>
        </w:rPr>
      </w:pPr>
      <w:r w:rsidRPr="00D843BC">
        <w:rPr>
          <w:rFonts w:ascii="ITC Avant Garde" w:hAnsi="ITC Avant Garde"/>
          <w:sz w:val="20"/>
          <w:szCs w:val="20"/>
        </w:rPr>
        <w:t>Señala que, t</w:t>
      </w:r>
      <w:r w:rsidR="00A44E62" w:rsidRPr="00D843BC">
        <w:rPr>
          <w:rFonts w:ascii="ITC Avant Garde" w:hAnsi="ITC Avant Garde"/>
          <w:sz w:val="20"/>
          <w:szCs w:val="20"/>
        </w:rPr>
        <w:t>ampoco se observa cómo la solicitud realizada por la Sala Regional Especializada del Tribunal Electoral del Poder Judicial de la Federación podría trasladarse a una facultad para inscribir en el RPC cualquier otra sanción impuesta por un organismo del Poder Judicial de la Federación. A mayor abundamiento, no se advierte que el Poder Judicial de la Federación a través de cualquiera de sus organismos cuente con facultades para registrar las sanciones que imponga a los concesionarios de telecomunicaciones en el RPC. Por lo anterior, bajo ninguna interpretación posible se justifica que el IFT inscriba determinaciones en el RPC, diversas de aquellas que este organismo emita; situación que corrobora la ilegalidad de la adición propuesta por ese Instituto como consecuencia de su carente fundamentación y motivación.</w:t>
      </w:r>
    </w:p>
    <w:p w14:paraId="26FEEBE2" w14:textId="77777777" w:rsidR="0047425B" w:rsidRPr="00D843BC" w:rsidRDefault="0047425B" w:rsidP="00C47D2A">
      <w:pPr>
        <w:spacing w:after="0" w:line="276" w:lineRule="auto"/>
        <w:ind w:left="426"/>
        <w:jc w:val="both"/>
        <w:rPr>
          <w:rFonts w:ascii="ITC Avant Garde" w:hAnsi="ITC Avant Garde"/>
          <w:sz w:val="20"/>
          <w:szCs w:val="20"/>
        </w:rPr>
      </w:pPr>
    </w:p>
    <w:p w14:paraId="1CABFDC4" w14:textId="77777777" w:rsidR="00A44E62" w:rsidRPr="00D843BC" w:rsidRDefault="004C628A" w:rsidP="00C47D2A">
      <w:pPr>
        <w:spacing w:after="0" w:line="276" w:lineRule="auto"/>
        <w:ind w:left="426"/>
        <w:jc w:val="both"/>
        <w:rPr>
          <w:rFonts w:ascii="ITC Avant Garde" w:hAnsi="ITC Avant Garde"/>
          <w:sz w:val="20"/>
          <w:szCs w:val="20"/>
        </w:rPr>
      </w:pPr>
      <w:proofErr w:type="gramStart"/>
      <w:r w:rsidRPr="00D843BC">
        <w:rPr>
          <w:rFonts w:ascii="ITC Avant Garde" w:hAnsi="ITC Avant Garde"/>
          <w:sz w:val="20"/>
          <w:szCs w:val="20"/>
        </w:rPr>
        <w:t>Asimismo</w:t>
      </w:r>
      <w:proofErr w:type="gramEnd"/>
      <w:r w:rsidR="00FB5D18" w:rsidRPr="00D843BC">
        <w:rPr>
          <w:rFonts w:ascii="ITC Avant Garde" w:hAnsi="ITC Avant Garde"/>
          <w:sz w:val="20"/>
          <w:szCs w:val="20"/>
        </w:rPr>
        <w:t xml:space="preserve"> Grupo Televisa señala que</w:t>
      </w:r>
      <w:r w:rsidR="00A44E62" w:rsidRPr="00D843BC">
        <w:rPr>
          <w:rFonts w:ascii="ITC Avant Garde" w:hAnsi="ITC Avant Garde"/>
          <w:sz w:val="20"/>
          <w:szCs w:val="20"/>
        </w:rPr>
        <w:t xml:space="preserve"> </w:t>
      </w:r>
      <w:r w:rsidR="00FB5D18" w:rsidRPr="00D843BC">
        <w:rPr>
          <w:rFonts w:ascii="ITC Avant Garde" w:hAnsi="ITC Avant Garde"/>
          <w:sz w:val="20"/>
          <w:szCs w:val="20"/>
        </w:rPr>
        <w:t>sus</w:t>
      </w:r>
      <w:r w:rsidR="00A44E62" w:rsidRPr="00D843BC">
        <w:rPr>
          <w:rFonts w:ascii="ITC Avant Garde" w:hAnsi="ITC Avant Garde"/>
          <w:sz w:val="20"/>
          <w:szCs w:val="20"/>
        </w:rPr>
        <w:t xml:space="preserve"> Representadas consideran que la adición de la fracción XV al Artículo 4 de los Lineamientos genera las siguientes violaciones:</w:t>
      </w:r>
    </w:p>
    <w:p w14:paraId="0D3318AE" w14:textId="77777777" w:rsidR="0047425B" w:rsidRPr="00D843BC" w:rsidRDefault="0047425B" w:rsidP="00C47D2A">
      <w:pPr>
        <w:spacing w:after="0" w:line="276" w:lineRule="auto"/>
        <w:ind w:left="426"/>
        <w:jc w:val="both"/>
        <w:rPr>
          <w:rFonts w:ascii="ITC Avant Garde" w:hAnsi="ITC Avant Garde"/>
          <w:sz w:val="20"/>
          <w:szCs w:val="20"/>
        </w:rPr>
      </w:pPr>
    </w:p>
    <w:p w14:paraId="7C4681D5" w14:textId="77777777" w:rsidR="00A44E62" w:rsidRPr="00D843BC" w:rsidRDefault="00FB5D18" w:rsidP="00C47D2A">
      <w:pPr>
        <w:spacing w:after="0" w:line="276" w:lineRule="auto"/>
        <w:ind w:left="426"/>
        <w:jc w:val="both"/>
        <w:rPr>
          <w:rFonts w:ascii="ITC Avant Garde" w:hAnsi="ITC Avant Garde"/>
          <w:b/>
          <w:sz w:val="20"/>
          <w:szCs w:val="20"/>
        </w:rPr>
      </w:pPr>
      <w:r w:rsidRPr="00D843BC">
        <w:rPr>
          <w:rFonts w:ascii="ITC Avant Garde" w:hAnsi="ITC Avant Garde"/>
          <w:sz w:val="20"/>
          <w:szCs w:val="20"/>
        </w:rPr>
        <w:t>“</w:t>
      </w:r>
      <w:r w:rsidR="00A44E62" w:rsidRPr="00D843BC">
        <w:rPr>
          <w:rFonts w:ascii="ITC Avant Garde" w:hAnsi="ITC Avant Garde"/>
          <w:b/>
          <w:sz w:val="20"/>
          <w:szCs w:val="20"/>
        </w:rPr>
        <w:t>- Incertidumbre jurídica</w:t>
      </w:r>
    </w:p>
    <w:p w14:paraId="37EFB22E" w14:textId="77777777" w:rsidR="0047425B" w:rsidRPr="00D843BC" w:rsidRDefault="0047425B" w:rsidP="00C47D2A">
      <w:pPr>
        <w:spacing w:after="0" w:line="276" w:lineRule="auto"/>
        <w:ind w:left="426"/>
        <w:jc w:val="both"/>
        <w:rPr>
          <w:rFonts w:ascii="ITC Avant Garde" w:hAnsi="ITC Avant Garde"/>
          <w:sz w:val="20"/>
          <w:szCs w:val="20"/>
        </w:rPr>
      </w:pPr>
    </w:p>
    <w:p w14:paraId="01935479" w14:textId="77777777" w:rsidR="00A44E62" w:rsidRPr="00D843BC" w:rsidRDefault="00A44E62" w:rsidP="00C47D2A">
      <w:pPr>
        <w:spacing w:after="0" w:line="276" w:lineRule="auto"/>
        <w:ind w:left="426"/>
        <w:jc w:val="both"/>
        <w:rPr>
          <w:rFonts w:ascii="ITC Avant Garde" w:hAnsi="ITC Avant Garde"/>
          <w:sz w:val="20"/>
          <w:szCs w:val="20"/>
        </w:rPr>
      </w:pPr>
      <w:r w:rsidRPr="00D843BC">
        <w:rPr>
          <w:rFonts w:ascii="ITC Avant Garde" w:hAnsi="ITC Avant Garde"/>
          <w:sz w:val="20"/>
          <w:szCs w:val="20"/>
        </w:rPr>
        <w:t>La adición propuesta por ese Instituto genera una situación de incertidumbre jurídica, pues la inscripción de sanciones impuestas por organismos del Poder Judicial de la Federación en el RPC se encuentra sujeta solamente a la solicitud de dichos organismos. Esto quiere decir que el registro en cuestión depende de la única voluntad de las autoridades del Poder Judicial de la Federación, sin que se encuentre determinado un criterio objetivo – por ejemplo, cuantía, relevancia o cualquier otro elemento – que sea un indicador de cuáles sanciones deben registrarse. De esta manera, los organismos del Poder Judicial de la Federación podrían incurrir en el absurdo de no solicitar registro alguno de sanciones, o bien, que sólo registren aquellas sanciones que discrecionalmente consideren adecuadas conforme a criterios únicamente personales.</w:t>
      </w:r>
    </w:p>
    <w:p w14:paraId="0C1C5D8F" w14:textId="77777777" w:rsidR="0047425B" w:rsidRPr="00D843BC" w:rsidRDefault="0047425B" w:rsidP="00C47D2A">
      <w:pPr>
        <w:spacing w:after="0" w:line="276" w:lineRule="auto"/>
        <w:ind w:left="426"/>
        <w:jc w:val="both"/>
        <w:rPr>
          <w:rFonts w:ascii="ITC Avant Garde" w:hAnsi="ITC Avant Garde"/>
          <w:b/>
          <w:sz w:val="20"/>
          <w:szCs w:val="20"/>
        </w:rPr>
      </w:pPr>
    </w:p>
    <w:p w14:paraId="373DE1E3" w14:textId="77777777" w:rsidR="00A44E62" w:rsidRPr="00D843BC" w:rsidRDefault="00A44E62" w:rsidP="00C47D2A">
      <w:pPr>
        <w:spacing w:after="0" w:line="276" w:lineRule="auto"/>
        <w:ind w:left="426"/>
        <w:jc w:val="both"/>
        <w:rPr>
          <w:rFonts w:ascii="ITC Avant Garde" w:hAnsi="ITC Avant Garde"/>
          <w:sz w:val="20"/>
          <w:szCs w:val="20"/>
        </w:rPr>
      </w:pPr>
      <w:r w:rsidRPr="00D843BC">
        <w:rPr>
          <w:rFonts w:ascii="ITC Avant Garde" w:hAnsi="ITC Avant Garde"/>
          <w:b/>
          <w:sz w:val="20"/>
          <w:szCs w:val="20"/>
        </w:rPr>
        <w:t>- Violación al principio de igualdad</w:t>
      </w:r>
    </w:p>
    <w:p w14:paraId="5C0F8383" w14:textId="77777777" w:rsidR="0047425B" w:rsidRPr="00D843BC" w:rsidRDefault="0047425B" w:rsidP="00C47D2A">
      <w:pPr>
        <w:spacing w:after="0" w:line="276" w:lineRule="auto"/>
        <w:ind w:left="426"/>
        <w:jc w:val="both"/>
        <w:rPr>
          <w:rFonts w:ascii="ITC Avant Garde" w:hAnsi="ITC Avant Garde"/>
          <w:sz w:val="20"/>
          <w:szCs w:val="20"/>
        </w:rPr>
      </w:pPr>
    </w:p>
    <w:p w14:paraId="5A352A08" w14:textId="77777777" w:rsidR="00A44E62" w:rsidRPr="00D843BC" w:rsidRDefault="00A44E62" w:rsidP="00C47D2A">
      <w:pPr>
        <w:spacing w:after="0" w:line="276" w:lineRule="auto"/>
        <w:ind w:left="426"/>
        <w:jc w:val="both"/>
        <w:rPr>
          <w:rFonts w:ascii="ITC Avant Garde" w:hAnsi="ITC Avant Garde"/>
          <w:sz w:val="20"/>
          <w:szCs w:val="20"/>
        </w:rPr>
      </w:pPr>
      <w:r w:rsidRPr="00D843BC">
        <w:rPr>
          <w:rFonts w:ascii="ITC Avant Garde" w:hAnsi="ITC Avant Garde"/>
          <w:sz w:val="20"/>
          <w:szCs w:val="20"/>
        </w:rPr>
        <w:t>Asimismo, al no existir un criterio objetivo para el registro de sanciones, las autoridades judiciales pueden utilizar criterios discriminatorios para seleccionar qué sanciones registrar. Al respecto, la Suprema Corte de Justicia de la Nación ha determinado que, de conformidad con el principio de igualdad, existe “un mandamiento de trato igual en</w:t>
      </w:r>
      <w:r w:rsidR="0047425B" w:rsidRPr="00D843BC">
        <w:rPr>
          <w:rFonts w:ascii="ITC Avant Garde" w:hAnsi="ITC Avant Garde"/>
          <w:sz w:val="20"/>
          <w:szCs w:val="20"/>
        </w:rPr>
        <w:t xml:space="preserve"> </w:t>
      </w:r>
      <w:r w:rsidRPr="00D843BC">
        <w:rPr>
          <w:rFonts w:ascii="ITC Avant Garde" w:hAnsi="ITC Avant Garde"/>
          <w:sz w:val="20"/>
          <w:szCs w:val="20"/>
        </w:rPr>
        <w:t xml:space="preserve">supuestos de hecho equivalentes, salvo que exista un fundamento objetivo y razonable que permita darles uno desigual y, por otro, un mandato de tratamiento desigual, que obliga al legislador a prever diferencias entre supuestos de hecho distintos cuando la propia Constitución las imponga”.3 En ese sentido, la inscripción en el RPC de sanciones impuestas a concesionarios por órganos del Poder Judicial de la </w:t>
      </w:r>
      <w:r w:rsidRPr="00D843BC">
        <w:rPr>
          <w:rFonts w:ascii="ITC Avant Garde" w:hAnsi="ITC Avant Garde"/>
          <w:sz w:val="20"/>
          <w:szCs w:val="20"/>
        </w:rPr>
        <w:lastRenderedPageBreak/>
        <w:t>Federación, conforme a la propuesta de ese Instituto, permite un trato desigual en supuestos de hecho donde no se observa una diferencia de supuesto de hecho. Esto es así, pues las autoridades jurisdiccionales podrían decidir sólo registrar las sanciones impuestas a determinados concesionarios con base en criterios personales, sin que exista una justificación cierta para el trato desigual.</w:t>
      </w:r>
    </w:p>
    <w:p w14:paraId="449A4EE5" w14:textId="77777777" w:rsidR="0047425B" w:rsidRPr="00D843BC" w:rsidRDefault="0047425B" w:rsidP="00C47D2A">
      <w:pPr>
        <w:spacing w:after="0" w:line="276" w:lineRule="auto"/>
        <w:ind w:left="426"/>
        <w:jc w:val="both"/>
        <w:rPr>
          <w:rFonts w:ascii="ITC Avant Garde" w:hAnsi="ITC Avant Garde"/>
          <w:sz w:val="20"/>
          <w:szCs w:val="20"/>
        </w:rPr>
      </w:pPr>
    </w:p>
    <w:p w14:paraId="6ED186CC" w14:textId="77777777" w:rsidR="00A44E62" w:rsidRPr="00D843BC" w:rsidRDefault="00A44E62" w:rsidP="00C47D2A">
      <w:pPr>
        <w:spacing w:after="0" w:line="276" w:lineRule="auto"/>
        <w:ind w:left="426"/>
        <w:jc w:val="both"/>
        <w:rPr>
          <w:rFonts w:ascii="ITC Avant Garde" w:hAnsi="ITC Avant Garde"/>
          <w:b/>
          <w:sz w:val="20"/>
          <w:szCs w:val="20"/>
        </w:rPr>
      </w:pPr>
      <w:r w:rsidRPr="00D843BC">
        <w:rPr>
          <w:rFonts w:ascii="ITC Avant Garde" w:hAnsi="ITC Avant Garde"/>
          <w:b/>
          <w:sz w:val="20"/>
          <w:szCs w:val="20"/>
        </w:rPr>
        <w:t>- Lesión injustificada</w:t>
      </w:r>
    </w:p>
    <w:p w14:paraId="772D379E" w14:textId="77777777" w:rsidR="00FB5D18" w:rsidRPr="00D843BC" w:rsidRDefault="00FB5D18" w:rsidP="00C47D2A">
      <w:pPr>
        <w:spacing w:after="0" w:line="276" w:lineRule="auto"/>
        <w:ind w:left="426"/>
        <w:jc w:val="both"/>
        <w:rPr>
          <w:rFonts w:ascii="ITC Avant Garde" w:hAnsi="ITC Avant Garde"/>
          <w:b/>
          <w:sz w:val="20"/>
          <w:szCs w:val="20"/>
        </w:rPr>
      </w:pPr>
    </w:p>
    <w:p w14:paraId="1CBB9DD0" w14:textId="77777777" w:rsidR="00A44E62" w:rsidRPr="00D843BC" w:rsidRDefault="00A44E62" w:rsidP="00C47D2A">
      <w:pPr>
        <w:spacing w:after="0" w:line="276" w:lineRule="auto"/>
        <w:ind w:left="426"/>
        <w:jc w:val="both"/>
        <w:rPr>
          <w:rFonts w:ascii="ITC Avant Garde" w:hAnsi="ITC Avant Garde"/>
          <w:sz w:val="20"/>
          <w:szCs w:val="20"/>
        </w:rPr>
      </w:pPr>
      <w:r w:rsidRPr="00D843BC">
        <w:rPr>
          <w:rFonts w:ascii="ITC Avant Garde" w:hAnsi="ITC Avant Garde"/>
          <w:sz w:val="20"/>
          <w:szCs w:val="20"/>
        </w:rPr>
        <w:t>Conforme a lo anterior, es evidente que la adición propuesta por ese Instituto causa diversas lesiones. Por ello, vale la pena cuestionarse si hay justificación alguna para la existencia de dicha medida en el ordenamiento jurídico. Al respecto, la Suprema Corte de Justicia de la Nación ha indicado que existen ciertas medidas lesivas que pudieran justificar su existencia en el ordenamiento jurídico en virtud de que: 1) persiguen un fin constitucionalmente válido, 2) resultan idóneas para proteger dicha finalidad, 3) son necesarias y 4) resultan proporcionales.4 No obstante, en el presente caso no se observa que las medidas cumplan con dichos estándares pues su única motivación se deriva de una vista otorgada por una Sala Regional del Tribunal Electoral de Poder Judicial de la Federación, sin que se observe la persecución de una finalidad constitucionalmente válida. Consecuentemente, ni siquiera es viable analizar si la medida: 1) es un mecanismo idóneo para satisfacer un fin constitucionalmente válido, 2) es necesaria al no existir otro mecanismo menos lesivo, o bien, 3) si resulta proporcional conforme a la finalidad constitucionalmente perseguida.</w:t>
      </w:r>
    </w:p>
    <w:p w14:paraId="64A20050" w14:textId="77777777" w:rsidR="0047425B" w:rsidRPr="00D843BC" w:rsidRDefault="0047425B" w:rsidP="00C47D2A">
      <w:pPr>
        <w:spacing w:after="0" w:line="276" w:lineRule="auto"/>
        <w:ind w:left="426"/>
        <w:jc w:val="both"/>
        <w:rPr>
          <w:rFonts w:ascii="ITC Avant Garde" w:hAnsi="ITC Avant Garde"/>
          <w:sz w:val="20"/>
          <w:szCs w:val="20"/>
        </w:rPr>
      </w:pPr>
    </w:p>
    <w:p w14:paraId="35F2EF67" w14:textId="77777777" w:rsidR="00EB6334" w:rsidRPr="00D843BC" w:rsidRDefault="00A44E62" w:rsidP="00C47D2A">
      <w:pPr>
        <w:spacing w:after="0" w:line="276" w:lineRule="auto"/>
        <w:ind w:left="426"/>
        <w:jc w:val="both"/>
        <w:rPr>
          <w:rFonts w:ascii="ITC Avant Garde" w:hAnsi="ITC Avant Garde"/>
          <w:sz w:val="20"/>
          <w:szCs w:val="20"/>
        </w:rPr>
      </w:pPr>
      <w:r w:rsidRPr="00D843BC">
        <w:rPr>
          <w:rFonts w:ascii="ITC Avant Garde" w:hAnsi="ITC Avant Garde"/>
          <w:sz w:val="20"/>
          <w:szCs w:val="20"/>
        </w:rPr>
        <w:t>Máxime, si se considera que la adición analizada no se ciñe únicamente a la materia electoral, de donde proviene la iniciativa de registro de sanciones, sino que incluye en términos generales aquellas “sanciones, que hayan quedado firmes, impuestas por los Tribunales del Poder Judicial de la Federación a concesionarios y autorizados en materia de telecomunicaciones y radiodifusión por motivo del ejercicio de sus títulos de concesión o autorización”, lo que no resulta acorde con los considerandos del anteproyecto analizado ni con la petición que supuestamente realizó una Sala del Tribunal Electoral y abarca indebidamente toda sanción relacionada con los títulos de concesión o autorización.</w:t>
      </w:r>
      <w:r w:rsidR="00FB5D18" w:rsidRPr="00D843BC">
        <w:rPr>
          <w:rFonts w:ascii="ITC Avant Garde" w:hAnsi="ITC Avant Garde"/>
          <w:sz w:val="20"/>
          <w:szCs w:val="20"/>
        </w:rPr>
        <w:t>”</w:t>
      </w:r>
    </w:p>
    <w:p w14:paraId="43D7234D" w14:textId="77777777" w:rsidR="00EB6334" w:rsidRPr="00D843BC" w:rsidRDefault="00EB6334" w:rsidP="00C47D2A">
      <w:pPr>
        <w:spacing w:after="0" w:line="276" w:lineRule="auto"/>
        <w:ind w:left="426"/>
        <w:jc w:val="both"/>
        <w:rPr>
          <w:rFonts w:ascii="ITC Avant Garde" w:hAnsi="ITC Avant Garde"/>
          <w:sz w:val="20"/>
          <w:szCs w:val="20"/>
        </w:rPr>
      </w:pPr>
    </w:p>
    <w:p w14:paraId="2F72157E" w14:textId="77777777" w:rsidR="00FB5D18" w:rsidRPr="00D843BC" w:rsidRDefault="00FB5D18" w:rsidP="004D0F4D">
      <w:pPr>
        <w:spacing w:after="0" w:line="276" w:lineRule="auto"/>
        <w:ind w:left="426"/>
        <w:jc w:val="both"/>
        <w:rPr>
          <w:rFonts w:ascii="ITC Avant Garde" w:hAnsi="ITC Avant Garde"/>
          <w:sz w:val="20"/>
          <w:szCs w:val="20"/>
        </w:rPr>
      </w:pPr>
      <w:r w:rsidRPr="00D843BC">
        <w:rPr>
          <w:rFonts w:ascii="ITC Avant Garde" w:hAnsi="ITC Avant Garde"/>
          <w:b/>
          <w:sz w:val="20"/>
          <w:szCs w:val="20"/>
        </w:rPr>
        <w:t xml:space="preserve">RESPUESTA: </w:t>
      </w:r>
      <w:r w:rsidR="004D0F4D" w:rsidRPr="00D843BC">
        <w:rPr>
          <w:rFonts w:ascii="ITC Avant Garde" w:hAnsi="ITC Avant Garde"/>
          <w:sz w:val="20"/>
          <w:szCs w:val="20"/>
        </w:rPr>
        <w:t>D</w:t>
      </w:r>
      <w:r w:rsidRPr="00D843BC">
        <w:rPr>
          <w:rFonts w:ascii="ITC Avant Garde" w:hAnsi="ITC Avant Garde"/>
          <w:sz w:val="20"/>
          <w:szCs w:val="20"/>
        </w:rPr>
        <w:t xml:space="preserve">e conformidad con el artículo 28, párrafo décimo quinto de la Constitución Política de los Estados Unidos Mexicanos (en lo sucesivo, la “Constitución”), el Instituto es un órgano autónomo con personalidad jurídica y patrimonio propio, que tiene por objeto el desarrollo eficiente de la radiodifusión y las telecomunicaciones, conforme a lo dispuesto en la propia Constitución y en los términos que fijen las Leyes. </w:t>
      </w:r>
    </w:p>
    <w:p w14:paraId="46AF586B" w14:textId="77777777" w:rsidR="00FB5D18" w:rsidRPr="00D843BC" w:rsidRDefault="00FB5D18" w:rsidP="00FB5D18">
      <w:pPr>
        <w:spacing w:after="0" w:line="276" w:lineRule="auto"/>
        <w:ind w:left="426"/>
        <w:jc w:val="both"/>
        <w:rPr>
          <w:rFonts w:ascii="ITC Avant Garde" w:hAnsi="ITC Avant Garde"/>
          <w:sz w:val="20"/>
          <w:szCs w:val="20"/>
        </w:rPr>
      </w:pPr>
    </w:p>
    <w:p w14:paraId="4FDFCBF3" w14:textId="77777777" w:rsidR="00FB5D18" w:rsidRPr="00D843BC" w:rsidRDefault="00FB5D18" w:rsidP="00FB5D18">
      <w:pPr>
        <w:spacing w:after="0" w:line="276" w:lineRule="auto"/>
        <w:ind w:left="426"/>
        <w:jc w:val="both"/>
        <w:rPr>
          <w:rFonts w:ascii="ITC Avant Garde" w:hAnsi="ITC Avant Garde"/>
          <w:sz w:val="20"/>
          <w:szCs w:val="20"/>
        </w:rPr>
      </w:pPr>
      <w:r w:rsidRPr="00D843BC">
        <w:rPr>
          <w:rFonts w:ascii="ITC Avant Garde" w:hAnsi="ITC Avant Garde"/>
          <w:sz w:val="20"/>
          <w:szCs w:val="20"/>
        </w:rPr>
        <w:t xml:space="preserve">Para tal efecto, el Instituto tiene a su cargo la regulación, promoción y supervisión del uso, aprovechamiento y explotación del espectro radioeléctrico, los recursos orbitales, </w:t>
      </w:r>
      <w:r w:rsidRPr="00D843BC">
        <w:rPr>
          <w:rFonts w:ascii="ITC Avant Garde" w:hAnsi="ITC Avant Garde"/>
          <w:sz w:val="20"/>
          <w:szCs w:val="20"/>
        </w:rPr>
        <w:lastRenderedPageBreak/>
        <w:t>los servicios satelitales, las redes públicas de telecomunicaciones y la prestación de los servicios de radiodifusión y de telecomunicaciones, así como del acceso a la infraestructura activa y pasiva y otros insumos esenciales, en términos del precepto de la Constitución invocado, así como del artículo 7 de la Ley Federal de Telecomunicaciones y Radiodifusión (en lo sucesivo, la “Ley”), garantizando lo establecido en los artículos 6° y 7° de la Constitución.</w:t>
      </w:r>
    </w:p>
    <w:p w14:paraId="57A00344" w14:textId="77777777" w:rsidR="004D0F4D" w:rsidRPr="00D843BC" w:rsidRDefault="004D0F4D" w:rsidP="00FB5D18">
      <w:pPr>
        <w:spacing w:after="0" w:line="276" w:lineRule="auto"/>
        <w:ind w:left="426"/>
        <w:jc w:val="both"/>
        <w:rPr>
          <w:rFonts w:ascii="ITC Avant Garde" w:hAnsi="ITC Avant Garde"/>
          <w:sz w:val="20"/>
          <w:szCs w:val="20"/>
        </w:rPr>
      </w:pPr>
    </w:p>
    <w:p w14:paraId="30AA2750" w14:textId="11F06031" w:rsidR="001973FC" w:rsidRPr="00D843BC" w:rsidRDefault="001973FC" w:rsidP="001973FC">
      <w:pPr>
        <w:spacing w:after="0" w:line="276" w:lineRule="auto"/>
        <w:ind w:left="426"/>
        <w:jc w:val="both"/>
        <w:rPr>
          <w:rFonts w:ascii="ITC Avant Garde" w:hAnsi="ITC Avant Garde"/>
          <w:sz w:val="20"/>
          <w:szCs w:val="20"/>
        </w:rPr>
      </w:pPr>
      <w:r w:rsidRPr="00D843BC">
        <w:rPr>
          <w:rFonts w:ascii="ITC Avant Garde" w:hAnsi="ITC Avant Garde"/>
          <w:sz w:val="20"/>
          <w:szCs w:val="20"/>
        </w:rPr>
        <w:t>En este sentido y toda vez que las sanciones que remite para su inscripción y publicación en el Registro Público de Concesiones</w:t>
      </w:r>
      <w:r w:rsidR="008D4F05" w:rsidRPr="00D843BC">
        <w:rPr>
          <w:rFonts w:ascii="ITC Avant Garde" w:hAnsi="ITC Avant Garde"/>
          <w:sz w:val="20"/>
          <w:szCs w:val="20"/>
        </w:rPr>
        <w:t>,</w:t>
      </w:r>
      <w:r w:rsidRPr="00D843BC">
        <w:rPr>
          <w:rFonts w:ascii="ITC Avant Garde" w:hAnsi="ITC Avant Garde"/>
          <w:sz w:val="20"/>
          <w:szCs w:val="20"/>
        </w:rPr>
        <w:t xml:space="preserve"> el TEPJF se encuentran relacionadas con los concesionarios de servicios de telecomunicaciones y radiodifusión, la inscripción en el Registro Público de Concesiones y su publicación, forma parte de la regulación, promoción y supervisión del uso y aprovechamiento y explotación del espectro radioeléctrico, los recursos orbitales, satelitales, las redes de telecomunicaciones, incluyendo las redes públicas de telecomunicaciones, que tiene a su cargo el Instituto.</w:t>
      </w:r>
    </w:p>
    <w:p w14:paraId="0AB2F937" w14:textId="77777777" w:rsidR="001973FC" w:rsidRPr="00D843BC" w:rsidRDefault="001973FC" w:rsidP="00FB5D18">
      <w:pPr>
        <w:spacing w:after="0" w:line="276" w:lineRule="auto"/>
        <w:ind w:left="426"/>
        <w:jc w:val="both"/>
        <w:rPr>
          <w:rFonts w:ascii="ITC Avant Garde" w:hAnsi="ITC Avant Garde"/>
          <w:sz w:val="20"/>
          <w:szCs w:val="20"/>
        </w:rPr>
      </w:pPr>
    </w:p>
    <w:p w14:paraId="0F0F5B98" w14:textId="77777777" w:rsidR="001973FC" w:rsidRPr="00D843BC" w:rsidRDefault="001973FC" w:rsidP="00FB5D18">
      <w:pPr>
        <w:spacing w:after="0" w:line="276" w:lineRule="auto"/>
        <w:ind w:left="426"/>
        <w:jc w:val="both"/>
        <w:rPr>
          <w:rFonts w:ascii="ITC Avant Garde" w:hAnsi="ITC Avant Garde"/>
          <w:sz w:val="20"/>
          <w:szCs w:val="20"/>
        </w:rPr>
      </w:pPr>
    </w:p>
    <w:p w14:paraId="5B399AED" w14:textId="77777777" w:rsidR="004D0F4D" w:rsidRPr="00D843BC" w:rsidRDefault="001973FC" w:rsidP="00FB5D18">
      <w:pPr>
        <w:spacing w:after="0" w:line="276" w:lineRule="auto"/>
        <w:ind w:left="426"/>
        <w:jc w:val="both"/>
        <w:rPr>
          <w:rFonts w:ascii="ITC Avant Garde" w:hAnsi="ITC Avant Garde"/>
          <w:sz w:val="20"/>
          <w:szCs w:val="20"/>
        </w:rPr>
      </w:pPr>
      <w:r w:rsidRPr="00D843BC">
        <w:rPr>
          <w:rFonts w:ascii="ITC Avant Garde" w:hAnsi="ITC Avant Garde"/>
          <w:sz w:val="20"/>
          <w:szCs w:val="20"/>
        </w:rPr>
        <w:t xml:space="preserve">Por otra parte, como se señala en </w:t>
      </w:r>
      <w:r w:rsidR="004D0F4D" w:rsidRPr="00D843BC">
        <w:rPr>
          <w:rFonts w:ascii="ITC Avant Garde" w:hAnsi="ITC Avant Garde"/>
          <w:sz w:val="20"/>
          <w:szCs w:val="20"/>
        </w:rPr>
        <w:t>el antecedente Sexto del Anteproyecto en comento, en el Instituto se han recibido diversas solicitudes del TEPJF, para la inscripción en el Registro Público de Concesiones de sanciones que, como parte de sus facultades, han sido impuestas a concesionarios que prestan servicios de radiodifusión, en este sentido, se determinó señalar en el Acuerdo, a los Tribunales del Poder Judicial de la Federación entre los cuales se incluye el Tribunal Electoral del Poder Judicial de la Federación, quien de conformidad con lo señalado en la Ley General de Instituciones y Procedimientos Electorales, cuenta con las atribuciones necesarias para imponer las sanciones correspondientes, máxime si los concesionarios de servicios públicos de telecomunicaciones y radiodifusión que son los sujetos regulados por el Instituto Federal de Telecomunicaciones, son sujetos que pueden constituir infracciones a la Ley General de Instituciones y Procedimientos Electorales de conformidad con el Reglamento de Radio y Televisión en Materia Electoral.</w:t>
      </w:r>
    </w:p>
    <w:p w14:paraId="4BF96597" w14:textId="77777777" w:rsidR="004D0F4D" w:rsidRPr="00D843BC" w:rsidRDefault="004D0F4D" w:rsidP="00FB5D18">
      <w:pPr>
        <w:spacing w:after="0" w:line="276" w:lineRule="auto"/>
        <w:ind w:left="426"/>
        <w:jc w:val="both"/>
        <w:rPr>
          <w:rFonts w:ascii="ITC Avant Garde" w:hAnsi="ITC Avant Garde"/>
          <w:sz w:val="20"/>
          <w:szCs w:val="20"/>
        </w:rPr>
      </w:pPr>
    </w:p>
    <w:p w14:paraId="7475D5E2" w14:textId="77777777" w:rsidR="00E02315" w:rsidRPr="00D843BC" w:rsidRDefault="00E02315" w:rsidP="00FB5D18">
      <w:pPr>
        <w:spacing w:after="0" w:line="276" w:lineRule="auto"/>
        <w:ind w:left="426"/>
        <w:jc w:val="both"/>
        <w:rPr>
          <w:rFonts w:ascii="ITC Avant Garde" w:hAnsi="ITC Avant Garde"/>
          <w:sz w:val="20"/>
          <w:szCs w:val="20"/>
        </w:rPr>
      </w:pPr>
      <w:r w:rsidRPr="00D843BC">
        <w:rPr>
          <w:rFonts w:ascii="ITC Avant Garde" w:hAnsi="ITC Avant Garde"/>
          <w:sz w:val="20"/>
          <w:szCs w:val="20"/>
        </w:rPr>
        <w:t>Asimismo</w:t>
      </w:r>
      <w:r w:rsidR="00FB5D18" w:rsidRPr="00D843BC">
        <w:rPr>
          <w:rFonts w:ascii="ITC Avant Garde" w:hAnsi="ITC Avant Garde"/>
          <w:sz w:val="20"/>
          <w:szCs w:val="20"/>
        </w:rPr>
        <w:t xml:space="preserve">, </w:t>
      </w:r>
      <w:r w:rsidRPr="00D843BC">
        <w:rPr>
          <w:rFonts w:ascii="ITC Avant Garde" w:hAnsi="ITC Avant Garde"/>
          <w:sz w:val="20"/>
          <w:szCs w:val="20"/>
        </w:rPr>
        <w:t>como se señala en el Acuerdo en comento, el artículo 177 fracción XXII de la Ley señala que el Instituto será el encargado de crear, llevar y mantener actualizado el Registro Público de Concesiones en el que se inscribirá cualquier otro documento que el Pleno determine que deba registrarse.</w:t>
      </w:r>
    </w:p>
    <w:p w14:paraId="679B4346" w14:textId="77777777" w:rsidR="00E02315" w:rsidRPr="00D843BC" w:rsidRDefault="00E02315" w:rsidP="00FB5D18">
      <w:pPr>
        <w:spacing w:after="0" w:line="276" w:lineRule="auto"/>
        <w:ind w:left="426"/>
        <w:jc w:val="both"/>
        <w:rPr>
          <w:rFonts w:ascii="ITC Avant Garde" w:hAnsi="ITC Avant Garde"/>
          <w:sz w:val="20"/>
          <w:szCs w:val="20"/>
        </w:rPr>
      </w:pPr>
    </w:p>
    <w:p w14:paraId="4A70BE27" w14:textId="1A2FEFE2" w:rsidR="00FB5D18" w:rsidRPr="00D843BC" w:rsidRDefault="00E02315" w:rsidP="00FB5D18">
      <w:pPr>
        <w:spacing w:after="0" w:line="276" w:lineRule="auto"/>
        <w:ind w:left="426"/>
        <w:jc w:val="both"/>
        <w:rPr>
          <w:rFonts w:ascii="ITC Avant Garde" w:hAnsi="ITC Avant Garde"/>
          <w:sz w:val="20"/>
          <w:szCs w:val="20"/>
        </w:rPr>
      </w:pPr>
      <w:r w:rsidRPr="00D843BC">
        <w:rPr>
          <w:rFonts w:ascii="ITC Avant Garde" w:hAnsi="ITC Avant Garde"/>
          <w:sz w:val="20"/>
          <w:szCs w:val="20"/>
        </w:rPr>
        <w:t>Y por su parte e</w:t>
      </w:r>
      <w:r w:rsidR="00FB5D18" w:rsidRPr="00D843BC">
        <w:rPr>
          <w:rFonts w:ascii="ITC Avant Garde" w:hAnsi="ITC Avant Garde"/>
          <w:sz w:val="20"/>
          <w:szCs w:val="20"/>
        </w:rPr>
        <w:t xml:space="preserve">l artículo 178 de la Ley establece que el Registro Público de Concesiones es un instrumento con el que el Instituto promoverá la transparencia y el acceso a la información; por tal razón el Instituto promoverá permanentemente, la inclusión de nuevos actos en materia de registro, así como la mayor publicidad y acceso a la información registrada, bajo principios de gobierno digital y datos abiertos, mientras </w:t>
      </w:r>
      <w:r w:rsidR="00FB5D18" w:rsidRPr="00D843BC">
        <w:rPr>
          <w:rFonts w:ascii="ITC Avant Garde" w:hAnsi="ITC Avant Garde"/>
          <w:sz w:val="20"/>
          <w:szCs w:val="20"/>
        </w:rPr>
        <w:lastRenderedPageBreak/>
        <w:t>que el artículo 180 de la Ley establece que los</w:t>
      </w:r>
      <w:r w:rsidR="001973FC" w:rsidRPr="00D843BC">
        <w:rPr>
          <w:rFonts w:ascii="ITC Avant Garde" w:hAnsi="ITC Avant Garde"/>
          <w:sz w:val="20"/>
          <w:szCs w:val="20"/>
        </w:rPr>
        <w:t xml:space="preserve"> </w:t>
      </w:r>
      <w:r w:rsidR="00FB5D18" w:rsidRPr="00D843BC">
        <w:rPr>
          <w:rFonts w:ascii="ITC Avant Garde" w:hAnsi="ITC Avant Garde"/>
          <w:sz w:val="20"/>
          <w:szCs w:val="20"/>
        </w:rPr>
        <w:t xml:space="preserve">concesionarios y los autorizados están obligados a poner a disposición del Instituto en los </w:t>
      </w:r>
      <w:r w:rsidR="001973FC" w:rsidRPr="00D843BC">
        <w:rPr>
          <w:rFonts w:ascii="ITC Avant Garde" w:hAnsi="ITC Avant Garde"/>
          <w:sz w:val="20"/>
          <w:szCs w:val="20"/>
        </w:rPr>
        <w:t>t</w:t>
      </w:r>
      <w:r w:rsidR="00FB5D18" w:rsidRPr="00D843BC">
        <w:rPr>
          <w:rFonts w:ascii="ITC Avant Garde" w:hAnsi="ITC Avant Garde"/>
          <w:sz w:val="20"/>
          <w:szCs w:val="20"/>
        </w:rPr>
        <w:t>érminos que éste determine, por escrito y en forma electrónica, todos los datos, informes y documentos que éste les requiera en el ámbito de su competencia a efecto de integrar el Registro Público de Telecomunicaciones.</w:t>
      </w:r>
    </w:p>
    <w:p w14:paraId="3C12663A" w14:textId="77777777" w:rsidR="006511DA" w:rsidRPr="00D843BC" w:rsidRDefault="006511DA" w:rsidP="00FB5D18">
      <w:pPr>
        <w:spacing w:after="0" w:line="276" w:lineRule="auto"/>
        <w:ind w:left="426"/>
        <w:jc w:val="both"/>
        <w:rPr>
          <w:rFonts w:ascii="ITC Avant Garde" w:hAnsi="ITC Avant Garde"/>
          <w:sz w:val="20"/>
          <w:szCs w:val="20"/>
        </w:rPr>
      </w:pPr>
    </w:p>
    <w:p w14:paraId="623BC352" w14:textId="77777777" w:rsidR="00B224D3" w:rsidRPr="00D843BC" w:rsidRDefault="00B224D3" w:rsidP="00B224D3">
      <w:pPr>
        <w:spacing w:after="0" w:line="276" w:lineRule="auto"/>
        <w:ind w:left="426"/>
        <w:jc w:val="both"/>
        <w:rPr>
          <w:rFonts w:ascii="ITC Avant Garde" w:hAnsi="ITC Avant Garde"/>
          <w:sz w:val="20"/>
          <w:szCs w:val="20"/>
        </w:rPr>
      </w:pPr>
      <w:r w:rsidRPr="00D843BC">
        <w:rPr>
          <w:rFonts w:ascii="ITC Avant Garde" w:hAnsi="ITC Avant Garde"/>
          <w:sz w:val="20"/>
          <w:szCs w:val="20"/>
        </w:rPr>
        <w:t>Por lo anterior, se estima que el Instituto cuenta con las facultades y atribuciones necesarias para incluir nuevos trámites a inscribir en el Registro Público de Concesiones que conforme a sus atribuciones sean necesarios incluir para el desempeño de las atribuciones conferidas por la Constitución.</w:t>
      </w:r>
    </w:p>
    <w:p w14:paraId="29C102DF" w14:textId="77777777" w:rsidR="00B224D3" w:rsidRPr="00D843BC" w:rsidRDefault="00B224D3" w:rsidP="00B224D3">
      <w:pPr>
        <w:spacing w:after="0" w:line="276" w:lineRule="auto"/>
        <w:ind w:left="426"/>
        <w:jc w:val="both"/>
        <w:rPr>
          <w:rFonts w:ascii="ITC Avant Garde" w:hAnsi="ITC Avant Garde"/>
          <w:sz w:val="20"/>
          <w:szCs w:val="20"/>
        </w:rPr>
      </w:pPr>
    </w:p>
    <w:p w14:paraId="6C97F5EF" w14:textId="77777777" w:rsidR="00E02315" w:rsidRPr="00D843BC" w:rsidRDefault="00B224D3" w:rsidP="00B224D3">
      <w:pPr>
        <w:spacing w:after="0" w:line="276" w:lineRule="auto"/>
        <w:ind w:left="426"/>
        <w:jc w:val="both"/>
        <w:rPr>
          <w:rFonts w:ascii="ITC Avant Garde" w:hAnsi="ITC Avant Garde"/>
          <w:sz w:val="20"/>
          <w:szCs w:val="20"/>
        </w:rPr>
      </w:pPr>
      <w:r w:rsidRPr="00D843BC">
        <w:rPr>
          <w:rFonts w:ascii="ITC Avant Garde" w:hAnsi="ITC Avant Garde"/>
          <w:sz w:val="20"/>
          <w:szCs w:val="20"/>
        </w:rPr>
        <w:t>Cumpliendo así con la atribución de incluir nuevos actos en materia de registro, para dar mayor publicidad y alcance a los trámites, sanciones y demás documentos que el Pleno del Instituto determine que deben ser inscritos y publicados en el Registro Público de Concesiones, atendido a los principios de máxima publicidad y transparencia que rigen el actuar del Instituto, dando certeza jurídica a los regulados.</w:t>
      </w:r>
    </w:p>
    <w:p w14:paraId="1CC2B242" w14:textId="77777777" w:rsidR="00B224D3" w:rsidRPr="00D843BC" w:rsidRDefault="00B224D3" w:rsidP="00B224D3">
      <w:pPr>
        <w:spacing w:after="0" w:line="276" w:lineRule="auto"/>
        <w:ind w:left="426"/>
        <w:jc w:val="both"/>
        <w:rPr>
          <w:rFonts w:ascii="ITC Avant Garde" w:hAnsi="ITC Avant Garde"/>
          <w:sz w:val="20"/>
          <w:szCs w:val="20"/>
        </w:rPr>
      </w:pPr>
    </w:p>
    <w:p w14:paraId="743D5F1F" w14:textId="73D9C815" w:rsidR="005F3A0F" w:rsidRPr="00D843BC" w:rsidRDefault="00B224D3" w:rsidP="00B224D3">
      <w:pPr>
        <w:spacing w:after="0" w:line="276" w:lineRule="auto"/>
        <w:ind w:left="426"/>
        <w:jc w:val="both"/>
        <w:rPr>
          <w:rFonts w:ascii="ITC Avant Garde" w:hAnsi="ITC Avant Garde"/>
          <w:sz w:val="20"/>
          <w:szCs w:val="20"/>
        </w:rPr>
      </w:pPr>
      <w:r w:rsidRPr="00D843BC">
        <w:rPr>
          <w:rFonts w:ascii="ITC Avant Garde" w:hAnsi="ITC Avant Garde"/>
          <w:sz w:val="20"/>
          <w:szCs w:val="20"/>
        </w:rPr>
        <w:t xml:space="preserve">Lo anterior en virtud de tratarse de sanciones que han quedado firmes, </w:t>
      </w:r>
      <w:r w:rsidR="005F3A0F" w:rsidRPr="00D843BC">
        <w:rPr>
          <w:rFonts w:ascii="ITC Avant Garde" w:hAnsi="ITC Avant Garde"/>
          <w:sz w:val="20"/>
          <w:szCs w:val="20"/>
        </w:rPr>
        <w:t xml:space="preserve">por lo que la inscripción y publicación de las mismas en el Registro </w:t>
      </w:r>
      <w:r w:rsidR="004C628A" w:rsidRPr="00D843BC">
        <w:rPr>
          <w:rFonts w:ascii="ITC Avant Garde" w:hAnsi="ITC Avant Garde"/>
          <w:sz w:val="20"/>
          <w:szCs w:val="20"/>
        </w:rPr>
        <w:t>Público</w:t>
      </w:r>
      <w:r w:rsidR="005F3A0F" w:rsidRPr="00D843BC">
        <w:rPr>
          <w:rFonts w:ascii="ITC Avant Garde" w:hAnsi="ITC Avant Garde"/>
          <w:sz w:val="20"/>
          <w:szCs w:val="20"/>
        </w:rPr>
        <w:t xml:space="preserve"> de Concesiones no vulnera, ni lesiona los derechos de los regulados</w:t>
      </w:r>
      <w:r w:rsidR="008D4F05" w:rsidRPr="00D843BC">
        <w:rPr>
          <w:rFonts w:ascii="ITC Avant Garde" w:hAnsi="ITC Avant Garde"/>
          <w:sz w:val="20"/>
          <w:szCs w:val="20"/>
        </w:rPr>
        <w:t xml:space="preserve"> </w:t>
      </w:r>
      <w:proofErr w:type="gramStart"/>
      <w:r w:rsidR="008D4F05" w:rsidRPr="00D843BC">
        <w:rPr>
          <w:rFonts w:ascii="ITC Avant Garde" w:hAnsi="ITC Avant Garde"/>
          <w:sz w:val="20"/>
          <w:szCs w:val="20"/>
        </w:rPr>
        <w:t>y</w:t>
      </w:r>
      <w:proofErr w:type="gramEnd"/>
      <w:r w:rsidR="008D4F05" w:rsidRPr="00D843BC">
        <w:rPr>
          <w:rFonts w:ascii="ITC Avant Garde" w:hAnsi="ITC Avant Garde"/>
          <w:sz w:val="20"/>
          <w:szCs w:val="20"/>
        </w:rPr>
        <w:t xml:space="preserve"> por el contrario, promueve los derechos de transparencia y acceso a la información pública</w:t>
      </w:r>
      <w:r w:rsidR="00384D2E" w:rsidRPr="00D843BC">
        <w:rPr>
          <w:rFonts w:ascii="ITC Avant Garde" w:hAnsi="ITC Avant Garde"/>
          <w:sz w:val="20"/>
          <w:szCs w:val="20"/>
        </w:rPr>
        <w:t xml:space="preserve"> a que está obligado cualquier autoridad</w:t>
      </w:r>
      <w:r w:rsidR="005F3A0F" w:rsidRPr="00D843BC">
        <w:rPr>
          <w:rFonts w:ascii="ITC Avant Garde" w:hAnsi="ITC Avant Garde"/>
          <w:sz w:val="20"/>
          <w:szCs w:val="20"/>
        </w:rPr>
        <w:t>.</w:t>
      </w:r>
    </w:p>
    <w:p w14:paraId="71771D99" w14:textId="77777777" w:rsidR="00FB5D18" w:rsidRPr="00D843BC" w:rsidRDefault="00FB5D18" w:rsidP="00C47D2A">
      <w:pPr>
        <w:spacing w:after="0" w:line="276" w:lineRule="auto"/>
        <w:ind w:left="426"/>
        <w:jc w:val="both"/>
        <w:rPr>
          <w:rFonts w:ascii="ITC Avant Garde" w:hAnsi="ITC Avant Garde"/>
          <w:sz w:val="20"/>
          <w:szCs w:val="20"/>
        </w:rPr>
      </w:pPr>
    </w:p>
    <w:p w14:paraId="01B761CF" w14:textId="77777777" w:rsidR="00FB5D18" w:rsidRPr="00D843BC" w:rsidRDefault="00FB5D18" w:rsidP="00FB5D18">
      <w:pPr>
        <w:spacing w:after="0" w:line="276" w:lineRule="auto"/>
        <w:ind w:left="426"/>
        <w:jc w:val="both"/>
        <w:rPr>
          <w:rFonts w:ascii="ITC Avant Garde" w:hAnsi="ITC Avant Garde"/>
          <w:sz w:val="20"/>
          <w:szCs w:val="20"/>
        </w:rPr>
      </w:pPr>
      <w:r w:rsidRPr="00D843BC">
        <w:rPr>
          <w:rFonts w:ascii="ITC Avant Garde" w:hAnsi="ITC Avant Garde"/>
          <w:sz w:val="20"/>
          <w:szCs w:val="20"/>
        </w:rPr>
        <w:t xml:space="preserve">Finalmente, el Instituto agradece los comentarios realizados por el participante. </w:t>
      </w:r>
    </w:p>
    <w:p w14:paraId="732FF2FA" w14:textId="77777777" w:rsidR="00FB5D18" w:rsidRPr="00D843BC" w:rsidRDefault="00FB5D18" w:rsidP="00C47D2A">
      <w:pPr>
        <w:spacing w:after="0" w:line="276" w:lineRule="auto"/>
        <w:ind w:left="426"/>
        <w:jc w:val="both"/>
        <w:rPr>
          <w:rFonts w:ascii="ITC Avant Garde" w:hAnsi="ITC Avant Garde"/>
          <w:sz w:val="20"/>
          <w:szCs w:val="20"/>
        </w:rPr>
      </w:pPr>
    </w:p>
    <w:sectPr w:rsidR="00FB5D18" w:rsidRPr="00D843BC" w:rsidSect="000C6AB6">
      <w:headerReference w:type="default" r:id="rId8"/>
      <w:footerReference w:type="default" r:id="rId9"/>
      <w:pgSz w:w="12240" w:h="15840"/>
      <w:pgMar w:top="2410"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3450A7" w14:textId="77777777" w:rsidR="00CD322E" w:rsidRDefault="00CD322E" w:rsidP="000232F6">
      <w:pPr>
        <w:spacing w:after="0" w:line="240" w:lineRule="auto"/>
      </w:pPr>
      <w:r>
        <w:separator/>
      </w:r>
    </w:p>
  </w:endnote>
  <w:endnote w:type="continuationSeparator" w:id="0">
    <w:p w14:paraId="0782B3BD" w14:textId="77777777" w:rsidR="00CD322E" w:rsidRDefault="00CD322E" w:rsidP="00023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4706264"/>
      <w:docPartObj>
        <w:docPartGallery w:val="Page Numbers (Bottom of Page)"/>
        <w:docPartUnique/>
      </w:docPartObj>
    </w:sdtPr>
    <w:sdtEndPr/>
    <w:sdtContent>
      <w:sdt>
        <w:sdtPr>
          <w:id w:val="-729993138"/>
          <w:docPartObj>
            <w:docPartGallery w:val="Page Numbers (Top of Page)"/>
            <w:docPartUnique/>
          </w:docPartObj>
        </w:sdtPr>
        <w:sdtEndPr/>
        <w:sdtContent>
          <w:p w14:paraId="224B4C8B" w14:textId="77777777" w:rsidR="009D6F32" w:rsidRDefault="009D6F32">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F25BD0">
              <w:rPr>
                <w:b/>
                <w:bCs/>
                <w:noProof/>
              </w:rPr>
              <w:t>13</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F25BD0">
              <w:rPr>
                <w:b/>
                <w:bCs/>
                <w:noProof/>
              </w:rPr>
              <w:t>27</w:t>
            </w:r>
            <w:r>
              <w:rPr>
                <w:b/>
                <w:bCs/>
                <w:sz w:val="24"/>
                <w:szCs w:val="24"/>
              </w:rPr>
              <w:fldChar w:fldCharType="end"/>
            </w:r>
          </w:p>
        </w:sdtContent>
      </w:sdt>
    </w:sdtContent>
  </w:sdt>
  <w:p w14:paraId="3DC4392D" w14:textId="77777777" w:rsidR="009D6F32" w:rsidRDefault="009D6F3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BC9D6" w14:textId="77777777" w:rsidR="00CD322E" w:rsidRDefault="00CD322E" w:rsidP="000232F6">
      <w:pPr>
        <w:spacing w:after="0" w:line="240" w:lineRule="auto"/>
      </w:pPr>
      <w:r>
        <w:separator/>
      </w:r>
    </w:p>
  </w:footnote>
  <w:footnote w:type="continuationSeparator" w:id="0">
    <w:p w14:paraId="73CBD96B" w14:textId="77777777" w:rsidR="00CD322E" w:rsidRDefault="00CD322E" w:rsidP="000232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957A5" w14:textId="77777777" w:rsidR="009D6F32" w:rsidRDefault="00CD322E">
    <w:pPr>
      <w:pStyle w:val="Encabezado"/>
    </w:pPr>
    <w:r>
      <w:rPr>
        <w:noProof/>
        <w:lang w:eastAsia="es-MX"/>
      </w:rPr>
      <w:pict w14:anchorId="3EB420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51" type="#_x0000_t75" style="position:absolute;margin-left:-85.05pt;margin-top:-120.45pt;width:612pt;height:11in;z-index:-251658752;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12482"/>
    <w:multiLevelType w:val="hybridMultilevel"/>
    <w:tmpl w:val="8C36863A"/>
    <w:lvl w:ilvl="0" w:tplc="EEC0CDB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2D22B7"/>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670A91"/>
    <w:multiLevelType w:val="hybridMultilevel"/>
    <w:tmpl w:val="C958C506"/>
    <w:lvl w:ilvl="0" w:tplc="F51E0F86">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8635B6"/>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8A00A7"/>
    <w:multiLevelType w:val="hybridMultilevel"/>
    <w:tmpl w:val="11065F5C"/>
    <w:lvl w:ilvl="0" w:tplc="D2F2449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0FBB3D38"/>
    <w:multiLevelType w:val="hybridMultilevel"/>
    <w:tmpl w:val="A0EACD0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3C5C09"/>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2126D1E"/>
    <w:multiLevelType w:val="hybridMultilevel"/>
    <w:tmpl w:val="BEB6D1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EE327E"/>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BF5921"/>
    <w:multiLevelType w:val="hybridMultilevel"/>
    <w:tmpl w:val="15CA495C"/>
    <w:lvl w:ilvl="0" w:tplc="99409D18">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CA50F7E"/>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CB78EE"/>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5892902"/>
    <w:multiLevelType w:val="hybridMultilevel"/>
    <w:tmpl w:val="91AC06A6"/>
    <w:lvl w:ilvl="0" w:tplc="4052044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7175D0E"/>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316BCD"/>
    <w:multiLevelType w:val="hybridMultilevel"/>
    <w:tmpl w:val="3E966126"/>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5" w15:restartNumberingAfterBreak="0">
    <w:nsid w:val="2A7D33BC"/>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AF22E01"/>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BCB45CD"/>
    <w:multiLevelType w:val="hybridMultilevel"/>
    <w:tmpl w:val="153853F8"/>
    <w:lvl w:ilvl="0" w:tplc="FDECCD0C">
      <w:start w:val="2"/>
      <w:numFmt w:val="decimal"/>
      <w:lvlText w:val="%1"/>
      <w:lvlJc w:val="left"/>
      <w:pPr>
        <w:ind w:left="81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D03CD8"/>
    <w:multiLevelType w:val="hybridMultilevel"/>
    <w:tmpl w:val="D1AAEB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0A732D7"/>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6C14C15"/>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888085C"/>
    <w:multiLevelType w:val="hybridMultilevel"/>
    <w:tmpl w:val="C7324D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D634D85"/>
    <w:multiLevelType w:val="hybridMultilevel"/>
    <w:tmpl w:val="2E0C04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1C9749B"/>
    <w:multiLevelType w:val="hybridMultilevel"/>
    <w:tmpl w:val="9182C5D2"/>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7000B84"/>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AE56AB0"/>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BC80EA3"/>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FD27551"/>
    <w:multiLevelType w:val="hybridMultilevel"/>
    <w:tmpl w:val="E6D04E5A"/>
    <w:lvl w:ilvl="0" w:tplc="77C8A192">
      <w:start w:val="1"/>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5C93BAE"/>
    <w:multiLevelType w:val="hybridMultilevel"/>
    <w:tmpl w:val="8A5A0B20"/>
    <w:lvl w:ilvl="0" w:tplc="8E04C860">
      <w:start w:val="1"/>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E105453"/>
    <w:multiLevelType w:val="hybridMultilevel"/>
    <w:tmpl w:val="1D80202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E3E4905"/>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F033865"/>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4AB50D0"/>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817111D"/>
    <w:multiLevelType w:val="hybridMultilevel"/>
    <w:tmpl w:val="4D1455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B8E6580"/>
    <w:multiLevelType w:val="hybridMultilevel"/>
    <w:tmpl w:val="E6D04E5A"/>
    <w:lvl w:ilvl="0" w:tplc="77C8A192">
      <w:start w:val="1"/>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B974E6F"/>
    <w:multiLevelType w:val="hybridMultilevel"/>
    <w:tmpl w:val="2E0C04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DA80B2B"/>
    <w:multiLevelType w:val="hybridMultilevel"/>
    <w:tmpl w:val="521A36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E1C6DFC"/>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3263F2A"/>
    <w:multiLevelType w:val="hybridMultilevel"/>
    <w:tmpl w:val="E6D04E5A"/>
    <w:lvl w:ilvl="0" w:tplc="77C8A192">
      <w:start w:val="1"/>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BD27309"/>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BE55A04"/>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D020011"/>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FC50CD2"/>
    <w:multiLevelType w:val="hybridMultilevel"/>
    <w:tmpl w:val="BF629894"/>
    <w:lvl w:ilvl="0" w:tplc="FDECCD0C">
      <w:start w:val="2"/>
      <w:numFmt w:val="decimal"/>
      <w:lvlText w:val="%1"/>
      <w:lvlJc w:val="left"/>
      <w:pPr>
        <w:ind w:left="814" w:hanging="360"/>
      </w:pPr>
      <w:rPr>
        <w:rFonts w:hint="default"/>
      </w:rPr>
    </w:lvl>
    <w:lvl w:ilvl="1" w:tplc="080A0019" w:tentative="1">
      <w:start w:val="1"/>
      <w:numFmt w:val="lowerLetter"/>
      <w:lvlText w:val="%2."/>
      <w:lvlJc w:val="left"/>
      <w:pPr>
        <w:ind w:left="1534" w:hanging="360"/>
      </w:pPr>
    </w:lvl>
    <w:lvl w:ilvl="2" w:tplc="080A001B" w:tentative="1">
      <w:start w:val="1"/>
      <w:numFmt w:val="lowerRoman"/>
      <w:lvlText w:val="%3."/>
      <w:lvlJc w:val="right"/>
      <w:pPr>
        <w:ind w:left="2254" w:hanging="180"/>
      </w:pPr>
    </w:lvl>
    <w:lvl w:ilvl="3" w:tplc="080A000F" w:tentative="1">
      <w:start w:val="1"/>
      <w:numFmt w:val="decimal"/>
      <w:lvlText w:val="%4."/>
      <w:lvlJc w:val="left"/>
      <w:pPr>
        <w:ind w:left="2974" w:hanging="360"/>
      </w:pPr>
    </w:lvl>
    <w:lvl w:ilvl="4" w:tplc="080A0019" w:tentative="1">
      <w:start w:val="1"/>
      <w:numFmt w:val="lowerLetter"/>
      <w:lvlText w:val="%5."/>
      <w:lvlJc w:val="left"/>
      <w:pPr>
        <w:ind w:left="3694" w:hanging="360"/>
      </w:pPr>
    </w:lvl>
    <w:lvl w:ilvl="5" w:tplc="080A001B" w:tentative="1">
      <w:start w:val="1"/>
      <w:numFmt w:val="lowerRoman"/>
      <w:lvlText w:val="%6."/>
      <w:lvlJc w:val="right"/>
      <w:pPr>
        <w:ind w:left="4414" w:hanging="180"/>
      </w:pPr>
    </w:lvl>
    <w:lvl w:ilvl="6" w:tplc="080A000F" w:tentative="1">
      <w:start w:val="1"/>
      <w:numFmt w:val="decimal"/>
      <w:lvlText w:val="%7."/>
      <w:lvlJc w:val="left"/>
      <w:pPr>
        <w:ind w:left="5134" w:hanging="360"/>
      </w:pPr>
    </w:lvl>
    <w:lvl w:ilvl="7" w:tplc="080A0019" w:tentative="1">
      <w:start w:val="1"/>
      <w:numFmt w:val="lowerLetter"/>
      <w:lvlText w:val="%8."/>
      <w:lvlJc w:val="left"/>
      <w:pPr>
        <w:ind w:left="5854" w:hanging="360"/>
      </w:pPr>
    </w:lvl>
    <w:lvl w:ilvl="8" w:tplc="080A001B" w:tentative="1">
      <w:start w:val="1"/>
      <w:numFmt w:val="lowerRoman"/>
      <w:lvlText w:val="%9."/>
      <w:lvlJc w:val="right"/>
      <w:pPr>
        <w:ind w:left="6574" w:hanging="180"/>
      </w:pPr>
    </w:lvl>
  </w:abstractNum>
  <w:num w:numId="1">
    <w:abstractNumId w:val="29"/>
  </w:num>
  <w:num w:numId="2">
    <w:abstractNumId w:val="23"/>
  </w:num>
  <w:num w:numId="3">
    <w:abstractNumId w:val="4"/>
  </w:num>
  <w:num w:numId="4">
    <w:abstractNumId w:val="15"/>
  </w:num>
  <w:num w:numId="5">
    <w:abstractNumId w:val="39"/>
  </w:num>
  <w:num w:numId="6">
    <w:abstractNumId w:val="25"/>
  </w:num>
  <w:num w:numId="7">
    <w:abstractNumId w:val="3"/>
  </w:num>
  <w:num w:numId="8">
    <w:abstractNumId w:val="24"/>
  </w:num>
  <w:num w:numId="9">
    <w:abstractNumId w:val="32"/>
  </w:num>
  <w:num w:numId="10">
    <w:abstractNumId w:val="37"/>
  </w:num>
  <w:num w:numId="11">
    <w:abstractNumId w:val="16"/>
  </w:num>
  <w:num w:numId="12">
    <w:abstractNumId w:val="13"/>
  </w:num>
  <w:num w:numId="13">
    <w:abstractNumId w:val="30"/>
  </w:num>
  <w:num w:numId="14">
    <w:abstractNumId w:val="11"/>
  </w:num>
  <w:num w:numId="15">
    <w:abstractNumId w:val="8"/>
  </w:num>
  <w:num w:numId="16">
    <w:abstractNumId w:val="1"/>
  </w:num>
  <w:num w:numId="17">
    <w:abstractNumId w:val="40"/>
  </w:num>
  <w:num w:numId="18">
    <w:abstractNumId w:val="31"/>
  </w:num>
  <w:num w:numId="19">
    <w:abstractNumId w:val="20"/>
  </w:num>
  <w:num w:numId="20">
    <w:abstractNumId w:val="41"/>
  </w:num>
  <w:num w:numId="21">
    <w:abstractNumId w:val="19"/>
  </w:num>
  <w:num w:numId="22">
    <w:abstractNumId w:val="26"/>
  </w:num>
  <w:num w:numId="23">
    <w:abstractNumId w:val="6"/>
  </w:num>
  <w:num w:numId="24">
    <w:abstractNumId w:val="10"/>
  </w:num>
  <w:num w:numId="25">
    <w:abstractNumId w:val="21"/>
  </w:num>
  <w:num w:numId="26">
    <w:abstractNumId w:val="36"/>
  </w:num>
  <w:num w:numId="27">
    <w:abstractNumId w:val="7"/>
  </w:num>
  <w:num w:numId="28">
    <w:abstractNumId w:val="9"/>
  </w:num>
  <w:num w:numId="29">
    <w:abstractNumId w:val="22"/>
  </w:num>
  <w:num w:numId="30">
    <w:abstractNumId w:val="35"/>
  </w:num>
  <w:num w:numId="31">
    <w:abstractNumId w:val="0"/>
  </w:num>
  <w:num w:numId="32">
    <w:abstractNumId w:val="38"/>
  </w:num>
  <w:num w:numId="33">
    <w:abstractNumId w:val="27"/>
  </w:num>
  <w:num w:numId="34">
    <w:abstractNumId w:val="34"/>
  </w:num>
  <w:num w:numId="35">
    <w:abstractNumId w:val="33"/>
  </w:num>
  <w:num w:numId="36">
    <w:abstractNumId w:val="2"/>
  </w:num>
  <w:num w:numId="37">
    <w:abstractNumId w:val="42"/>
  </w:num>
  <w:num w:numId="38">
    <w:abstractNumId w:val="17"/>
  </w:num>
  <w:num w:numId="39">
    <w:abstractNumId w:val="28"/>
  </w:num>
  <w:num w:numId="40">
    <w:abstractNumId w:val="18"/>
  </w:num>
  <w:num w:numId="41">
    <w:abstractNumId w:val="5"/>
  </w:num>
  <w:num w:numId="42">
    <w:abstractNumId w:val="12"/>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FCB"/>
    <w:rsid w:val="00000003"/>
    <w:rsid w:val="00006852"/>
    <w:rsid w:val="00013243"/>
    <w:rsid w:val="00013E79"/>
    <w:rsid w:val="00017D33"/>
    <w:rsid w:val="00022696"/>
    <w:rsid w:val="000232F6"/>
    <w:rsid w:val="00044D96"/>
    <w:rsid w:val="00045F5D"/>
    <w:rsid w:val="000644BB"/>
    <w:rsid w:val="00074EE1"/>
    <w:rsid w:val="00074FAB"/>
    <w:rsid w:val="00076773"/>
    <w:rsid w:val="000768F8"/>
    <w:rsid w:val="00083C91"/>
    <w:rsid w:val="000855B0"/>
    <w:rsid w:val="000A75D4"/>
    <w:rsid w:val="000B05FC"/>
    <w:rsid w:val="000C6AB6"/>
    <w:rsid w:val="000C7294"/>
    <w:rsid w:val="000C767D"/>
    <w:rsid w:val="000F21F1"/>
    <w:rsid w:val="000F631A"/>
    <w:rsid w:val="000F6617"/>
    <w:rsid w:val="00102697"/>
    <w:rsid w:val="00110F79"/>
    <w:rsid w:val="00111C50"/>
    <w:rsid w:val="0012476D"/>
    <w:rsid w:val="00125EA4"/>
    <w:rsid w:val="00125F3A"/>
    <w:rsid w:val="00134406"/>
    <w:rsid w:val="00163D38"/>
    <w:rsid w:val="0016412B"/>
    <w:rsid w:val="00185FA6"/>
    <w:rsid w:val="00195E24"/>
    <w:rsid w:val="001973FC"/>
    <w:rsid w:val="001A2D33"/>
    <w:rsid w:val="001C1239"/>
    <w:rsid w:val="001C7829"/>
    <w:rsid w:val="00211F49"/>
    <w:rsid w:val="00222F02"/>
    <w:rsid w:val="002278E7"/>
    <w:rsid w:val="002355F7"/>
    <w:rsid w:val="00240618"/>
    <w:rsid w:val="00244174"/>
    <w:rsid w:val="0025230D"/>
    <w:rsid w:val="00253546"/>
    <w:rsid w:val="0026032E"/>
    <w:rsid w:val="002621B9"/>
    <w:rsid w:val="002808E7"/>
    <w:rsid w:val="00281D1C"/>
    <w:rsid w:val="002825A0"/>
    <w:rsid w:val="002936C4"/>
    <w:rsid w:val="002A1CE1"/>
    <w:rsid w:val="002B3979"/>
    <w:rsid w:val="002B3A8F"/>
    <w:rsid w:val="002D397F"/>
    <w:rsid w:val="002E093C"/>
    <w:rsid w:val="002E3FEA"/>
    <w:rsid w:val="002E4D26"/>
    <w:rsid w:val="002F66E8"/>
    <w:rsid w:val="00344DC3"/>
    <w:rsid w:val="00355303"/>
    <w:rsid w:val="003730E6"/>
    <w:rsid w:val="00384D2E"/>
    <w:rsid w:val="00390876"/>
    <w:rsid w:val="00395FA8"/>
    <w:rsid w:val="003B1283"/>
    <w:rsid w:val="003B5E02"/>
    <w:rsid w:val="003C0A5F"/>
    <w:rsid w:val="003D3C45"/>
    <w:rsid w:val="003E2AA9"/>
    <w:rsid w:val="003F0EC8"/>
    <w:rsid w:val="003F507C"/>
    <w:rsid w:val="0041299D"/>
    <w:rsid w:val="00417C2A"/>
    <w:rsid w:val="00424580"/>
    <w:rsid w:val="00437CD6"/>
    <w:rsid w:val="0044013B"/>
    <w:rsid w:val="00452A43"/>
    <w:rsid w:val="00465F45"/>
    <w:rsid w:val="0047425B"/>
    <w:rsid w:val="0049173D"/>
    <w:rsid w:val="004B3723"/>
    <w:rsid w:val="004B4F7B"/>
    <w:rsid w:val="004C041B"/>
    <w:rsid w:val="004C628A"/>
    <w:rsid w:val="004D0F4D"/>
    <w:rsid w:val="004D1A28"/>
    <w:rsid w:val="004E4713"/>
    <w:rsid w:val="004F315D"/>
    <w:rsid w:val="004F4456"/>
    <w:rsid w:val="00510ADC"/>
    <w:rsid w:val="00522FAA"/>
    <w:rsid w:val="00526A6E"/>
    <w:rsid w:val="00553657"/>
    <w:rsid w:val="00554808"/>
    <w:rsid w:val="00556474"/>
    <w:rsid w:val="0056314A"/>
    <w:rsid w:val="0056354C"/>
    <w:rsid w:val="00576AEC"/>
    <w:rsid w:val="005833F8"/>
    <w:rsid w:val="0059128F"/>
    <w:rsid w:val="005A2A36"/>
    <w:rsid w:val="005A65C4"/>
    <w:rsid w:val="005A76DA"/>
    <w:rsid w:val="005E3966"/>
    <w:rsid w:val="005F3A0F"/>
    <w:rsid w:val="005F775E"/>
    <w:rsid w:val="0063216E"/>
    <w:rsid w:val="00633B02"/>
    <w:rsid w:val="00635414"/>
    <w:rsid w:val="0064270B"/>
    <w:rsid w:val="006511DA"/>
    <w:rsid w:val="0065210D"/>
    <w:rsid w:val="00660040"/>
    <w:rsid w:val="00666F35"/>
    <w:rsid w:val="00681352"/>
    <w:rsid w:val="00686BA7"/>
    <w:rsid w:val="00690DC8"/>
    <w:rsid w:val="00696909"/>
    <w:rsid w:val="006B3BA3"/>
    <w:rsid w:val="006B7245"/>
    <w:rsid w:val="006C3309"/>
    <w:rsid w:val="006D2FD7"/>
    <w:rsid w:val="006E2FAC"/>
    <w:rsid w:val="007005BA"/>
    <w:rsid w:val="00701B08"/>
    <w:rsid w:val="00705287"/>
    <w:rsid w:val="007061CB"/>
    <w:rsid w:val="007211BD"/>
    <w:rsid w:val="007214BE"/>
    <w:rsid w:val="0072655E"/>
    <w:rsid w:val="00737FCB"/>
    <w:rsid w:val="0075595E"/>
    <w:rsid w:val="0078033D"/>
    <w:rsid w:val="00790F54"/>
    <w:rsid w:val="007921C0"/>
    <w:rsid w:val="007A2256"/>
    <w:rsid w:val="007A29C2"/>
    <w:rsid w:val="007A609F"/>
    <w:rsid w:val="007A76AB"/>
    <w:rsid w:val="007F46F0"/>
    <w:rsid w:val="007F50A1"/>
    <w:rsid w:val="007F5982"/>
    <w:rsid w:val="007F623C"/>
    <w:rsid w:val="007F74F6"/>
    <w:rsid w:val="00803039"/>
    <w:rsid w:val="00803054"/>
    <w:rsid w:val="0080377A"/>
    <w:rsid w:val="00812916"/>
    <w:rsid w:val="00814225"/>
    <w:rsid w:val="00825519"/>
    <w:rsid w:val="008435E8"/>
    <w:rsid w:val="00843A00"/>
    <w:rsid w:val="0085122F"/>
    <w:rsid w:val="008567B7"/>
    <w:rsid w:val="0086503C"/>
    <w:rsid w:val="0087237D"/>
    <w:rsid w:val="00880724"/>
    <w:rsid w:val="00891EFD"/>
    <w:rsid w:val="008976DF"/>
    <w:rsid w:val="008A2EC6"/>
    <w:rsid w:val="008B28D8"/>
    <w:rsid w:val="008C2BF6"/>
    <w:rsid w:val="008D4F05"/>
    <w:rsid w:val="008E0DA1"/>
    <w:rsid w:val="008E7502"/>
    <w:rsid w:val="008F5B07"/>
    <w:rsid w:val="00913D85"/>
    <w:rsid w:val="00914013"/>
    <w:rsid w:val="00915048"/>
    <w:rsid w:val="009277FC"/>
    <w:rsid w:val="00941BCA"/>
    <w:rsid w:val="009502AD"/>
    <w:rsid w:val="00950E90"/>
    <w:rsid w:val="009552BF"/>
    <w:rsid w:val="009678F4"/>
    <w:rsid w:val="009702F1"/>
    <w:rsid w:val="0097059C"/>
    <w:rsid w:val="00993AFB"/>
    <w:rsid w:val="009C6285"/>
    <w:rsid w:val="009D6F32"/>
    <w:rsid w:val="009E2FF6"/>
    <w:rsid w:val="009F0E13"/>
    <w:rsid w:val="00A17446"/>
    <w:rsid w:val="00A2010C"/>
    <w:rsid w:val="00A27CFD"/>
    <w:rsid w:val="00A35D3E"/>
    <w:rsid w:val="00A40283"/>
    <w:rsid w:val="00A44E62"/>
    <w:rsid w:val="00A73F11"/>
    <w:rsid w:val="00A7530E"/>
    <w:rsid w:val="00A80127"/>
    <w:rsid w:val="00A83084"/>
    <w:rsid w:val="00A95378"/>
    <w:rsid w:val="00AA53E0"/>
    <w:rsid w:val="00AB7271"/>
    <w:rsid w:val="00AC335A"/>
    <w:rsid w:val="00AC544E"/>
    <w:rsid w:val="00AD17DA"/>
    <w:rsid w:val="00AE67C3"/>
    <w:rsid w:val="00AF3B8F"/>
    <w:rsid w:val="00AF54B6"/>
    <w:rsid w:val="00B000CC"/>
    <w:rsid w:val="00B1617B"/>
    <w:rsid w:val="00B224D3"/>
    <w:rsid w:val="00B26AC0"/>
    <w:rsid w:val="00B26C27"/>
    <w:rsid w:val="00B3270B"/>
    <w:rsid w:val="00B561F4"/>
    <w:rsid w:val="00B706F5"/>
    <w:rsid w:val="00B71649"/>
    <w:rsid w:val="00B729EF"/>
    <w:rsid w:val="00B77634"/>
    <w:rsid w:val="00B86DBD"/>
    <w:rsid w:val="00BF0288"/>
    <w:rsid w:val="00BF5B76"/>
    <w:rsid w:val="00C071A3"/>
    <w:rsid w:val="00C20715"/>
    <w:rsid w:val="00C233C4"/>
    <w:rsid w:val="00C24627"/>
    <w:rsid w:val="00C26123"/>
    <w:rsid w:val="00C26BFF"/>
    <w:rsid w:val="00C27A3B"/>
    <w:rsid w:val="00C355A8"/>
    <w:rsid w:val="00C434A5"/>
    <w:rsid w:val="00C47D2A"/>
    <w:rsid w:val="00C54441"/>
    <w:rsid w:val="00C54ACF"/>
    <w:rsid w:val="00C55B54"/>
    <w:rsid w:val="00C66F41"/>
    <w:rsid w:val="00C67300"/>
    <w:rsid w:val="00C800BE"/>
    <w:rsid w:val="00C87100"/>
    <w:rsid w:val="00C96074"/>
    <w:rsid w:val="00CC2079"/>
    <w:rsid w:val="00CD03DB"/>
    <w:rsid w:val="00CD0F84"/>
    <w:rsid w:val="00CD0FCF"/>
    <w:rsid w:val="00CD322E"/>
    <w:rsid w:val="00CE4B09"/>
    <w:rsid w:val="00CF2D04"/>
    <w:rsid w:val="00CF3FB1"/>
    <w:rsid w:val="00D033D2"/>
    <w:rsid w:val="00D213CD"/>
    <w:rsid w:val="00D32998"/>
    <w:rsid w:val="00D40072"/>
    <w:rsid w:val="00D44AE1"/>
    <w:rsid w:val="00D527BD"/>
    <w:rsid w:val="00D559B5"/>
    <w:rsid w:val="00D6061E"/>
    <w:rsid w:val="00D843BC"/>
    <w:rsid w:val="00D960F3"/>
    <w:rsid w:val="00DA2644"/>
    <w:rsid w:val="00DA3052"/>
    <w:rsid w:val="00DA343D"/>
    <w:rsid w:val="00DB0EA5"/>
    <w:rsid w:val="00DB7BC5"/>
    <w:rsid w:val="00DC05AE"/>
    <w:rsid w:val="00DD771F"/>
    <w:rsid w:val="00DE7FEE"/>
    <w:rsid w:val="00DF4850"/>
    <w:rsid w:val="00E00D93"/>
    <w:rsid w:val="00E02315"/>
    <w:rsid w:val="00E05720"/>
    <w:rsid w:val="00E11EB6"/>
    <w:rsid w:val="00E13065"/>
    <w:rsid w:val="00E2197D"/>
    <w:rsid w:val="00E25698"/>
    <w:rsid w:val="00E27108"/>
    <w:rsid w:val="00E31F9F"/>
    <w:rsid w:val="00E33CB4"/>
    <w:rsid w:val="00E369DB"/>
    <w:rsid w:val="00E44FC3"/>
    <w:rsid w:val="00E543DF"/>
    <w:rsid w:val="00E81C13"/>
    <w:rsid w:val="00E828A0"/>
    <w:rsid w:val="00EA1F6D"/>
    <w:rsid w:val="00EB6334"/>
    <w:rsid w:val="00EC3463"/>
    <w:rsid w:val="00EC44EA"/>
    <w:rsid w:val="00ED0C60"/>
    <w:rsid w:val="00ED116B"/>
    <w:rsid w:val="00EF336B"/>
    <w:rsid w:val="00F116CB"/>
    <w:rsid w:val="00F158F3"/>
    <w:rsid w:val="00F20987"/>
    <w:rsid w:val="00F25BD0"/>
    <w:rsid w:val="00F305CD"/>
    <w:rsid w:val="00F34E49"/>
    <w:rsid w:val="00F505E8"/>
    <w:rsid w:val="00F52F7D"/>
    <w:rsid w:val="00F57DFA"/>
    <w:rsid w:val="00F65DAB"/>
    <w:rsid w:val="00F66097"/>
    <w:rsid w:val="00F66303"/>
    <w:rsid w:val="00F66E40"/>
    <w:rsid w:val="00F96FF8"/>
    <w:rsid w:val="00FB5D18"/>
    <w:rsid w:val="00FB6398"/>
    <w:rsid w:val="00FE19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BA6150C"/>
  <w15:chartTrackingRefBased/>
  <w15:docId w15:val="{0DF58DAB-C8EC-43B3-B583-320B2E123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F34E49"/>
    <w:pPr>
      <w:keepNext/>
      <w:keepLines/>
      <w:spacing w:before="40" w:after="0"/>
      <w:jc w:val="center"/>
      <w:outlineLvl w:val="1"/>
    </w:pPr>
    <w:rPr>
      <w:rFonts w:ascii="ITC Avant Garde" w:eastAsiaTheme="majorEastAsia" w:hAnsi="ITC Avant Garde" w:cstheme="majorBidi"/>
      <w:b/>
      <w:color w:val="000000" w:themeColor="text1"/>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34E49"/>
    <w:rPr>
      <w:rFonts w:ascii="ITC Avant Garde" w:eastAsiaTheme="majorEastAsia" w:hAnsi="ITC Avant Garde" w:cstheme="majorBidi"/>
      <w:b/>
      <w:color w:val="000000" w:themeColor="text1"/>
      <w:sz w:val="24"/>
      <w:szCs w:val="26"/>
    </w:rPr>
  </w:style>
  <w:style w:type="paragraph" w:styleId="Prrafodelista">
    <w:name w:val="List Paragraph"/>
    <w:basedOn w:val="Normal"/>
    <w:link w:val="PrrafodelistaCar"/>
    <w:uiPriority w:val="34"/>
    <w:qFormat/>
    <w:rsid w:val="00737FCB"/>
    <w:pPr>
      <w:ind w:left="720"/>
      <w:contextualSpacing/>
    </w:pPr>
  </w:style>
  <w:style w:type="character" w:customStyle="1" w:styleId="PrrafodelistaCar">
    <w:name w:val="Párrafo de lista Car"/>
    <w:link w:val="Prrafodelista"/>
    <w:uiPriority w:val="34"/>
    <w:locked/>
    <w:rsid w:val="00B77634"/>
  </w:style>
  <w:style w:type="paragraph" w:styleId="Encabezado">
    <w:name w:val="header"/>
    <w:basedOn w:val="Normal"/>
    <w:link w:val="EncabezadoCar"/>
    <w:uiPriority w:val="99"/>
    <w:unhideWhenUsed/>
    <w:rsid w:val="000232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32F6"/>
  </w:style>
  <w:style w:type="paragraph" w:styleId="Piedepgina">
    <w:name w:val="footer"/>
    <w:basedOn w:val="Normal"/>
    <w:link w:val="PiedepginaCar"/>
    <w:uiPriority w:val="99"/>
    <w:unhideWhenUsed/>
    <w:rsid w:val="000232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32F6"/>
  </w:style>
  <w:style w:type="paragraph" w:customStyle="1" w:styleId="Default">
    <w:name w:val="Default"/>
    <w:rsid w:val="00C87100"/>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
    <w:name w:val="Hyperlink"/>
    <w:basedOn w:val="Fuentedeprrafopredeter"/>
    <w:uiPriority w:val="99"/>
    <w:unhideWhenUsed/>
    <w:rsid w:val="00CF3FB1"/>
    <w:rPr>
      <w:color w:val="0563C1" w:themeColor="hyperlink"/>
      <w:u w:val="single"/>
    </w:rPr>
  </w:style>
  <w:style w:type="table" w:styleId="Tablaconcuadrcula">
    <w:name w:val="Table Grid"/>
    <w:basedOn w:val="Tablanormal"/>
    <w:uiPriority w:val="39"/>
    <w:rsid w:val="0052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5122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12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576131">
      <w:bodyDiv w:val="1"/>
      <w:marLeft w:val="0"/>
      <w:marRight w:val="0"/>
      <w:marTop w:val="0"/>
      <w:marBottom w:val="0"/>
      <w:divBdr>
        <w:top w:val="none" w:sz="0" w:space="0" w:color="auto"/>
        <w:left w:val="none" w:sz="0" w:space="0" w:color="auto"/>
        <w:bottom w:val="none" w:sz="0" w:space="0" w:color="auto"/>
        <w:right w:val="none" w:sz="0" w:space="0" w:color="auto"/>
      </w:divBdr>
    </w:div>
    <w:div w:id="540364013">
      <w:bodyDiv w:val="1"/>
      <w:marLeft w:val="0"/>
      <w:marRight w:val="0"/>
      <w:marTop w:val="0"/>
      <w:marBottom w:val="0"/>
      <w:divBdr>
        <w:top w:val="none" w:sz="0" w:space="0" w:color="auto"/>
        <w:left w:val="none" w:sz="0" w:space="0" w:color="auto"/>
        <w:bottom w:val="none" w:sz="0" w:space="0" w:color="auto"/>
        <w:right w:val="none" w:sz="0" w:space="0" w:color="auto"/>
      </w:divBdr>
    </w:div>
    <w:div w:id="564149333">
      <w:bodyDiv w:val="1"/>
      <w:marLeft w:val="0"/>
      <w:marRight w:val="0"/>
      <w:marTop w:val="0"/>
      <w:marBottom w:val="0"/>
      <w:divBdr>
        <w:top w:val="none" w:sz="0" w:space="0" w:color="auto"/>
        <w:left w:val="none" w:sz="0" w:space="0" w:color="auto"/>
        <w:bottom w:val="none" w:sz="0" w:space="0" w:color="auto"/>
        <w:right w:val="none" w:sz="0" w:space="0" w:color="auto"/>
      </w:divBdr>
    </w:div>
    <w:div w:id="1143083829">
      <w:bodyDiv w:val="1"/>
      <w:marLeft w:val="0"/>
      <w:marRight w:val="0"/>
      <w:marTop w:val="0"/>
      <w:marBottom w:val="0"/>
      <w:divBdr>
        <w:top w:val="none" w:sz="0" w:space="0" w:color="auto"/>
        <w:left w:val="none" w:sz="0" w:space="0" w:color="auto"/>
        <w:bottom w:val="none" w:sz="0" w:space="0" w:color="auto"/>
        <w:right w:val="none" w:sz="0" w:space="0" w:color="auto"/>
      </w:divBdr>
    </w:div>
    <w:div w:id="174479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neamientos.registro@ift.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3452</Words>
  <Characters>18987</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Diaz Villalobos</dc:creator>
  <cp:keywords/>
  <dc:description/>
  <cp:lastModifiedBy>Josue Teoyotl Calderon</cp:lastModifiedBy>
  <cp:revision>3</cp:revision>
  <cp:lastPrinted>2022-06-01T15:44:00Z</cp:lastPrinted>
  <dcterms:created xsi:type="dcterms:W3CDTF">2022-05-30T16:35:00Z</dcterms:created>
  <dcterms:modified xsi:type="dcterms:W3CDTF">2022-06-01T15:44:00Z</dcterms:modified>
</cp:coreProperties>
</file>