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410E" w14:textId="4696C351" w:rsidR="00DF6835" w:rsidRPr="007960E1" w:rsidRDefault="00FB70F0" w:rsidP="008C63E1">
      <w:pPr>
        <w:ind w:left="0"/>
        <w:rPr>
          <w:b/>
          <w:sz w:val="28"/>
        </w:rPr>
      </w:pPr>
      <w:r w:rsidRPr="007960E1">
        <w:rPr>
          <w:b/>
          <w:sz w:val="28"/>
        </w:rPr>
        <w:t xml:space="preserve">INFORME DE CONSIDERACIONES DE LA </w:t>
      </w:r>
      <w:r w:rsidR="004B714E" w:rsidRPr="007960E1">
        <w:rPr>
          <w:b/>
          <w:sz w:val="28"/>
        </w:rPr>
        <w:t>“</w:t>
      </w:r>
      <w:r w:rsidR="009C5C87" w:rsidRPr="009C5C87">
        <w:rPr>
          <w:b/>
          <w:sz w:val="28"/>
        </w:rPr>
        <w:t>CONSULTA PÚBLICA DE INTEGRACIÓN SOBRE LAS PROPUESTAS DE ACTUALIZACIÓN DE LAS METODOLOGÍAS, TÉRMINOS Y CONDICIONES PARA LLEVAR A CABO LAS PRUEBAS DE REPLICABILIDAD ECONÓMICA</w:t>
      </w:r>
      <w:r w:rsidR="004B714E" w:rsidRPr="007960E1">
        <w:rPr>
          <w:b/>
          <w:sz w:val="28"/>
        </w:rPr>
        <w:t>”</w:t>
      </w:r>
      <w:r w:rsidR="00761D3F">
        <w:rPr>
          <w:b/>
          <w:sz w:val="28"/>
        </w:rPr>
        <w:t>.</w:t>
      </w:r>
    </w:p>
    <w:p w14:paraId="0D0689C9" w14:textId="77777777" w:rsidR="005F287B" w:rsidRDefault="005F287B" w:rsidP="008C63E1">
      <w:pPr>
        <w:ind w:left="0"/>
      </w:pPr>
    </w:p>
    <w:p w14:paraId="4EE09360" w14:textId="604A2508" w:rsidR="00BA1D99" w:rsidRDefault="006709B7" w:rsidP="003350B5">
      <w:pPr>
        <w:pStyle w:val="Prrafo"/>
      </w:pPr>
      <w:r>
        <w:t>E</w:t>
      </w:r>
      <w:r w:rsidR="00BA1D99">
        <w:t xml:space="preserve">n la Ciudad de </w:t>
      </w:r>
      <w:r w:rsidR="00BA1D99" w:rsidRPr="00E210D3">
        <w:t>México a los</w:t>
      </w:r>
      <w:r w:rsidR="00FB70F0" w:rsidRPr="00E210D3">
        <w:t xml:space="preserve"> </w:t>
      </w:r>
      <w:r w:rsidR="00E210D3" w:rsidRPr="00E210D3">
        <w:t>21</w:t>
      </w:r>
      <w:r w:rsidR="00772004">
        <w:t xml:space="preserve"> días </w:t>
      </w:r>
      <w:r w:rsidR="00FB70F0" w:rsidRPr="00E210D3">
        <w:t xml:space="preserve">del mes de </w:t>
      </w:r>
      <w:r w:rsidR="00E210D3" w:rsidRPr="00E210D3">
        <w:t xml:space="preserve">septiembre </w:t>
      </w:r>
      <w:r w:rsidR="00FB70F0" w:rsidRPr="00E210D3">
        <w:t>de dos mil veint</w:t>
      </w:r>
      <w:r w:rsidR="00AF6FC2" w:rsidRPr="00E210D3">
        <w:t>idós</w:t>
      </w:r>
      <w:r w:rsidR="00FB70F0" w:rsidRPr="00E210D3">
        <w:t>,</w:t>
      </w:r>
      <w:r w:rsidR="00BA1D99" w:rsidRPr="00E210D3">
        <w:t xml:space="preserve"> </w:t>
      </w:r>
      <w:r w:rsidR="00D36391" w:rsidRPr="00E210D3">
        <w:t>la</w:t>
      </w:r>
      <w:r w:rsidR="00D36391">
        <w:t xml:space="preserve"> Unidad de Política Regulatoria del Instituto Federal de Telecomunicaciones</w:t>
      </w:r>
      <w:r>
        <w:t xml:space="preserve"> </w:t>
      </w:r>
      <w:r w:rsidR="005F1595">
        <w:t xml:space="preserve">(Instituto) </w:t>
      </w:r>
      <w:r w:rsidR="00D36391">
        <w:t>realiza</w:t>
      </w:r>
      <w:r w:rsidR="00E17636">
        <w:t xml:space="preserve"> el presente informe</w:t>
      </w:r>
      <w:r w:rsidR="00B7780B">
        <w:t>,</w:t>
      </w:r>
      <w:r>
        <w:t xml:space="preserve"> de conformidad con el </w:t>
      </w:r>
      <w:r w:rsidR="00BA1D99">
        <w:t xml:space="preserve">artículo 51 de la Ley Federal de Telecomunicaciones y Radiodifusión </w:t>
      </w:r>
      <w:r w:rsidR="00FB70F0">
        <w:t xml:space="preserve">y el </w:t>
      </w:r>
      <w:r>
        <w:t xml:space="preserve">diverso noveno de los </w:t>
      </w:r>
      <w:r w:rsidR="00FB70F0">
        <w:t>Lineamientos de Consulta Pública y Análisis de Impacto Regulatorio del Instituto Federal de Telecomunicaciones.</w:t>
      </w:r>
      <w:r>
        <w:t xml:space="preserve"> </w:t>
      </w:r>
    </w:p>
    <w:p w14:paraId="18829BED" w14:textId="77777777" w:rsidR="00D2069C" w:rsidRDefault="00D2069C" w:rsidP="003350B5">
      <w:pPr>
        <w:pStyle w:val="Prrafo"/>
      </w:pPr>
    </w:p>
    <w:p w14:paraId="65A4829A" w14:textId="77777777" w:rsidR="00D2069C" w:rsidRDefault="00D2069C" w:rsidP="00D2069C">
      <w:pPr>
        <w:jc w:val="center"/>
        <w:rPr>
          <w:b/>
        </w:rPr>
      </w:pPr>
      <w:r>
        <w:rPr>
          <w:b/>
        </w:rPr>
        <w:t>GLOSARIO</w:t>
      </w:r>
    </w:p>
    <w:tbl>
      <w:tblPr>
        <w:tblStyle w:val="Frontier"/>
        <w:tblW w:w="0" w:type="auto"/>
        <w:tblLook w:val="0480" w:firstRow="0" w:lastRow="0" w:firstColumn="1" w:lastColumn="0" w:noHBand="0" w:noVBand="1"/>
      </w:tblPr>
      <w:tblGrid>
        <w:gridCol w:w="2977"/>
        <w:gridCol w:w="5861"/>
      </w:tblGrid>
      <w:tr w:rsidR="00D2069C" w:rsidRPr="00292BE6" w14:paraId="7BE319B9" w14:textId="77777777" w:rsidTr="00E52DC4">
        <w:trPr>
          <w:tblHeader/>
        </w:trPr>
        <w:tc>
          <w:tcPr>
            <w:tcW w:w="0" w:type="dxa"/>
          </w:tcPr>
          <w:p w14:paraId="73332DED" w14:textId="77777777" w:rsidR="00D2069C" w:rsidRPr="00292BE6" w:rsidRDefault="00D2069C" w:rsidP="0013201A">
            <w:pPr>
              <w:spacing w:before="19" w:after="19"/>
              <w:jc w:val="center"/>
              <w:rPr>
                <w:b/>
                <w:lang w:val="es-ES" w:eastAsia="es-ES"/>
              </w:rPr>
            </w:pPr>
            <w:r w:rsidRPr="00292BE6">
              <w:rPr>
                <w:b/>
                <w:lang w:val="es-MX"/>
              </w:rPr>
              <w:t>Término</w:t>
            </w:r>
          </w:p>
        </w:tc>
        <w:tc>
          <w:tcPr>
            <w:tcW w:w="0" w:type="dxa"/>
          </w:tcPr>
          <w:p w14:paraId="0D75D117" w14:textId="77777777" w:rsidR="00D2069C" w:rsidRPr="00292BE6" w:rsidRDefault="00D2069C" w:rsidP="006C24F7">
            <w:pPr>
              <w:spacing w:before="19" w:after="19"/>
              <w:ind w:left="41"/>
              <w:jc w:val="center"/>
              <w:rPr>
                <w:b/>
                <w:lang w:val="es-ES" w:eastAsia="es-ES"/>
              </w:rPr>
            </w:pPr>
            <w:r w:rsidRPr="00292BE6">
              <w:rPr>
                <w:b/>
                <w:lang w:val="es-MX"/>
              </w:rPr>
              <w:t>Definición</w:t>
            </w:r>
          </w:p>
        </w:tc>
      </w:tr>
      <w:tr w:rsidR="00D2069C" w:rsidRPr="00A55C8E" w14:paraId="42DB90A6" w14:textId="77777777" w:rsidTr="00E52DC4">
        <w:trPr>
          <w:cnfStyle w:val="000000100000" w:firstRow="0" w:lastRow="0" w:firstColumn="0" w:lastColumn="0" w:oddVBand="0" w:evenVBand="0" w:oddHBand="1" w:evenHBand="0" w:firstRowFirstColumn="0" w:firstRowLastColumn="0" w:lastRowFirstColumn="0" w:lastRowLastColumn="0"/>
        </w:trPr>
        <w:tc>
          <w:tcPr>
            <w:tcW w:w="0" w:type="dxa"/>
            <w:vAlign w:val="center"/>
          </w:tcPr>
          <w:p w14:paraId="7293B326" w14:textId="77777777" w:rsidR="00D2069C" w:rsidRPr="00292BE6" w:rsidRDefault="00D2069C" w:rsidP="00960DA9">
            <w:pPr>
              <w:spacing w:before="19" w:after="19"/>
              <w:jc w:val="left"/>
              <w:rPr>
                <w:b/>
                <w:lang w:val="es-ES" w:eastAsia="es-ES"/>
              </w:rPr>
            </w:pPr>
            <w:r>
              <w:rPr>
                <w:b/>
                <w:lang w:val="es-ES" w:eastAsia="es-ES"/>
              </w:rPr>
              <w:t>AEPT</w:t>
            </w:r>
          </w:p>
        </w:tc>
        <w:tc>
          <w:tcPr>
            <w:tcW w:w="0" w:type="dxa"/>
          </w:tcPr>
          <w:p w14:paraId="274CA826" w14:textId="6E05D787" w:rsidR="00D2069C" w:rsidRPr="00A55C8E" w:rsidRDefault="00D2069C" w:rsidP="006C24F7">
            <w:pPr>
              <w:spacing w:before="19" w:after="19"/>
              <w:ind w:left="41"/>
              <w:rPr>
                <w:rFonts w:eastAsia="Calibri"/>
                <w:color w:val="000000"/>
                <w:lang w:val="es-MX"/>
              </w:rPr>
            </w:pPr>
            <w:r w:rsidRPr="0085309C">
              <w:rPr>
                <w:color w:val="000000"/>
                <w:lang w:val="es-MX"/>
              </w:rPr>
              <w:t xml:space="preserve">Agente </w:t>
            </w:r>
            <w:r>
              <w:rPr>
                <w:color w:val="000000"/>
                <w:lang w:val="es-MX"/>
              </w:rPr>
              <w:t>e</w:t>
            </w:r>
            <w:r w:rsidRPr="0085309C">
              <w:rPr>
                <w:color w:val="000000"/>
                <w:lang w:val="es-MX"/>
              </w:rPr>
              <w:t xml:space="preserve">conómico </w:t>
            </w:r>
            <w:r>
              <w:rPr>
                <w:color w:val="000000"/>
                <w:lang w:val="es-MX"/>
              </w:rPr>
              <w:t>p</w:t>
            </w:r>
            <w:r w:rsidRPr="0085309C">
              <w:rPr>
                <w:color w:val="000000"/>
                <w:lang w:val="es-MX"/>
              </w:rPr>
              <w:t>reponderante en el sector de telecomunicaciones conformado por América Móvil, S.A.B. de C.V., Teléfonos de México, S.A.B. de C.V., Teléfonos del Noroeste, S.A. de C.V., Radiomóvil Dipsa, S.A. de C. V., Grupo Carso, S.A.B. de C.V., y Grupo Financiero Inbursa, S.A.B. de C.V.</w:t>
            </w:r>
            <w:r>
              <w:rPr>
                <w:color w:val="000000"/>
                <w:lang w:val="es-MX"/>
              </w:rPr>
              <w:t xml:space="preserve">, declarado mediante </w:t>
            </w:r>
            <w:r w:rsidRPr="00387383">
              <w:rPr>
                <w:lang w:val="es-MX"/>
              </w:rPr>
              <w:t>Acuerdo P/IFT/EXT/060314/76.</w:t>
            </w:r>
          </w:p>
        </w:tc>
      </w:tr>
      <w:tr w:rsidR="00397DF3" w14:paraId="330446AE" w14:textId="77777777" w:rsidTr="00E52DC4">
        <w:tc>
          <w:tcPr>
            <w:tcW w:w="0" w:type="dxa"/>
            <w:vAlign w:val="center"/>
          </w:tcPr>
          <w:p w14:paraId="531ABD10" w14:textId="77777777" w:rsidR="00397DF3" w:rsidRDefault="00397DF3" w:rsidP="00960DA9">
            <w:pPr>
              <w:spacing w:before="19" w:after="19"/>
              <w:ind w:right="-12"/>
              <w:jc w:val="left"/>
              <w:rPr>
                <w:b/>
                <w:color w:val="000000"/>
              </w:rPr>
            </w:pPr>
            <w:r>
              <w:rPr>
                <w:b/>
                <w:color w:val="000000"/>
              </w:rPr>
              <w:t>Axtel</w:t>
            </w:r>
          </w:p>
        </w:tc>
        <w:tc>
          <w:tcPr>
            <w:tcW w:w="0" w:type="dxa"/>
          </w:tcPr>
          <w:p w14:paraId="43D3E4FB" w14:textId="77777777" w:rsidR="00397DF3" w:rsidRPr="00397DF3" w:rsidRDefault="00397DF3" w:rsidP="006C24F7">
            <w:pPr>
              <w:spacing w:before="19" w:after="19"/>
              <w:ind w:left="41"/>
              <w:rPr>
                <w:color w:val="000000"/>
                <w:lang w:val="es-MX"/>
              </w:rPr>
            </w:pPr>
            <w:r w:rsidRPr="00397DF3">
              <w:rPr>
                <w:lang w:val="es-MX"/>
              </w:rPr>
              <w:t>Axtel, S.A.B. de C.V</w:t>
            </w:r>
            <w:r>
              <w:rPr>
                <w:lang w:val="es-MX"/>
              </w:rPr>
              <w:t>.</w:t>
            </w:r>
          </w:p>
        </w:tc>
      </w:tr>
      <w:tr w:rsidR="00397DF3" w14:paraId="0E8736F6" w14:textId="77777777" w:rsidTr="00E52DC4">
        <w:trPr>
          <w:cnfStyle w:val="000000100000" w:firstRow="0" w:lastRow="0" w:firstColumn="0" w:lastColumn="0" w:oddVBand="0" w:evenVBand="0" w:oddHBand="1" w:evenHBand="0" w:firstRowFirstColumn="0" w:firstRowLastColumn="0" w:lastRowFirstColumn="0" w:lastRowLastColumn="0"/>
        </w:trPr>
        <w:tc>
          <w:tcPr>
            <w:tcW w:w="0" w:type="dxa"/>
            <w:vAlign w:val="center"/>
          </w:tcPr>
          <w:p w14:paraId="46183E5A" w14:textId="77777777" w:rsidR="00397DF3" w:rsidRDefault="00397DF3" w:rsidP="00960DA9">
            <w:pPr>
              <w:spacing w:before="19" w:after="19"/>
              <w:ind w:right="-12"/>
              <w:jc w:val="left"/>
              <w:rPr>
                <w:b/>
                <w:color w:val="000000"/>
              </w:rPr>
            </w:pPr>
            <w:r>
              <w:rPr>
                <w:b/>
                <w:color w:val="000000"/>
              </w:rPr>
              <w:t>AT&amp;T</w:t>
            </w:r>
          </w:p>
        </w:tc>
        <w:tc>
          <w:tcPr>
            <w:tcW w:w="0" w:type="dxa"/>
          </w:tcPr>
          <w:p w14:paraId="2B1CE4EE" w14:textId="77777777" w:rsidR="00397DF3" w:rsidRPr="002B1694" w:rsidRDefault="00397DF3" w:rsidP="006C24F7">
            <w:pPr>
              <w:spacing w:before="19" w:after="19"/>
              <w:ind w:left="41"/>
              <w:rPr>
                <w:color w:val="000000"/>
                <w:lang w:val="es-MX"/>
              </w:rPr>
            </w:pPr>
            <w:r w:rsidRPr="00397DF3">
              <w:rPr>
                <w:lang w:val="es-MX"/>
              </w:rPr>
              <w:t xml:space="preserve">AT&amp;T Comunicaciones Digitales, S. de R.L. de C.V., AT&amp;T Comercialización Móvil, S. de R.L. de C.V., Grupo AT&amp;T Norte, S. de R.L. de C.V., AT&amp;T Desarrollo en Comunicaciones, S. de R.L. de C.V., y; Grupo AT&amp;T Cellular, S. </w:t>
            </w:r>
            <w:r>
              <w:rPr>
                <w:lang w:val="es-MX"/>
              </w:rPr>
              <w:t>de R.L. de C.V.</w:t>
            </w:r>
          </w:p>
        </w:tc>
      </w:tr>
      <w:tr w:rsidR="002A05DA" w14:paraId="39FE5B12" w14:textId="77777777" w:rsidTr="002A05DA">
        <w:tc>
          <w:tcPr>
            <w:tcW w:w="2977" w:type="dxa"/>
            <w:vAlign w:val="center"/>
          </w:tcPr>
          <w:p w14:paraId="3097583C" w14:textId="0A4BA0EA" w:rsidR="002A05DA" w:rsidRDefault="002A05DA" w:rsidP="00960DA9">
            <w:pPr>
              <w:spacing w:before="19" w:after="19"/>
              <w:ind w:right="-12"/>
              <w:jc w:val="left"/>
              <w:rPr>
                <w:b/>
                <w:color w:val="000000"/>
              </w:rPr>
            </w:pPr>
            <w:r>
              <w:rPr>
                <w:b/>
                <w:color w:val="000000"/>
              </w:rPr>
              <w:t>Cablevision</w:t>
            </w:r>
          </w:p>
        </w:tc>
        <w:tc>
          <w:tcPr>
            <w:tcW w:w="5861" w:type="dxa"/>
          </w:tcPr>
          <w:p w14:paraId="3920CA51" w14:textId="40B02D07" w:rsidR="002A05DA" w:rsidRPr="00E52DC4" w:rsidRDefault="002A05DA" w:rsidP="006C24F7">
            <w:pPr>
              <w:spacing w:before="19" w:after="19"/>
              <w:ind w:left="41"/>
              <w:rPr>
                <w:lang w:val="es-MX"/>
              </w:rPr>
            </w:pPr>
            <w:r w:rsidRPr="00790847">
              <w:rPr>
                <w:lang w:val="es-MX"/>
              </w:rPr>
              <w:t>Cablevisión, S.A. de C.V., Operbes, S.A. de C.V., Cablemás Telecomunicaciones, S.A. de C.V., México Red de Telecomunicaciones, S. de R.L. de C.V., Televisión Internacional, S.A. de C.V., Cablevisión Red, S.A. de C.V. y TV Cable de Oriente, S.A. de C.V</w:t>
            </w:r>
            <w:r>
              <w:rPr>
                <w:lang w:val="es-MX"/>
              </w:rPr>
              <w:t>.</w:t>
            </w:r>
          </w:p>
        </w:tc>
      </w:tr>
      <w:tr w:rsidR="00960DA9" w14:paraId="039DB2E1" w14:textId="77777777" w:rsidTr="00E52DC4">
        <w:trPr>
          <w:cnfStyle w:val="000000100000" w:firstRow="0" w:lastRow="0" w:firstColumn="0" w:lastColumn="0" w:oddVBand="0" w:evenVBand="0" w:oddHBand="1" w:evenHBand="0" w:firstRowFirstColumn="0" w:firstRowLastColumn="0" w:lastRowFirstColumn="0" w:lastRowLastColumn="0"/>
        </w:trPr>
        <w:tc>
          <w:tcPr>
            <w:tcW w:w="0" w:type="dxa"/>
            <w:vAlign w:val="center"/>
          </w:tcPr>
          <w:p w14:paraId="74542D31" w14:textId="77777777" w:rsidR="00960DA9" w:rsidRDefault="00960DA9" w:rsidP="00960DA9">
            <w:pPr>
              <w:spacing w:before="19" w:after="19"/>
              <w:ind w:right="-12"/>
              <w:jc w:val="left"/>
              <w:rPr>
                <w:b/>
                <w:color w:val="000000"/>
              </w:rPr>
            </w:pPr>
            <w:r>
              <w:rPr>
                <w:b/>
                <w:color w:val="000000"/>
              </w:rPr>
              <w:t>CANIETI</w:t>
            </w:r>
          </w:p>
        </w:tc>
        <w:tc>
          <w:tcPr>
            <w:tcW w:w="0" w:type="dxa"/>
          </w:tcPr>
          <w:p w14:paraId="5C56A8FC" w14:textId="77777777" w:rsidR="00960DA9" w:rsidRPr="00960DA9" w:rsidRDefault="00960DA9" w:rsidP="006C24F7">
            <w:pPr>
              <w:spacing w:before="19" w:after="19"/>
              <w:ind w:left="41"/>
              <w:rPr>
                <w:color w:val="000000"/>
                <w:lang w:val="es-MX"/>
              </w:rPr>
            </w:pPr>
            <w:r w:rsidRPr="00960DA9">
              <w:rPr>
                <w:lang w:val="es-MX"/>
              </w:rPr>
              <w:t>Cámara Nacional de la Industria Electrónica, de Telecomunicaciones y Tecnologías de la Información</w:t>
            </w:r>
            <w:r>
              <w:rPr>
                <w:lang w:val="es-MX"/>
              </w:rPr>
              <w:t>.</w:t>
            </w:r>
          </w:p>
        </w:tc>
      </w:tr>
      <w:tr w:rsidR="00960DA9" w14:paraId="528867D9" w14:textId="77777777" w:rsidTr="00E52DC4">
        <w:tc>
          <w:tcPr>
            <w:tcW w:w="0" w:type="dxa"/>
            <w:vAlign w:val="center"/>
          </w:tcPr>
          <w:p w14:paraId="148C5E5E" w14:textId="0F1E95D1" w:rsidR="00960DA9" w:rsidRPr="00292BE6" w:rsidRDefault="00871169" w:rsidP="00790847">
            <w:pPr>
              <w:spacing w:before="19" w:after="19"/>
              <w:ind w:right="-12"/>
              <w:jc w:val="left"/>
              <w:rPr>
                <w:b/>
                <w:color w:val="000000"/>
              </w:rPr>
            </w:pPr>
            <w:r w:rsidRPr="00871169">
              <w:rPr>
                <w:b/>
                <w:color w:val="000000"/>
              </w:rPr>
              <w:t>Megacable</w:t>
            </w:r>
          </w:p>
        </w:tc>
        <w:tc>
          <w:tcPr>
            <w:tcW w:w="0" w:type="dxa"/>
          </w:tcPr>
          <w:p w14:paraId="680CEA61" w14:textId="592EFCC5" w:rsidR="00960DA9" w:rsidRPr="00960DA9" w:rsidRDefault="00871169" w:rsidP="006C24F7">
            <w:pPr>
              <w:spacing w:before="19" w:after="19"/>
              <w:ind w:left="41"/>
              <w:rPr>
                <w:color w:val="000000"/>
                <w:lang w:val="es-MX"/>
              </w:rPr>
            </w:pPr>
            <w:r w:rsidRPr="00397DF3">
              <w:rPr>
                <w:lang w:val="es-MX"/>
              </w:rPr>
              <w:t>Mega Cable, S.A. de C.V.</w:t>
            </w:r>
          </w:p>
        </w:tc>
      </w:tr>
      <w:tr w:rsidR="005E4F80" w14:paraId="3B526C7E" w14:textId="77777777" w:rsidTr="00E52DC4">
        <w:trPr>
          <w:cnfStyle w:val="000000100000" w:firstRow="0" w:lastRow="0" w:firstColumn="0" w:lastColumn="0" w:oddVBand="0" w:evenVBand="0" w:oddHBand="1" w:evenHBand="0" w:firstRowFirstColumn="0" w:firstRowLastColumn="0" w:lastRowFirstColumn="0" w:lastRowLastColumn="0"/>
        </w:trPr>
        <w:tc>
          <w:tcPr>
            <w:tcW w:w="0" w:type="dxa"/>
            <w:vAlign w:val="center"/>
          </w:tcPr>
          <w:p w14:paraId="5604DD27" w14:textId="77777777" w:rsidR="005E4F80" w:rsidRPr="00466ADF" w:rsidRDefault="005E4F80" w:rsidP="00960DA9">
            <w:pPr>
              <w:spacing w:before="19" w:after="19"/>
              <w:ind w:right="-12"/>
              <w:jc w:val="left"/>
              <w:rPr>
                <w:b/>
                <w:color w:val="000000"/>
                <w:lang w:val="es-MX"/>
              </w:rPr>
            </w:pPr>
            <w:r w:rsidRPr="00466ADF">
              <w:rPr>
                <w:b/>
                <w:color w:val="000000"/>
                <w:lang w:val="es-MX"/>
              </w:rPr>
              <w:t>OMV</w:t>
            </w:r>
          </w:p>
        </w:tc>
        <w:tc>
          <w:tcPr>
            <w:tcW w:w="0" w:type="dxa"/>
          </w:tcPr>
          <w:p w14:paraId="13A4FB89" w14:textId="77777777" w:rsidR="005E4F80" w:rsidRPr="005E4F80" w:rsidRDefault="005E4F80" w:rsidP="006C24F7">
            <w:pPr>
              <w:spacing w:before="19" w:after="19"/>
              <w:ind w:left="41"/>
              <w:rPr>
                <w:color w:val="000000"/>
                <w:lang w:val="es-MX"/>
              </w:rPr>
            </w:pPr>
            <w:r w:rsidRPr="005E4F80">
              <w:rPr>
                <w:color w:val="000000"/>
                <w:lang w:val="es-MX"/>
              </w:rPr>
              <w:t>Operador Móvil Virtual</w:t>
            </w:r>
            <w:r>
              <w:rPr>
                <w:color w:val="000000"/>
                <w:lang w:val="es-MX"/>
              </w:rPr>
              <w:t>.</w:t>
            </w:r>
          </w:p>
        </w:tc>
      </w:tr>
      <w:tr w:rsidR="00D2069C" w14:paraId="10E05FEB" w14:textId="77777777" w:rsidTr="00E52DC4">
        <w:tc>
          <w:tcPr>
            <w:tcW w:w="0" w:type="dxa"/>
            <w:vAlign w:val="center"/>
          </w:tcPr>
          <w:p w14:paraId="28D29945" w14:textId="77777777" w:rsidR="00D2069C" w:rsidRPr="00292BE6" w:rsidRDefault="00D2069C" w:rsidP="00960DA9">
            <w:pPr>
              <w:spacing w:before="19" w:after="19"/>
              <w:ind w:right="-12"/>
              <w:jc w:val="left"/>
              <w:rPr>
                <w:b/>
                <w:lang w:val="es-ES" w:eastAsia="es-ES"/>
              </w:rPr>
            </w:pPr>
            <w:r>
              <w:rPr>
                <w:b/>
                <w:lang w:val="es-ES" w:eastAsia="es-ES"/>
              </w:rPr>
              <w:t>OREDA</w:t>
            </w:r>
          </w:p>
        </w:tc>
        <w:tc>
          <w:tcPr>
            <w:tcW w:w="0" w:type="dxa"/>
          </w:tcPr>
          <w:p w14:paraId="324EB772" w14:textId="77777777" w:rsidR="00D2069C" w:rsidRDefault="00D2069C" w:rsidP="006C24F7">
            <w:pPr>
              <w:spacing w:before="19" w:after="19"/>
              <w:ind w:left="41"/>
              <w:rPr>
                <w:lang w:val="es-ES" w:eastAsia="es-ES"/>
              </w:rPr>
            </w:pPr>
            <w:r w:rsidRPr="00780FEC">
              <w:rPr>
                <w:color w:val="000000"/>
                <w:lang w:val="es-MX"/>
              </w:rPr>
              <w:t>Ofe</w:t>
            </w:r>
            <w:r>
              <w:rPr>
                <w:color w:val="000000"/>
                <w:lang w:val="es-MX"/>
              </w:rPr>
              <w:t xml:space="preserve">rta de Referencia para </w:t>
            </w:r>
            <w:r w:rsidRPr="00780FEC">
              <w:rPr>
                <w:color w:val="000000"/>
                <w:lang w:val="es-MX"/>
              </w:rPr>
              <w:t>la Desagregación de</w:t>
            </w:r>
            <w:r>
              <w:rPr>
                <w:color w:val="000000"/>
                <w:lang w:val="es-MX"/>
              </w:rPr>
              <w:t>l</w:t>
            </w:r>
            <w:r w:rsidRPr="00780FEC">
              <w:rPr>
                <w:color w:val="000000"/>
                <w:lang w:val="es-MX"/>
              </w:rPr>
              <w:t xml:space="preserve"> Bucle Local</w:t>
            </w:r>
            <w:r>
              <w:rPr>
                <w:color w:val="000000"/>
                <w:lang w:val="es-MX"/>
              </w:rPr>
              <w:t>.</w:t>
            </w:r>
          </w:p>
        </w:tc>
      </w:tr>
      <w:tr w:rsidR="002A05DA" w14:paraId="1EA896F1" w14:textId="77777777" w:rsidTr="002A05D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12C0849" w14:textId="6879AF9B" w:rsidR="002A05DA" w:rsidRDefault="002A05DA" w:rsidP="00960DA9">
            <w:pPr>
              <w:spacing w:before="19" w:after="19"/>
              <w:ind w:right="-12"/>
              <w:jc w:val="left"/>
              <w:rPr>
                <w:b/>
                <w:lang w:val="es-ES" w:eastAsia="es-ES"/>
              </w:rPr>
            </w:pPr>
            <w:r>
              <w:rPr>
                <w:b/>
                <w:lang w:val="es-ES" w:eastAsia="es-ES"/>
              </w:rPr>
              <w:lastRenderedPageBreak/>
              <w:t>Operbes-Metrored</w:t>
            </w:r>
          </w:p>
        </w:tc>
        <w:tc>
          <w:tcPr>
            <w:tcW w:w="5861" w:type="dxa"/>
          </w:tcPr>
          <w:p w14:paraId="5146A805" w14:textId="3EAEAECD" w:rsidR="002A05DA" w:rsidRPr="00E52DC4" w:rsidRDefault="002A05DA" w:rsidP="006C24F7">
            <w:pPr>
              <w:spacing w:before="19" w:after="19"/>
              <w:ind w:left="41"/>
              <w:rPr>
                <w:color w:val="000000"/>
                <w:lang w:val="es-MX"/>
              </w:rPr>
            </w:pPr>
            <w:r w:rsidRPr="002A05DA">
              <w:rPr>
                <w:color w:val="000000"/>
                <w:lang w:val="es-MX"/>
              </w:rPr>
              <w:t>Operbes, S.A. de C.V. y México Red de Telecomunicaciones, S. de R.L. de C.V.</w:t>
            </w:r>
          </w:p>
        </w:tc>
      </w:tr>
      <w:tr w:rsidR="00960DA9" w14:paraId="066246C4" w14:textId="77777777" w:rsidTr="00E52DC4">
        <w:tc>
          <w:tcPr>
            <w:tcW w:w="0" w:type="dxa"/>
            <w:vAlign w:val="center"/>
          </w:tcPr>
          <w:p w14:paraId="1349199D" w14:textId="01CA944C" w:rsidR="00D2069C" w:rsidRDefault="002A05DA" w:rsidP="00960DA9">
            <w:pPr>
              <w:spacing w:before="19" w:after="19"/>
              <w:ind w:right="-12"/>
              <w:jc w:val="left"/>
              <w:rPr>
                <w:b/>
                <w:lang w:val="es-ES" w:eastAsia="es-ES"/>
              </w:rPr>
            </w:pPr>
            <w:r>
              <w:rPr>
                <w:b/>
                <w:lang w:val="es-MX"/>
              </w:rPr>
              <w:t xml:space="preserve">Primera </w:t>
            </w:r>
            <w:r w:rsidR="00D2069C" w:rsidRPr="00292BE6">
              <w:rPr>
                <w:b/>
                <w:lang w:val="es-MX"/>
              </w:rPr>
              <w:t xml:space="preserve">Resolución Bienal  </w:t>
            </w:r>
          </w:p>
        </w:tc>
        <w:tc>
          <w:tcPr>
            <w:tcW w:w="0" w:type="dxa"/>
          </w:tcPr>
          <w:p w14:paraId="76686217" w14:textId="77777777" w:rsidR="00D2069C" w:rsidRDefault="00D2069C" w:rsidP="006C24F7">
            <w:pPr>
              <w:spacing w:before="19" w:after="19"/>
              <w:ind w:left="41"/>
              <w:rPr>
                <w:rFonts w:eastAsia="Times New Roman" w:cs="Times New Roman"/>
                <w:color w:val="000000"/>
                <w:lang w:val="es-MX" w:eastAsia="es-MX"/>
              </w:rPr>
            </w:pPr>
            <w:r>
              <w:rPr>
                <w:rFonts w:eastAsia="Times New Roman" w:cs="Times New Roman"/>
                <w:color w:val="000000"/>
                <w:lang w:val="es-MX" w:eastAsia="es-MX"/>
              </w:rPr>
              <w:t xml:space="preserve">“Resolución mediante la cual el Pleno del Instituto Federal de Telecomunicaciones suprime, modifica y adiciona las medidas impuestas al </w:t>
            </w:r>
            <w:r w:rsidRPr="00740A7A">
              <w:rPr>
                <w:rFonts w:eastAsia="Times New Roman" w:cs="Times New Roman"/>
                <w:color w:val="000000"/>
                <w:lang w:val="es-MX" w:eastAsia="es-MX"/>
              </w:rPr>
              <w:t>agente económico preponderante en el sector de telecomunicaciones</w:t>
            </w:r>
            <w:r>
              <w:rPr>
                <w:rFonts w:eastAsia="Times New Roman" w:cs="Times New Roman"/>
                <w:color w:val="000000"/>
                <w:lang w:val="es-MX" w:eastAsia="es-MX"/>
              </w:rPr>
              <w:t xml:space="preserve"> mediante resolución de fecha seis de marzo de dos mil catorce</w:t>
            </w:r>
            <w:r w:rsidRPr="00F533C9">
              <w:rPr>
                <w:rFonts w:eastAsia="Times New Roman" w:cs="Times New Roman"/>
                <w:color w:val="000000"/>
                <w:lang w:val="es-MX" w:eastAsia="es-MX"/>
              </w:rPr>
              <w:t xml:space="preserve">, </w:t>
            </w:r>
            <w:r>
              <w:rPr>
                <w:rFonts w:eastAsia="Times New Roman" w:cs="Times New Roman"/>
                <w:color w:val="000000"/>
                <w:lang w:val="es-MX" w:eastAsia="es-MX"/>
              </w:rPr>
              <w:t>aprobada mediante acuerdo P/IFT/EXT/060314/76”</w:t>
            </w:r>
            <w:r w:rsidRPr="00F533C9">
              <w:rPr>
                <w:rFonts w:eastAsia="Times New Roman" w:cs="Times New Roman"/>
                <w:color w:val="000000"/>
                <w:lang w:val="es-MX" w:eastAsia="es-MX"/>
              </w:rPr>
              <w:t xml:space="preserve">. </w:t>
            </w:r>
          </w:p>
          <w:p w14:paraId="1D880631" w14:textId="77777777" w:rsidR="00D2069C" w:rsidRDefault="00D2069C" w:rsidP="006C24F7">
            <w:pPr>
              <w:spacing w:before="19" w:after="19"/>
              <w:ind w:left="41"/>
              <w:rPr>
                <w:lang w:val="es-ES" w:eastAsia="es-ES"/>
              </w:rPr>
            </w:pPr>
            <w:r w:rsidRPr="00F533C9">
              <w:rPr>
                <w:rFonts w:eastAsia="Times New Roman" w:cs="Times New Roman"/>
                <w:color w:val="000000"/>
                <w:lang w:val="es-MX" w:eastAsia="es-MX"/>
              </w:rPr>
              <w:t>Aprobad</w:t>
            </w:r>
            <w:r>
              <w:rPr>
                <w:rFonts w:eastAsia="Times New Roman" w:cs="Times New Roman"/>
                <w:color w:val="000000"/>
                <w:lang w:val="es-MX" w:eastAsia="es-MX"/>
              </w:rPr>
              <w:t>o</w:t>
            </w:r>
            <w:r w:rsidRPr="001E594C">
              <w:rPr>
                <w:rFonts w:eastAsia="Times New Roman" w:cs="Times New Roman"/>
                <w:color w:val="000000"/>
                <w:lang w:val="es-MX" w:eastAsia="es-MX"/>
              </w:rPr>
              <w:t xml:space="preserve"> por el </w:t>
            </w:r>
            <w:r>
              <w:rPr>
                <w:rFonts w:eastAsia="Times New Roman" w:cs="Times New Roman"/>
                <w:color w:val="000000"/>
                <w:lang w:val="es-MX" w:eastAsia="es-MX"/>
              </w:rPr>
              <w:t>P</w:t>
            </w:r>
            <w:r w:rsidRPr="00F533C9">
              <w:rPr>
                <w:rFonts w:eastAsia="Times New Roman" w:cs="Times New Roman"/>
                <w:color w:val="000000"/>
                <w:lang w:val="es-MX" w:eastAsia="es-MX"/>
              </w:rPr>
              <w:t xml:space="preserve">leno del Instituto </w:t>
            </w:r>
            <w:r>
              <w:rPr>
                <w:rFonts w:eastAsia="Times New Roman" w:cs="Times New Roman"/>
                <w:color w:val="000000"/>
                <w:lang w:val="es-MX" w:eastAsia="es-MX"/>
              </w:rPr>
              <w:t xml:space="preserve">en su </w:t>
            </w:r>
            <w:r w:rsidRPr="00F533C9">
              <w:rPr>
                <w:rFonts w:eastAsia="Times New Roman" w:cs="Times New Roman"/>
                <w:color w:val="000000"/>
                <w:lang w:val="es-MX" w:eastAsia="es-MX"/>
              </w:rPr>
              <w:t>IV Sesión Extraordinaria</w:t>
            </w:r>
            <w:r>
              <w:rPr>
                <w:rFonts w:eastAsia="Times New Roman" w:cs="Times New Roman"/>
                <w:color w:val="000000"/>
                <w:lang w:val="es-MX" w:eastAsia="es-MX"/>
              </w:rPr>
              <w:t xml:space="preserve"> celebrada el 27 </w:t>
            </w:r>
            <w:r w:rsidRPr="00F533C9">
              <w:rPr>
                <w:rFonts w:eastAsia="Times New Roman" w:cs="Times New Roman"/>
                <w:color w:val="000000"/>
                <w:lang w:val="es-MX" w:eastAsia="es-MX"/>
              </w:rPr>
              <w:t>de febrero de</w:t>
            </w:r>
            <w:r>
              <w:rPr>
                <w:rFonts w:eastAsia="Times New Roman" w:cs="Times New Roman"/>
                <w:color w:val="000000"/>
                <w:lang w:val="es-MX" w:eastAsia="es-MX"/>
              </w:rPr>
              <w:t xml:space="preserve"> 2017,</w:t>
            </w:r>
            <w:r w:rsidRPr="00F533C9">
              <w:rPr>
                <w:rFonts w:eastAsia="Times New Roman" w:cs="Times New Roman"/>
                <w:color w:val="000000"/>
                <w:lang w:val="es-MX" w:eastAsia="es-MX"/>
              </w:rPr>
              <w:t xml:space="preserve"> mediante Acuerdo P/IFT/EXT/270217/119</w:t>
            </w:r>
            <w:r w:rsidRPr="00F533C9">
              <w:rPr>
                <w:color w:val="000000"/>
                <w:lang w:val="es-MX"/>
              </w:rPr>
              <w:t>.</w:t>
            </w:r>
            <w:r>
              <w:rPr>
                <w:lang w:val="es-MX"/>
              </w:rPr>
              <w:t xml:space="preserve"> </w:t>
            </w:r>
            <w:r w:rsidRPr="00780FEC">
              <w:rPr>
                <w:lang w:val="es-MX"/>
              </w:rPr>
              <w:t xml:space="preserve"> </w:t>
            </w:r>
            <w:r>
              <w:rPr>
                <w:lang w:val="es-MX"/>
              </w:rPr>
              <w:t xml:space="preserve"> </w:t>
            </w:r>
          </w:p>
        </w:tc>
      </w:tr>
      <w:tr w:rsidR="00960DA9" w14:paraId="79082813" w14:textId="77777777" w:rsidTr="00E52DC4">
        <w:trPr>
          <w:cnfStyle w:val="000000100000" w:firstRow="0" w:lastRow="0" w:firstColumn="0" w:lastColumn="0" w:oddVBand="0" w:evenVBand="0" w:oddHBand="1" w:evenHBand="0" w:firstRowFirstColumn="0" w:firstRowLastColumn="0" w:lastRowFirstColumn="0" w:lastRowLastColumn="0"/>
        </w:trPr>
        <w:tc>
          <w:tcPr>
            <w:tcW w:w="0" w:type="dxa"/>
            <w:vAlign w:val="center"/>
          </w:tcPr>
          <w:p w14:paraId="03419331" w14:textId="21898DE5" w:rsidR="00D2069C" w:rsidRDefault="00790847" w:rsidP="00960DA9">
            <w:pPr>
              <w:spacing w:before="19" w:after="19"/>
              <w:ind w:right="-12"/>
              <w:jc w:val="left"/>
              <w:rPr>
                <w:b/>
                <w:lang w:val="es-ES" w:eastAsia="es-ES"/>
              </w:rPr>
            </w:pPr>
            <w:r>
              <w:rPr>
                <w:b/>
              </w:rPr>
              <w:t>Segunda Resolución Bienal</w:t>
            </w:r>
            <w:r w:rsidR="00D2069C" w:rsidRPr="00292BE6">
              <w:rPr>
                <w:b/>
              </w:rPr>
              <w:t xml:space="preserve">  </w:t>
            </w:r>
          </w:p>
        </w:tc>
        <w:tc>
          <w:tcPr>
            <w:tcW w:w="0" w:type="dxa"/>
          </w:tcPr>
          <w:p w14:paraId="05B864F1" w14:textId="5233806B" w:rsidR="00D2069C" w:rsidRDefault="00D2069C" w:rsidP="006C24F7">
            <w:pPr>
              <w:spacing w:before="19" w:after="19"/>
              <w:ind w:left="41"/>
              <w:rPr>
                <w:color w:val="000000"/>
                <w:lang w:val="es-MX"/>
              </w:rPr>
            </w:pPr>
            <w:r>
              <w:rPr>
                <w:color w:val="000000"/>
                <w:lang w:val="es-MX"/>
              </w:rPr>
              <w:t>“</w:t>
            </w:r>
            <w:r w:rsidR="00790847" w:rsidRPr="00790847">
              <w:rPr>
                <w:rFonts w:eastAsia="Arial"/>
                <w:lang w:val="es-MX"/>
              </w:rPr>
              <w:t xml:space="preserve">Resolución mediante la cual el Pleno del Instituto Federal de Telecomunicaciones suprime, modifica y adiciona las medidas impuestas al agente económico preponderante en el sector de telecomunicaciones mediante Acuerdos </w:t>
            </w:r>
            <w:bookmarkStart w:id="0" w:name="_Hlk97554596"/>
            <w:r w:rsidR="00790847" w:rsidRPr="00790847">
              <w:rPr>
                <w:rFonts w:eastAsia="Arial"/>
                <w:lang w:val="es-MX"/>
              </w:rPr>
              <w:t>P/IFT/EXT/060314/76 y P/IFT/EXT/270217/119</w:t>
            </w:r>
            <w:bookmarkEnd w:id="0"/>
            <w:r>
              <w:rPr>
                <w:color w:val="000000"/>
                <w:lang w:val="es-MX"/>
              </w:rPr>
              <w:t xml:space="preserve">”. </w:t>
            </w:r>
          </w:p>
          <w:p w14:paraId="0E05367E" w14:textId="56A46692" w:rsidR="00D2069C" w:rsidRDefault="00D2069C" w:rsidP="006C24F7">
            <w:pPr>
              <w:spacing w:before="19" w:after="19"/>
              <w:ind w:left="41"/>
              <w:rPr>
                <w:lang w:val="es-ES" w:eastAsia="es-ES"/>
              </w:rPr>
            </w:pPr>
            <w:r>
              <w:rPr>
                <w:color w:val="000000"/>
                <w:lang w:val="es-MX"/>
              </w:rPr>
              <w:t>Aprobado</w:t>
            </w:r>
            <w:r w:rsidRPr="001E594C">
              <w:rPr>
                <w:color w:val="000000"/>
                <w:lang w:val="es-MX"/>
              </w:rPr>
              <w:t xml:space="preserve"> mediante </w:t>
            </w:r>
            <w:r w:rsidRPr="001E594C">
              <w:rPr>
                <w:rFonts w:eastAsia="Times New Roman" w:cs="Times New Roman"/>
                <w:color w:val="000000"/>
                <w:lang w:val="es-MX" w:eastAsia="es-MX"/>
              </w:rPr>
              <w:t xml:space="preserve">por el </w:t>
            </w:r>
            <w:r>
              <w:rPr>
                <w:rFonts w:eastAsia="Times New Roman" w:cs="Times New Roman"/>
                <w:color w:val="000000"/>
                <w:lang w:val="es-MX" w:eastAsia="es-MX"/>
              </w:rPr>
              <w:t>P</w:t>
            </w:r>
            <w:r w:rsidRPr="00F533C9">
              <w:rPr>
                <w:rFonts w:eastAsia="Times New Roman" w:cs="Times New Roman"/>
                <w:color w:val="000000"/>
                <w:lang w:val="es-MX" w:eastAsia="es-MX"/>
              </w:rPr>
              <w:t xml:space="preserve">leno del Instituto </w:t>
            </w:r>
            <w:r>
              <w:rPr>
                <w:rFonts w:eastAsia="Times New Roman" w:cs="Times New Roman"/>
                <w:color w:val="000000"/>
                <w:lang w:val="es-MX" w:eastAsia="es-MX"/>
              </w:rPr>
              <w:t xml:space="preserve">en su </w:t>
            </w:r>
            <w:r w:rsidR="00790847">
              <w:rPr>
                <w:rFonts w:eastAsia="Times New Roman" w:cs="Times New Roman"/>
                <w:color w:val="000000"/>
                <w:lang w:val="es-MX" w:eastAsia="es-MX"/>
              </w:rPr>
              <w:t>XXI</w:t>
            </w:r>
            <w:r>
              <w:rPr>
                <w:color w:val="000000"/>
                <w:lang w:val="es-MX"/>
              </w:rPr>
              <w:t>V</w:t>
            </w:r>
            <w:r w:rsidRPr="00F533C9">
              <w:rPr>
                <w:rFonts w:eastAsia="Times New Roman" w:cs="Times New Roman"/>
                <w:color w:val="000000"/>
                <w:lang w:val="es-MX" w:eastAsia="es-MX"/>
              </w:rPr>
              <w:t xml:space="preserve"> Sesión </w:t>
            </w:r>
            <w:r w:rsidR="00790847">
              <w:rPr>
                <w:rFonts w:eastAsia="Times New Roman" w:cs="Times New Roman"/>
                <w:color w:val="000000"/>
                <w:lang w:val="es-MX" w:eastAsia="es-MX"/>
              </w:rPr>
              <w:t>O</w:t>
            </w:r>
            <w:r w:rsidRPr="00F533C9">
              <w:rPr>
                <w:rFonts w:eastAsia="Times New Roman" w:cs="Times New Roman"/>
                <w:color w:val="000000"/>
                <w:lang w:val="es-MX" w:eastAsia="es-MX"/>
              </w:rPr>
              <w:t>rdinaria</w:t>
            </w:r>
            <w:r>
              <w:rPr>
                <w:rFonts w:eastAsia="Times New Roman" w:cs="Times New Roman"/>
                <w:color w:val="000000"/>
                <w:lang w:val="es-MX" w:eastAsia="es-MX"/>
              </w:rPr>
              <w:t xml:space="preserve">, el </w:t>
            </w:r>
            <w:r>
              <w:rPr>
                <w:color w:val="000000"/>
                <w:lang w:val="es-MX"/>
              </w:rPr>
              <w:t>0</w:t>
            </w:r>
            <w:r w:rsidR="00790847">
              <w:rPr>
                <w:color w:val="000000"/>
                <w:lang w:val="es-MX"/>
              </w:rPr>
              <w:t>2</w:t>
            </w:r>
            <w:r w:rsidRPr="00F533C9">
              <w:rPr>
                <w:rFonts w:eastAsia="Times New Roman" w:cs="Times New Roman"/>
                <w:color w:val="000000"/>
                <w:lang w:val="es-MX" w:eastAsia="es-MX"/>
              </w:rPr>
              <w:t xml:space="preserve"> de </w:t>
            </w:r>
            <w:r w:rsidR="00790847">
              <w:rPr>
                <w:rFonts w:eastAsia="Times New Roman" w:cs="Times New Roman"/>
                <w:color w:val="000000"/>
                <w:lang w:val="es-MX" w:eastAsia="es-MX"/>
              </w:rPr>
              <w:t>diciembre</w:t>
            </w:r>
            <w:r w:rsidRPr="00F533C9">
              <w:rPr>
                <w:rFonts w:eastAsia="Times New Roman" w:cs="Times New Roman"/>
                <w:color w:val="000000"/>
                <w:lang w:val="es-MX" w:eastAsia="es-MX"/>
              </w:rPr>
              <w:t xml:space="preserve"> de</w:t>
            </w:r>
            <w:r w:rsidRPr="00C64A3C">
              <w:rPr>
                <w:color w:val="000000"/>
                <w:lang w:val="es-MX"/>
              </w:rPr>
              <w:t xml:space="preserve"> </w:t>
            </w:r>
            <w:r>
              <w:rPr>
                <w:rFonts w:eastAsia="Times New Roman" w:cs="Times New Roman"/>
                <w:color w:val="000000"/>
                <w:lang w:val="es-MX" w:eastAsia="es-MX"/>
              </w:rPr>
              <w:t>20</w:t>
            </w:r>
            <w:r w:rsidR="00790847">
              <w:rPr>
                <w:rFonts w:eastAsia="Times New Roman" w:cs="Times New Roman"/>
                <w:color w:val="000000"/>
                <w:lang w:val="es-MX" w:eastAsia="es-MX"/>
              </w:rPr>
              <w:t>20</w:t>
            </w:r>
            <w:r>
              <w:rPr>
                <w:color w:val="000000"/>
                <w:lang w:val="es-MX"/>
              </w:rPr>
              <w:t>,</w:t>
            </w:r>
            <w:r w:rsidRPr="00F533C9">
              <w:rPr>
                <w:rFonts w:eastAsia="Times New Roman" w:cs="Times New Roman"/>
                <w:color w:val="000000"/>
                <w:lang w:val="es-MX" w:eastAsia="es-MX"/>
              </w:rPr>
              <w:t xml:space="preserve"> mediante Acuerdo </w:t>
            </w:r>
            <w:r w:rsidR="00790847" w:rsidRPr="00790847">
              <w:rPr>
                <w:rFonts w:eastAsia="Arial"/>
                <w:lang w:val="es-MX"/>
              </w:rPr>
              <w:t>P/IFT/021220/488</w:t>
            </w:r>
            <w:r>
              <w:rPr>
                <w:color w:val="000000"/>
                <w:lang w:val="es-MX"/>
              </w:rPr>
              <w:t>.</w:t>
            </w:r>
            <w:r w:rsidRPr="001E594C" w:rsidDel="001E70AA">
              <w:rPr>
                <w:color w:val="000000"/>
                <w:lang w:val="es-MX"/>
              </w:rPr>
              <w:t xml:space="preserve"> </w:t>
            </w:r>
            <w:r>
              <w:rPr>
                <w:color w:val="000000"/>
                <w:lang w:val="es-MX"/>
              </w:rPr>
              <w:t xml:space="preserve"> </w:t>
            </w:r>
          </w:p>
        </w:tc>
      </w:tr>
      <w:tr w:rsidR="00871169" w14:paraId="493ED49C" w14:textId="77777777" w:rsidTr="002A05DA">
        <w:tc>
          <w:tcPr>
            <w:tcW w:w="2977" w:type="dxa"/>
            <w:vAlign w:val="center"/>
          </w:tcPr>
          <w:p w14:paraId="06CA88A2" w14:textId="36A323DA" w:rsidR="00871169" w:rsidRPr="00292BE6" w:rsidRDefault="00871169" w:rsidP="00871169">
            <w:pPr>
              <w:spacing w:before="19" w:after="19"/>
              <w:ind w:right="-12"/>
              <w:jc w:val="left"/>
              <w:rPr>
                <w:b/>
              </w:rPr>
            </w:pPr>
            <w:r>
              <w:rPr>
                <w:b/>
              </w:rPr>
              <w:t>Telefónica</w:t>
            </w:r>
          </w:p>
        </w:tc>
        <w:tc>
          <w:tcPr>
            <w:tcW w:w="5861" w:type="dxa"/>
          </w:tcPr>
          <w:p w14:paraId="22E86A32" w14:textId="2BA3361E" w:rsidR="00871169" w:rsidRPr="00E52DC4" w:rsidRDefault="00871169" w:rsidP="00871169">
            <w:pPr>
              <w:spacing w:before="19" w:after="19"/>
              <w:ind w:left="41"/>
              <w:rPr>
                <w:color w:val="000000"/>
                <w:lang w:val="es-MX"/>
              </w:rPr>
            </w:pPr>
            <w:r w:rsidRPr="00397DF3">
              <w:rPr>
                <w:lang w:val="es-MX"/>
              </w:rPr>
              <w:t>Pegaso PCS, S.A. de C.V.</w:t>
            </w:r>
          </w:p>
        </w:tc>
      </w:tr>
    </w:tbl>
    <w:p w14:paraId="79813FF8" w14:textId="77777777" w:rsidR="00D2069C" w:rsidRPr="00E52DC4" w:rsidRDefault="00D2069C" w:rsidP="00D2069C">
      <w:pPr>
        <w:jc w:val="center"/>
        <w:rPr>
          <w:b/>
        </w:rPr>
      </w:pPr>
    </w:p>
    <w:p w14:paraId="6E7FF8C4" w14:textId="77777777" w:rsidR="00FB70F0" w:rsidRPr="00E52DC4" w:rsidRDefault="00FB70F0" w:rsidP="0003063E"/>
    <w:p w14:paraId="3E775D55" w14:textId="77777777" w:rsidR="00FB70F0" w:rsidRDefault="00FB70F0" w:rsidP="0003063E">
      <w:pPr>
        <w:rPr>
          <w:b/>
        </w:rPr>
      </w:pPr>
      <w:r>
        <w:rPr>
          <w:b/>
        </w:rPr>
        <w:t>Descripci</w:t>
      </w:r>
      <w:r w:rsidR="00E17636">
        <w:rPr>
          <w:b/>
        </w:rPr>
        <w:t>ón de la consulta</w:t>
      </w:r>
    </w:p>
    <w:p w14:paraId="04444F8A" w14:textId="32FB6C19" w:rsidR="00A700B2" w:rsidRDefault="00FB70F0" w:rsidP="003350B5">
      <w:pPr>
        <w:pStyle w:val="Prrafo"/>
        <w:rPr>
          <w:rStyle w:val="Textoennegrita"/>
          <w:b w:val="0"/>
          <w:bCs w:val="0"/>
        </w:rPr>
      </w:pPr>
      <w:r w:rsidRPr="00581F46">
        <w:t xml:space="preserve">La consulta pública se llevó a cabo del </w:t>
      </w:r>
      <w:r w:rsidR="00692FEF" w:rsidRPr="00692FEF">
        <w:t xml:space="preserve">10 de </w:t>
      </w:r>
      <w:r w:rsidR="004C6086">
        <w:t>e</w:t>
      </w:r>
      <w:r w:rsidR="00692FEF" w:rsidRPr="00692FEF">
        <w:t xml:space="preserve">nero de 2022 al 21 de </w:t>
      </w:r>
      <w:r w:rsidR="004C6086">
        <w:t>f</w:t>
      </w:r>
      <w:r w:rsidR="00692FEF" w:rsidRPr="00692FEF">
        <w:t>ebrero de 2022 (30 días hábiles)</w:t>
      </w:r>
      <w:r w:rsidR="00A700B2" w:rsidRPr="00581F46">
        <w:t xml:space="preserve"> con la finalidad </w:t>
      </w:r>
      <w:r w:rsidR="00DA67C0">
        <w:t xml:space="preserve">de </w:t>
      </w:r>
      <w:r w:rsidR="00A700B2" w:rsidRPr="00581F46">
        <w:t xml:space="preserve">fomentar la participación ciudadana en </w:t>
      </w:r>
      <w:r w:rsidR="0075342D">
        <w:t>la</w:t>
      </w:r>
      <w:r w:rsidR="00A700B2" w:rsidRPr="00581F46">
        <w:t xml:space="preserve"> toma de decisiones</w:t>
      </w:r>
      <w:r w:rsidR="0075342D">
        <w:t xml:space="preserve"> del Instituto</w:t>
      </w:r>
      <w:r w:rsidR="00A700B2" w:rsidRPr="00581F46">
        <w:t>, mediante comentarios, opiniones y aportaciones de cualquier interesado sobre </w:t>
      </w:r>
      <w:r w:rsidR="006B2542" w:rsidRPr="006B2542">
        <w:rPr>
          <w:rStyle w:val="Textoennegrita"/>
          <w:b w:val="0"/>
          <w:bCs w:val="0"/>
        </w:rPr>
        <w:t>las Propuestas de actualización de las metodologías, términos y condiciones para llevar a cabo las pruebas de replicabilidad económica</w:t>
      </w:r>
      <w:r w:rsidR="00A700B2" w:rsidRPr="00581F46">
        <w:rPr>
          <w:rStyle w:val="Textoennegrita"/>
          <w:b w:val="0"/>
          <w:bCs w:val="0"/>
        </w:rPr>
        <w:t>.</w:t>
      </w:r>
    </w:p>
    <w:p w14:paraId="4BAC0373" w14:textId="77777777" w:rsidR="00E17636" w:rsidRDefault="00E17636" w:rsidP="0003063E">
      <w:pPr>
        <w:rPr>
          <w:rStyle w:val="Textoennegrita"/>
          <w:rFonts w:cs="Arial"/>
          <w:color w:val="000000"/>
          <w:sz w:val="21"/>
          <w:szCs w:val="21"/>
          <w:shd w:val="clear" w:color="auto" w:fill="FFFFFF"/>
        </w:rPr>
      </w:pPr>
    </w:p>
    <w:p w14:paraId="210D33F6" w14:textId="77777777" w:rsidR="00E17636" w:rsidRPr="00F367A6" w:rsidRDefault="00E17636" w:rsidP="0003063E">
      <w:pPr>
        <w:rPr>
          <w:rStyle w:val="Textoennegrita"/>
          <w:rFonts w:cs="Arial"/>
          <w:color w:val="000000"/>
          <w:szCs w:val="21"/>
          <w:shd w:val="clear" w:color="auto" w:fill="FFFFFF"/>
        </w:rPr>
      </w:pPr>
      <w:r w:rsidRPr="00F367A6">
        <w:rPr>
          <w:rStyle w:val="Textoennegrita"/>
          <w:rFonts w:cs="Arial"/>
          <w:color w:val="000000"/>
          <w:szCs w:val="21"/>
          <w:shd w:val="clear" w:color="auto" w:fill="FFFFFF"/>
        </w:rPr>
        <w:t>Objetivos de la consulta pública</w:t>
      </w:r>
    </w:p>
    <w:p w14:paraId="128F2E66" w14:textId="0741E08F" w:rsidR="00FB70F0" w:rsidRDefault="00202F37" w:rsidP="003350B5">
      <w:pPr>
        <w:pStyle w:val="Prrafo"/>
        <w:rPr>
          <w:shd w:val="clear" w:color="auto" w:fill="FFFFFF"/>
        </w:rPr>
      </w:pPr>
      <w:r>
        <w:t>T</w:t>
      </w:r>
      <w:r w:rsidRPr="00202F37">
        <w:rPr>
          <w:shd w:val="clear" w:color="auto" w:fill="FFFFFF"/>
        </w:rPr>
        <w:t xml:space="preserve">ransparentar y fomentar la participación ciudadana, a través de la recepción de comentarios, opiniones y aportaciones, acompañadas de sus respectivas justificaciones, que puedan ser de utilidad para </w:t>
      </w:r>
      <w:r w:rsidR="005F1595">
        <w:rPr>
          <w:shd w:val="clear" w:color="auto" w:fill="FFFFFF"/>
        </w:rPr>
        <w:t xml:space="preserve">el Instituto </w:t>
      </w:r>
      <w:r w:rsidRPr="00202F37">
        <w:rPr>
          <w:shd w:val="clear" w:color="auto" w:fill="FFFFFF"/>
        </w:rPr>
        <w:t>como elementos de análisis y valoración para una adecuada actualización de las metodologías, términos y condiciones para llevar a cabo las pruebas de replicabilidad económica</w:t>
      </w:r>
      <w:r w:rsidR="00C0318A" w:rsidRPr="00C0318A">
        <w:rPr>
          <w:shd w:val="clear" w:color="auto" w:fill="FFFFFF"/>
        </w:rPr>
        <w:t>.</w:t>
      </w:r>
    </w:p>
    <w:p w14:paraId="19F3C437" w14:textId="77777777" w:rsidR="009F1121" w:rsidRDefault="009F1121" w:rsidP="00C0318A"/>
    <w:p w14:paraId="37BB3E8F" w14:textId="77777777" w:rsidR="009F1121" w:rsidRPr="00E17636" w:rsidRDefault="009F1121" w:rsidP="00C0318A">
      <w:r>
        <w:rPr>
          <w:b/>
        </w:rPr>
        <w:t>Descripción de los participantes en la consulta pública</w:t>
      </w:r>
    </w:p>
    <w:p w14:paraId="255BBFDB" w14:textId="77777777" w:rsidR="00FE01B7" w:rsidRDefault="00FE01B7" w:rsidP="003350B5">
      <w:pPr>
        <w:pStyle w:val="Prrafo"/>
      </w:pPr>
      <w:r>
        <w:t>C</w:t>
      </w:r>
      <w:r w:rsidR="00DF7AC6" w:rsidRPr="00DC0FE6">
        <w:t xml:space="preserve">on relación a las manifestaciones, opiniones, comentarios y propuestas recibidas </w:t>
      </w:r>
      <w:r>
        <w:t>durante</w:t>
      </w:r>
      <w:r w:rsidR="002853A6" w:rsidRPr="00DC0FE6">
        <w:t xml:space="preserve"> la </w:t>
      </w:r>
      <w:r w:rsidR="00A26BC2">
        <w:t>consulta pública de mérito</w:t>
      </w:r>
      <w:r w:rsidR="00A26BC2" w:rsidDel="00A24B51">
        <w:t xml:space="preserve">, </w:t>
      </w:r>
      <w:r>
        <w:t xml:space="preserve">para efectos de su atención, estos han sido resumidos y </w:t>
      </w:r>
      <w:r>
        <w:lastRenderedPageBreak/>
        <w:t>agrupados para su mejor identificación</w:t>
      </w:r>
      <w:r w:rsidR="00E63480" w:rsidRPr="00DC0FE6">
        <w:t xml:space="preserve">. </w:t>
      </w:r>
      <w:r>
        <w:t>No obstante, se menciona que todas las opiniones y pronunciamientos recibidos se encuentran disponibles para su consulta en la página de Internet del Instituto.</w:t>
      </w:r>
    </w:p>
    <w:p w14:paraId="2096ABD6" w14:textId="7F61E329" w:rsidR="00F83AEA" w:rsidRPr="00DC0FE6" w:rsidRDefault="00F83AEA" w:rsidP="003350B5">
      <w:pPr>
        <w:pStyle w:val="Prrafo"/>
      </w:pPr>
      <w:r w:rsidRPr="00F83AEA">
        <w:t xml:space="preserve">Una vez concluido el plazo de consulta respectivo, se publicaron en el portal del Instituto todos y cada uno de los comentarios, opiniones y propuestas concretas recibidas. </w:t>
      </w:r>
      <w:r w:rsidR="005F1595">
        <w:t>Así,</w:t>
      </w:r>
      <w:r w:rsidRPr="00F83AEA">
        <w:t xml:space="preserve"> se presentaron </w:t>
      </w:r>
      <w:r>
        <w:t>8</w:t>
      </w:r>
      <w:r w:rsidRPr="00F83AEA">
        <w:t xml:space="preserve"> (</w:t>
      </w:r>
      <w:r>
        <w:t>ocho</w:t>
      </w:r>
      <w:r w:rsidRPr="00F83AEA">
        <w:t>) participaciones</w:t>
      </w:r>
      <w:r w:rsidR="005F1595">
        <w:t xml:space="preserve"> realizadas por </w:t>
      </w:r>
      <w:r w:rsidRPr="00F83AEA">
        <w:t>personas morales.</w:t>
      </w:r>
    </w:p>
    <w:p w14:paraId="4E6452D0" w14:textId="3659A776" w:rsidR="00616344" w:rsidRPr="00DC0FE6" w:rsidRDefault="00F83AEA" w:rsidP="003350B5">
      <w:pPr>
        <w:pStyle w:val="Prrafo"/>
      </w:pPr>
      <w:r>
        <w:t>De manera puntual, l</w:t>
      </w:r>
      <w:r w:rsidR="003C0878" w:rsidRPr="00DC0FE6">
        <w:t xml:space="preserve">os participantes </w:t>
      </w:r>
      <w:r w:rsidR="00163344" w:rsidRPr="00DC0FE6">
        <w:t xml:space="preserve">en </w:t>
      </w:r>
      <w:r w:rsidR="003C0878" w:rsidRPr="00DC0FE6">
        <w:t>el proceso de consulta pública</w:t>
      </w:r>
      <w:r w:rsidR="006C6CD8" w:rsidRPr="00DC0FE6">
        <w:t xml:space="preserve"> fueron los siguientes</w:t>
      </w:r>
      <w:r w:rsidR="00616344" w:rsidRPr="00DC0FE6">
        <w:t>:</w:t>
      </w:r>
    </w:p>
    <w:p w14:paraId="79C9CAD4" w14:textId="77777777" w:rsidR="00F6513C" w:rsidRPr="00DC0FE6" w:rsidRDefault="00F6513C" w:rsidP="0003063E"/>
    <w:p w14:paraId="3585CFE1" w14:textId="69548877" w:rsidR="00F83AEA" w:rsidRPr="00F83AEA" w:rsidRDefault="00F83AEA" w:rsidP="00F83AEA">
      <w:pPr>
        <w:pStyle w:val="Prrafodelista"/>
        <w:numPr>
          <w:ilvl w:val="0"/>
          <w:numId w:val="1"/>
        </w:numPr>
        <w:rPr>
          <w:rFonts w:cs="Arial"/>
        </w:rPr>
      </w:pPr>
      <w:r w:rsidRPr="00F83AEA">
        <w:rPr>
          <w:rFonts w:cs="Arial"/>
        </w:rPr>
        <w:t>Mega</w:t>
      </w:r>
      <w:r w:rsidR="002A05DA">
        <w:rPr>
          <w:rFonts w:cs="Arial"/>
        </w:rPr>
        <w:t>c</w:t>
      </w:r>
      <w:r w:rsidRPr="00F83AEA">
        <w:rPr>
          <w:rFonts w:cs="Arial"/>
        </w:rPr>
        <w:t>able</w:t>
      </w:r>
      <w:r w:rsidR="00D305BC">
        <w:rPr>
          <w:rFonts w:cs="Arial"/>
        </w:rPr>
        <w:t>.</w:t>
      </w:r>
    </w:p>
    <w:p w14:paraId="6984C0FB" w14:textId="4F6BA30E" w:rsidR="00F83AEA" w:rsidRPr="00F83AEA" w:rsidRDefault="00F83AEA" w:rsidP="00F83AEA">
      <w:pPr>
        <w:pStyle w:val="Prrafodelista"/>
        <w:numPr>
          <w:ilvl w:val="0"/>
          <w:numId w:val="1"/>
        </w:numPr>
        <w:rPr>
          <w:rFonts w:cs="Arial"/>
        </w:rPr>
      </w:pPr>
      <w:r w:rsidRPr="00F83AEA">
        <w:rPr>
          <w:rFonts w:cs="Arial"/>
        </w:rPr>
        <w:t>CANIETI</w:t>
      </w:r>
      <w:r w:rsidR="00D305BC">
        <w:rPr>
          <w:rStyle w:val="Refdenotaalpie"/>
          <w:rFonts w:cs="Arial"/>
        </w:rPr>
        <w:footnoteReference w:id="2"/>
      </w:r>
      <w:r w:rsidR="00D305BC">
        <w:rPr>
          <w:rFonts w:cs="Arial"/>
        </w:rPr>
        <w:t>.</w:t>
      </w:r>
    </w:p>
    <w:p w14:paraId="24EC39A6" w14:textId="6F5B3D07" w:rsidR="00F83AEA" w:rsidRPr="00F83AEA" w:rsidRDefault="00F83AEA" w:rsidP="00F83AEA">
      <w:pPr>
        <w:pStyle w:val="Prrafodelista"/>
        <w:numPr>
          <w:ilvl w:val="0"/>
          <w:numId w:val="1"/>
        </w:numPr>
        <w:rPr>
          <w:rFonts w:cs="Arial"/>
        </w:rPr>
      </w:pPr>
      <w:r w:rsidRPr="00F83AEA">
        <w:rPr>
          <w:rFonts w:cs="Arial"/>
        </w:rPr>
        <w:t>Axtel</w:t>
      </w:r>
      <w:r w:rsidR="00D305BC">
        <w:rPr>
          <w:rFonts w:cs="Arial"/>
        </w:rPr>
        <w:t>.</w:t>
      </w:r>
    </w:p>
    <w:p w14:paraId="156C4E54" w14:textId="2C3CD52C" w:rsidR="00F83AEA" w:rsidRPr="00F83AEA" w:rsidRDefault="00F83AEA" w:rsidP="00F83AEA">
      <w:pPr>
        <w:pStyle w:val="Prrafodelista"/>
        <w:numPr>
          <w:ilvl w:val="0"/>
          <w:numId w:val="1"/>
        </w:numPr>
        <w:rPr>
          <w:rFonts w:cs="Arial"/>
        </w:rPr>
      </w:pPr>
      <w:r w:rsidRPr="00F83AEA">
        <w:rPr>
          <w:rFonts w:cs="Arial"/>
        </w:rPr>
        <w:t>AT</w:t>
      </w:r>
      <w:r w:rsidR="00D305BC">
        <w:rPr>
          <w:rFonts w:cs="Arial"/>
        </w:rPr>
        <w:t>&amp;</w:t>
      </w:r>
      <w:r w:rsidRPr="00F83AEA">
        <w:rPr>
          <w:rFonts w:cs="Arial"/>
        </w:rPr>
        <w:t>T</w:t>
      </w:r>
      <w:r w:rsidR="00D305BC">
        <w:rPr>
          <w:rFonts w:cs="Arial"/>
        </w:rPr>
        <w:t>.</w:t>
      </w:r>
    </w:p>
    <w:p w14:paraId="7705A8C1" w14:textId="5AE864C4" w:rsidR="00F83AEA" w:rsidRDefault="00D209E0" w:rsidP="00F83AEA">
      <w:pPr>
        <w:pStyle w:val="Prrafodelista"/>
        <w:numPr>
          <w:ilvl w:val="0"/>
          <w:numId w:val="1"/>
        </w:numPr>
        <w:rPr>
          <w:rFonts w:cs="Arial"/>
        </w:rPr>
      </w:pPr>
      <w:r>
        <w:rPr>
          <w:rFonts w:cs="Arial"/>
        </w:rPr>
        <w:t>Cablevisión</w:t>
      </w:r>
      <w:r w:rsidR="00D305BC">
        <w:rPr>
          <w:rFonts w:cs="Arial"/>
        </w:rPr>
        <w:t>.</w:t>
      </w:r>
    </w:p>
    <w:p w14:paraId="0AF0BD6B" w14:textId="074B08F0" w:rsidR="00D209E0" w:rsidRPr="00F83AEA" w:rsidRDefault="00D209E0" w:rsidP="00F83AEA">
      <w:pPr>
        <w:pStyle w:val="Prrafodelista"/>
        <w:numPr>
          <w:ilvl w:val="0"/>
          <w:numId w:val="1"/>
        </w:numPr>
        <w:rPr>
          <w:rFonts w:cs="Arial"/>
        </w:rPr>
      </w:pPr>
      <w:r>
        <w:rPr>
          <w:rFonts w:cs="Arial"/>
        </w:rPr>
        <w:t>Operbes-Metrored</w:t>
      </w:r>
    </w:p>
    <w:p w14:paraId="30F4813A" w14:textId="7E9AFC34" w:rsidR="00024E07" w:rsidRPr="00D305BC" w:rsidRDefault="00F83AEA" w:rsidP="006C24F7">
      <w:pPr>
        <w:pStyle w:val="Prrafodelista"/>
        <w:numPr>
          <w:ilvl w:val="0"/>
          <w:numId w:val="1"/>
        </w:numPr>
        <w:rPr>
          <w:rFonts w:cs="Arial"/>
        </w:rPr>
      </w:pPr>
      <w:r w:rsidRPr="00F83AEA">
        <w:rPr>
          <w:rFonts w:cs="Arial"/>
        </w:rPr>
        <w:t>Telefónica</w:t>
      </w:r>
      <w:r w:rsidR="00D305BC">
        <w:rPr>
          <w:rFonts w:cs="Arial"/>
        </w:rPr>
        <w:t>.</w:t>
      </w:r>
    </w:p>
    <w:p w14:paraId="2F0E6BA9" w14:textId="706F1816" w:rsidR="002F2557" w:rsidRDefault="002F2557" w:rsidP="00B70176">
      <w:pPr>
        <w:ind w:left="0"/>
      </w:pPr>
    </w:p>
    <w:p w14:paraId="70FC0218" w14:textId="76CD9038" w:rsidR="00B70176" w:rsidRDefault="00B70176" w:rsidP="00B70176">
      <w:pPr>
        <w:ind w:left="0"/>
      </w:pPr>
      <w:r>
        <w:t xml:space="preserve">Las participaciones recibidas se pueden consultar en el sitio de la consulta pública: </w:t>
      </w:r>
      <w:hyperlink r:id="rId11" w:history="1">
        <w:r w:rsidRPr="00D644C5">
          <w:rPr>
            <w:rStyle w:val="Hipervnculo"/>
          </w:rPr>
          <w:t>https://www.ift.org.mx/industria/consultas-publicas/consulta-publica-de-integracion-sobre-las-propuestas-de-actualizacion-de-las-metodologias-terminos-y</w:t>
        </w:r>
      </w:hyperlink>
      <w:r>
        <w:t>.</w:t>
      </w:r>
    </w:p>
    <w:p w14:paraId="2F9AA087" w14:textId="77777777" w:rsidR="00B70176" w:rsidRPr="00DC0FE6" w:rsidRDefault="00B70176" w:rsidP="00E52DC4">
      <w:pPr>
        <w:ind w:left="0"/>
      </w:pPr>
    </w:p>
    <w:p w14:paraId="5744EF3C" w14:textId="77777777" w:rsidR="00FE01B7" w:rsidRDefault="00FE01B7" w:rsidP="0003063E"/>
    <w:p w14:paraId="0A9ABD85" w14:textId="77777777" w:rsidR="00FE01B7" w:rsidRPr="007960E1" w:rsidRDefault="009B58AC" w:rsidP="007960E1">
      <w:pPr>
        <w:ind w:left="0"/>
        <w:rPr>
          <w:b/>
          <w:sz w:val="28"/>
        </w:rPr>
      </w:pPr>
      <w:r w:rsidRPr="007960E1">
        <w:rPr>
          <w:b/>
          <w:sz w:val="28"/>
        </w:rPr>
        <w:t>RESPUESTAS O POSICIONAMIENTO POR PARTE DEL INSTITUTO</w:t>
      </w:r>
    </w:p>
    <w:p w14:paraId="652C1A4D" w14:textId="0900B61B" w:rsidR="005B19BC" w:rsidRPr="009A0355" w:rsidRDefault="00FE01B7" w:rsidP="00E52DC4">
      <w:pPr>
        <w:pStyle w:val="Prrafo"/>
        <w:rPr>
          <w:lang w:val="es-ES"/>
        </w:rPr>
      </w:pPr>
      <w:r>
        <w:t>A continuación, se</w:t>
      </w:r>
      <w:r w:rsidR="005B430A">
        <w:t xml:space="preserve"> sintetizan las manifestaciones realizadas en las participaciones de la consulta, agrupadas de acuerdo con los temas, para posteriormente señalar las respuestas y consideraciones del Instituto. Si bien las manifestaciones no se transcriben de manera textual, esto no implica que no se hayan valorado o considerado en su totalidad.</w:t>
      </w:r>
      <w:r w:rsidR="00B70176">
        <w:t xml:space="preserve"> </w:t>
      </w:r>
    </w:p>
    <w:p w14:paraId="67F9DBF4" w14:textId="6884ACE6" w:rsidR="004C6423" w:rsidRPr="00DC0FE6" w:rsidRDefault="00392D46" w:rsidP="001B67DB">
      <w:pPr>
        <w:pStyle w:val="Ttulo1"/>
        <w:numPr>
          <w:ilvl w:val="0"/>
          <w:numId w:val="0"/>
        </w:numPr>
      </w:pPr>
      <w:r w:rsidRPr="00392D46">
        <w:t>PRUEBA SERVICIOS MÓVILES</w:t>
      </w:r>
    </w:p>
    <w:p w14:paraId="777813A0" w14:textId="6D60A012" w:rsidR="0069622D" w:rsidRPr="00DC0FE6" w:rsidRDefault="001068A2" w:rsidP="001B67DB">
      <w:pPr>
        <w:pStyle w:val="Ttulo1"/>
        <w:ind w:left="426"/>
      </w:pPr>
      <w:r w:rsidRPr="001068A2">
        <w:t>Momento de aplicación</w:t>
      </w:r>
    </w:p>
    <w:p w14:paraId="42B2D605" w14:textId="230F6FA4" w:rsidR="0019727B" w:rsidRDefault="006E7432" w:rsidP="0019727B">
      <w:pPr>
        <w:pStyle w:val="Segmento"/>
      </w:pPr>
      <w:r>
        <w:t xml:space="preserve">Añadir </w:t>
      </w:r>
      <w:r w:rsidR="00D530E7">
        <w:t>prueba</w:t>
      </w:r>
      <w:r>
        <w:t xml:space="preserve"> ex ante</w:t>
      </w:r>
    </w:p>
    <w:p w14:paraId="33533180" w14:textId="3E108645" w:rsidR="007523B9" w:rsidRPr="0046213A" w:rsidRDefault="007523B9" w:rsidP="007523B9">
      <w:pPr>
        <w:pStyle w:val="Bullet"/>
        <w:ind w:hanging="294"/>
        <w:rPr>
          <w:rStyle w:val="ParticipanteCar"/>
          <w:color w:val="auto"/>
        </w:rPr>
      </w:pPr>
      <w:r w:rsidRPr="00413BF6">
        <w:rPr>
          <w:rStyle w:val="ParticipanteCar"/>
          <w:color w:val="auto"/>
        </w:rPr>
        <w:t xml:space="preserve">Incorporar </w:t>
      </w:r>
      <w:r w:rsidR="006029DF">
        <w:rPr>
          <w:rStyle w:val="ParticipanteCar"/>
          <w:color w:val="auto"/>
        </w:rPr>
        <w:t xml:space="preserve">una </w:t>
      </w:r>
      <w:r w:rsidRPr="00413BF6">
        <w:rPr>
          <w:rStyle w:val="ParticipanteCar"/>
          <w:color w:val="auto"/>
        </w:rPr>
        <w:t>prueba ex ante previa al lanzamiento de cada oferta y dados los claros indicios de estrechamiento de márgenes se requeriría una sustancial rebaja de los precios mayoristas regulados.</w:t>
      </w:r>
      <w:r>
        <w:rPr>
          <w:rStyle w:val="ParticipanteCar"/>
          <w:color w:val="auto"/>
        </w:rPr>
        <w:t xml:space="preserve"> </w:t>
      </w:r>
      <w:r>
        <w:rPr>
          <w:rFonts w:eastAsia="Calibri" w:cs="Arial"/>
          <w:color w:val="C45911" w:themeColor="accent2" w:themeShade="BF"/>
          <w:lang w:val="es-ES_tradnl"/>
        </w:rPr>
        <w:t>(CANIETI</w:t>
      </w:r>
      <w:r w:rsidRPr="007F0299">
        <w:rPr>
          <w:rStyle w:val="ParticipanteCar"/>
        </w:rPr>
        <w:t>)</w:t>
      </w:r>
    </w:p>
    <w:p w14:paraId="52B579EB" w14:textId="7FF65CA2" w:rsidR="0046213A" w:rsidRPr="00984ABF" w:rsidRDefault="00742080" w:rsidP="007523B9">
      <w:pPr>
        <w:pStyle w:val="Bullet"/>
        <w:ind w:hanging="294"/>
      </w:pPr>
      <w:r w:rsidRPr="00742080">
        <w:rPr>
          <w:rStyle w:val="ParticipanteCar"/>
          <w:color w:val="auto"/>
        </w:rPr>
        <w:t>Resulta imperativo que se apliquen pruebas de replicabilidad ex ante a las ofertas y promociones comerciales de servicios móviles del AEP</w:t>
      </w:r>
      <w:r w:rsidR="00340429">
        <w:rPr>
          <w:rStyle w:val="ParticipanteCar"/>
          <w:color w:val="auto"/>
        </w:rPr>
        <w:t>T</w:t>
      </w:r>
      <w:r w:rsidR="00211939">
        <w:rPr>
          <w:rStyle w:val="ParticipanteCar"/>
          <w:color w:val="auto"/>
        </w:rPr>
        <w:t>, ya que e</w:t>
      </w:r>
      <w:r w:rsidR="00211939" w:rsidRPr="00211939">
        <w:rPr>
          <w:rStyle w:val="ParticipanteCar"/>
          <w:color w:val="auto"/>
        </w:rPr>
        <w:t xml:space="preserve">l esquema ex post </w:t>
      </w:r>
      <w:r w:rsidR="00211939" w:rsidRPr="00211939">
        <w:rPr>
          <w:rStyle w:val="ParticipanteCar"/>
          <w:color w:val="auto"/>
        </w:rPr>
        <w:lastRenderedPageBreak/>
        <w:t>actual brinda al AEP</w:t>
      </w:r>
      <w:r w:rsidR="00340429">
        <w:rPr>
          <w:rStyle w:val="ParticipanteCar"/>
          <w:color w:val="auto"/>
        </w:rPr>
        <w:t>T</w:t>
      </w:r>
      <w:r w:rsidR="00211939" w:rsidRPr="00211939">
        <w:rPr>
          <w:rStyle w:val="ParticipanteCar"/>
          <w:color w:val="auto"/>
        </w:rPr>
        <w:t xml:space="preserve"> ventanas de tiempo para llevar a cabo comportamientos anticompetitivos</w:t>
      </w:r>
      <w:r w:rsidRPr="00742080">
        <w:rPr>
          <w:rStyle w:val="ParticipanteCar"/>
          <w:color w:val="auto"/>
        </w:rPr>
        <w:t>.</w:t>
      </w:r>
      <w:r>
        <w:rPr>
          <w:rStyle w:val="ParticipanteCar"/>
          <w:color w:val="auto"/>
        </w:rPr>
        <w:t xml:space="preserve"> </w:t>
      </w:r>
      <w:r>
        <w:rPr>
          <w:rFonts w:eastAsia="Calibri" w:cs="Arial"/>
          <w:color w:val="C45911" w:themeColor="accent2" w:themeShade="BF"/>
          <w:lang w:val="es-ES_tradnl"/>
        </w:rPr>
        <w:t>(M</w:t>
      </w:r>
      <w:r w:rsidRPr="006E7432">
        <w:rPr>
          <w:rFonts w:eastAsia="Calibri" w:cs="Arial"/>
          <w:color w:val="C45911" w:themeColor="accent2" w:themeShade="BF"/>
          <w:lang w:val="es-ES_tradnl"/>
        </w:rPr>
        <w:t>egacable</w:t>
      </w:r>
      <w:r>
        <w:rPr>
          <w:rFonts w:eastAsia="Calibri" w:cs="Arial"/>
          <w:color w:val="C45911" w:themeColor="accent2" w:themeShade="BF"/>
          <w:lang w:val="es-ES_tradnl"/>
        </w:rPr>
        <w:t>)</w:t>
      </w:r>
    </w:p>
    <w:p w14:paraId="5D478B7B" w14:textId="4C438469" w:rsidR="00984ABF" w:rsidRDefault="00984ABF" w:rsidP="00984ABF">
      <w:pPr>
        <w:pStyle w:val="Bullet"/>
        <w:rPr>
          <w:rStyle w:val="ParticipanteCar"/>
          <w:color w:val="auto"/>
        </w:rPr>
      </w:pPr>
      <w:r w:rsidRPr="00984ABF">
        <w:rPr>
          <w:rStyle w:val="ParticipanteCar"/>
          <w:color w:val="auto"/>
        </w:rPr>
        <w:t>La existencia de pruebas ex ante en fijo, no corresponde a apreciaciones objetivas que justifiquen un régimen diferente (ex post) para móvil</w:t>
      </w:r>
      <w:r>
        <w:rPr>
          <w:rStyle w:val="ParticipanteCar"/>
          <w:color w:val="auto"/>
        </w:rPr>
        <w:t xml:space="preserve">. </w:t>
      </w:r>
      <w:r w:rsidRPr="00984ABF">
        <w:rPr>
          <w:rStyle w:val="ParticipanteCar"/>
          <w:color w:val="auto"/>
        </w:rPr>
        <w:t>Los competidores deben poder responder a los paquetes comerciales del AEP</w:t>
      </w:r>
      <w:r w:rsidR="00DD11A9">
        <w:rPr>
          <w:rStyle w:val="ParticipanteCar"/>
          <w:color w:val="auto"/>
        </w:rPr>
        <w:t>T</w:t>
      </w:r>
      <w:r w:rsidRPr="00984ABF">
        <w:rPr>
          <w:rStyle w:val="ParticipanteCar"/>
          <w:color w:val="auto"/>
        </w:rPr>
        <w:t xml:space="preserve"> cuando dependen de los servicios mayoristas e infraestructura de </w:t>
      </w:r>
      <w:r w:rsidR="00D209E0">
        <w:rPr>
          <w:rStyle w:val="ParticipanteCar"/>
          <w:color w:val="auto"/>
        </w:rPr>
        <w:t>e</w:t>
      </w:r>
      <w:r w:rsidRPr="00984ABF">
        <w:rPr>
          <w:rStyle w:val="ParticipanteCar"/>
          <w:color w:val="auto"/>
        </w:rPr>
        <w:t>ste para proveer sus propios servicios minoristas.</w:t>
      </w:r>
      <w:r>
        <w:rPr>
          <w:rStyle w:val="ParticipanteCar"/>
          <w:color w:val="auto"/>
        </w:rPr>
        <w:t xml:space="preserve"> </w:t>
      </w:r>
      <w:r w:rsidRPr="00984ABF">
        <w:rPr>
          <w:rStyle w:val="ParticipanteCar"/>
          <w:color w:val="auto"/>
        </w:rPr>
        <w:t>La aplicación ex post de pruebas de replicabilidad es inconsistente con la disposición constitucional de la aplicación de medidas asimétricas para prevenir daño a la competencia y a los usuarios finales.</w:t>
      </w:r>
      <w:r w:rsidR="00010443">
        <w:rPr>
          <w:rStyle w:val="ParticipanteCar"/>
          <w:color w:val="auto"/>
        </w:rPr>
        <w:t xml:space="preserve"> </w:t>
      </w:r>
      <w:r w:rsidR="00010443">
        <w:rPr>
          <w:rFonts w:eastAsia="Calibri" w:cs="Arial"/>
          <w:color w:val="C45911" w:themeColor="accent2" w:themeShade="BF"/>
          <w:lang w:val="es-ES_tradnl"/>
        </w:rPr>
        <w:t>(AT&amp;T)</w:t>
      </w:r>
    </w:p>
    <w:p w14:paraId="414467CD" w14:textId="39A9453E" w:rsidR="00010443" w:rsidRPr="00B60B84" w:rsidRDefault="00946FCE" w:rsidP="00984ABF">
      <w:pPr>
        <w:pStyle w:val="Bullet"/>
      </w:pPr>
      <w:r w:rsidRPr="00946FCE">
        <w:rPr>
          <w:rStyle w:val="ParticipanteCar"/>
          <w:color w:val="auto"/>
        </w:rPr>
        <w:t>La prueba ex post actual tiene limitaciones de diseño para ajustarse a los problemas del mercado móvil e identificar las prácticas del AEP</w:t>
      </w:r>
      <w:r w:rsidR="00DD11A9">
        <w:rPr>
          <w:rStyle w:val="ParticipanteCar"/>
          <w:color w:val="auto"/>
        </w:rPr>
        <w:t>T</w:t>
      </w:r>
      <w:r w:rsidRPr="00946FCE">
        <w:rPr>
          <w:rStyle w:val="ParticipanteCar"/>
          <w:color w:val="auto"/>
        </w:rPr>
        <w:t xml:space="preserve"> que están condicionando la dinámica del mercado.</w:t>
      </w:r>
      <w:r>
        <w:rPr>
          <w:rStyle w:val="ParticipanteCar"/>
          <w:color w:val="auto"/>
        </w:rPr>
        <w:t xml:space="preserve"> </w:t>
      </w:r>
      <w:r w:rsidRPr="00946FCE">
        <w:rPr>
          <w:rStyle w:val="ParticipanteCar"/>
          <w:color w:val="auto"/>
        </w:rPr>
        <w:t>El AEP</w:t>
      </w:r>
      <w:r w:rsidR="00DD11A9">
        <w:rPr>
          <w:rStyle w:val="ParticipanteCar"/>
          <w:color w:val="auto"/>
        </w:rPr>
        <w:t>T</w:t>
      </w:r>
      <w:r w:rsidRPr="00946FCE">
        <w:rPr>
          <w:rStyle w:val="ParticipanteCar"/>
          <w:color w:val="auto"/>
        </w:rPr>
        <w:t xml:space="preserve"> está llevando a cabo prácticas que dañan a la competencia, no pasando la prueba de manera reiterada y ajustando las tarifas a </w:t>
      </w:r>
      <w:r w:rsidRPr="00E52DC4">
        <w:rPr>
          <w:rStyle w:val="ParticipanteCar"/>
          <w:i/>
          <w:iCs/>
          <w:color w:val="auto"/>
        </w:rPr>
        <w:t>posteriori</w:t>
      </w:r>
      <w:r w:rsidRPr="00946FCE">
        <w:rPr>
          <w:rStyle w:val="ParticipanteCar"/>
          <w:color w:val="auto"/>
        </w:rPr>
        <w:t xml:space="preserve"> para cumplir formalmente con su obligación, pero no con el fondo y objetivo de dicha obligación.</w:t>
      </w:r>
      <w:r>
        <w:rPr>
          <w:rStyle w:val="ParticipanteCar"/>
          <w:color w:val="auto"/>
        </w:rPr>
        <w:t xml:space="preserve"> Por lo </w:t>
      </w:r>
      <w:r w:rsidR="00DD11A9">
        <w:rPr>
          <w:rStyle w:val="ParticipanteCar"/>
          <w:color w:val="auto"/>
        </w:rPr>
        <w:t>anterior</w:t>
      </w:r>
      <w:r>
        <w:rPr>
          <w:rStyle w:val="ParticipanteCar"/>
          <w:color w:val="auto"/>
        </w:rPr>
        <w:t>, d</w:t>
      </w:r>
      <w:r w:rsidRPr="00946FCE">
        <w:rPr>
          <w:rStyle w:val="ParticipanteCar"/>
          <w:color w:val="auto"/>
        </w:rPr>
        <w:t xml:space="preserve">esde la </w:t>
      </w:r>
      <w:r w:rsidR="00DD11A9">
        <w:rPr>
          <w:rStyle w:val="ParticipanteCar"/>
          <w:color w:val="auto"/>
        </w:rPr>
        <w:t>S</w:t>
      </w:r>
      <w:r>
        <w:rPr>
          <w:rStyle w:val="ParticipanteCar"/>
          <w:color w:val="auto"/>
        </w:rPr>
        <w:t xml:space="preserve">egunda </w:t>
      </w:r>
      <w:r w:rsidR="00DD11A9">
        <w:rPr>
          <w:rStyle w:val="ParticipanteCar"/>
          <w:color w:val="auto"/>
        </w:rPr>
        <w:t>R</w:t>
      </w:r>
      <w:r>
        <w:rPr>
          <w:rStyle w:val="ParticipanteCar"/>
          <w:color w:val="auto"/>
        </w:rPr>
        <w:t xml:space="preserve">esolución </w:t>
      </w:r>
      <w:r w:rsidR="00DD11A9">
        <w:rPr>
          <w:rStyle w:val="ParticipanteCar"/>
          <w:color w:val="auto"/>
        </w:rPr>
        <w:t>B</w:t>
      </w:r>
      <w:r>
        <w:rPr>
          <w:rStyle w:val="ParticipanteCar"/>
          <w:color w:val="auto"/>
        </w:rPr>
        <w:t>ienal</w:t>
      </w:r>
      <w:r w:rsidRPr="00946FCE">
        <w:rPr>
          <w:rStyle w:val="ParticipanteCar"/>
          <w:color w:val="auto"/>
        </w:rPr>
        <w:t xml:space="preserve"> </w:t>
      </w:r>
      <w:r>
        <w:rPr>
          <w:rStyle w:val="ParticipanteCar"/>
          <w:color w:val="auto"/>
        </w:rPr>
        <w:t xml:space="preserve">se debió </w:t>
      </w:r>
      <w:r w:rsidRPr="00946FCE">
        <w:rPr>
          <w:rStyle w:val="ParticipanteCar"/>
          <w:color w:val="auto"/>
        </w:rPr>
        <w:t>haber reforzad</w:t>
      </w:r>
      <w:r>
        <w:rPr>
          <w:rStyle w:val="ParticipanteCar"/>
          <w:color w:val="auto"/>
        </w:rPr>
        <w:t>o</w:t>
      </w:r>
      <w:r w:rsidRPr="00946FCE">
        <w:rPr>
          <w:rStyle w:val="ParticipanteCar"/>
          <w:color w:val="auto"/>
        </w:rPr>
        <w:t xml:space="preserve"> con una prueba ex ante</w:t>
      </w:r>
      <w:r>
        <w:rPr>
          <w:rStyle w:val="ParticipanteCar"/>
          <w:color w:val="auto"/>
        </w:rPr>
        <w:t xml:space="preserve"> adicional. Asimismo, e</w:t>
      </w:r>
      <w:r w:rsidRPr="00946FCE">
        <w:rPr>
          <w:rStyle w:val="ParticipanteCar"/>
          <w:color w:val="auto"/>
        </w:rPr>
        <w:t xml:space="preserve">n la </w:t>
      </w:r>
      <w:r>
        <w:rPr>
          <w:rStyle w:val="ParticipanteCar"/>
          <w:color w:val="auto"/>
        </w:rPr>
        <w:t>consulta pública sobre la metodología de replicabilidad económica de 201</w:t>
      </w:r>
      <w:r w:rsidR="00287895">
        <w:rPr>
          <w:rStyle w:val="ParticipanteCar"/>
          <w:color w:val="auto"/>
        </w:rPr>
        <w:t>7</w:t>
      </w:r>
      <w:r w:rsidRPr="00946FCE">
        <w:rPr>
          <w:rStyle w:val="ParticipanteCar"/>
          <w:color w:val="auto"/>
        </w:rPr>
        <w:t xml:space="preserve"> </w:t>
      </w:r>
      <w:r>
        <w:rPr>
          <w:rStyle w:val="ParticipanteCar"/>
          <w:color w:val="auto"/>
        </w:rPr>
        <w:t>se señaló lo mismo, dado</w:t>
      </w:r>
      <w:r w:rsidRPr="00946FCE">
        <w:rPr>
          <w:rStyle w:val="ParticipanteCar"/>
          <w:color w:val="auto"/>
        </w:rPr>
        <w:t xml:space="preserve"> que es el tipo de prueba que se implanta en mercados muy altamente concentrados</w:t>
      </w:r>
      <w:r>
        <w:rPr>
          <w:rStyle w:val="ParticipanteCar"/>
          <w:color w:val="auto"/>
        </w:rPr>
        <w:t xml:space="preserve">. </w:t>
      </w:r>
      <w:r>
        <w:rPr>
          <w:rFonts w:eastAsia="Calibri" w:cs="Arial"/>
          <w:color w:val="C45911" w:themeColor="accent2" w:themeShade="BF"/>
          <w:lang w:val="es-ES_tradnl"/>
        </w:rPr>
        <w:t>(Telefónica)</w:t>
      </w:r>
    </w:p>
    <w:p w14:paraId="5F87BA91" w14:textId="05698C44" w:rsidR="00B60B84" w:rsidRPr="007523B9" w:rsidRDefault="00B60B84" w:rsidP="00B60B84">
      <w:pPr>
        <w:pStyle w:val="Bullet"/>
        <w:rPr>
          <w:rStyle w:val="ParticipanteCar"/>
          <w:color w:val="auto"/>
        </w:rPr>
      </w:pPr>
      <w:r>
        <w:rPr>
          <w:rStyle w:val="ParticipanteCar"/>
          <w:color w:val="auto"/>
        </w:rPr>
        <w:t>E</w:t>
      </w:r>
      <w:r w:rsidRPr="00B60B84">
        <w:rPr>
          <w:rStyle w:val="ParticipanteCar"/>
          <w:color w:val="auto"/>
        </w:rPr>
        <w:t>l esperado alto número de potenciales tarifas lanzadas no puede ser una razón para optar por un</w:t>
      </w:r>
      <w:r>
        <w:rPr>
          <w:rStyle w:val="ParticipanteCar"/>
          <w:color w:val="auto"/>
        </w:rPr>
        <w:t>a prueba</w:t>
      </w:r>
      <w:r w:rsidRPr="00B60B84">
        <w:rPr>
          <w:rStyle w:val="ParticipanteCar"/>
          <w:color w:val="auto"/>
        </w:rPr>
        <w:t xml:space="preserve"> de estrechamiento de márgenes ex post. Se ha simplificado la estructura tarifaria de los operadores para el mercado residencial masivo</w:t>
      </w:r>
      <w:r>
        <w:rPr>
          <w:rStyle w:val="ParticipanteCar"/>
          <w:color w:val="auto"/>
        </w:rPr>
        <w:t>; en tanto a que</w:t>
      </w:r>
      <w:r w:rsidRPr="00B60B84">
        <w:rPr>
          <w:rStyle w:val="ParticipanteCar"/>
          <w:color w:val="auto"/>
        </w:rPr>
        <w:t xml:space="preserve"> la dinámica del mercado ha hecho que la competencia se centre en un número menor de parámetros, principalmente la cantidad de datos de acceso a Internet y de acceso a aplicaciones de mensajería y redes sociales</w:t>
      </w:r>
      <w:r>
        <w:rPr>
          <w:rStyle w:val="ParticipanteCar"/>
          <w:color w:val="auto"/>
        </w:rPr>
        <w:t xml:space="preserve">. Por otra parte, una prueba ex post es insuficiente, dado que se trata de un mercado altamente concentrado, poco maduro/competitivo, con la presencia de un operador dominante, en el cual se busca </w:t>
      </w:r>
      <w:r w:rsidRPr="00B60B84">
        <w:rPr>
          <w:rStyle w:val="ParticipanteCar"/>
          <w:color w:val="auto"/>
        </w:rPr>
        <w:t>promover la competencia a través de nuevos entrantes</w:t>
      </w:r>
      <w:r>
        <w:rPr>
          <w:rStyle w:val="ParticipanteCar"/>
          <w:color w:val="auto"/>
        </w:rPr>
        <w:t xml:space="preserve">, pese a la </w:t>
      </w:r>
      <w:r w:rsidRPr="00B60B84">
        <w:rPr>
          <w:rStyle w:val="ParticipanteCar"/>
          <w:color w:val="auto"/>
        </w:rPr>
        <w:t>alta incertidumbre sobre si la entrada de competidores eficientes es posible utilizando los servicios mayoristas de</w:t>
      </w:r>
      <w:r>
        <w:rPr>
          <w:rStyle w:val="ParticipanteCar"/>
          <w:color w:val="auto"/>
        </w:rPr>
        <w:t xml:space="preserve"> dicho</w:t>
      </w:r>
      <w:r w:rsidRPr="00B60B84">
        <w:rPr>
          <w:rStyle w:val="ParticipanteCar"/>
          <w:color w:val="auto"/>
        </w:rPr>
        <w:t xml:space="preserve"> operador dominante. </w:t>
      </w:r>
      <w:r>
        <w:rPr>
          <w:rFonts w:eastAsia="Calibri" w:cs="Arial"/>
          <w:color w:val="C45911" w:themeColor="accent2" w:themeShade="BF"/>
          <w:lang w:val="es-ES_tradnl"/>
        </w:rPr>
        <w:t>(Cablevisión)</w:t>
      </w:r>
    </w:p>
    <w:p w14:paraId="05260ED8" w14:textId="77777777" w:rsidR="0019727B" w:rsidRPr="00B16F80" w:rsidRDefault="0019727B" w:rsidP="00B16F80">
      <w:pPr>
        <w:pStyle w:val="Ttulo3"/>
      </w:pPr>
      <w:r w:rsidRPr="00B16F80">
        <w:t>Consideraciones del Instituto</w:t>
      </w:r>
    </w:p>
    <w:p w14:paraId="1EC160AA" w14:textId="2DD21E70" w:rsidR="00E47050" w:rsidRDefault="00E47050">
      <w:pPr>
        <w:pStyle w:val="Prrafo"/>
        <w:spacing w:after="0"/>
      </w:pPr>
      <w:r w:rsidRPr="00BE5D49">
        <w:t xml:space="preserve">Respecto a la propuesta de aplicar la prueba </w:t>
      </w:r>
      <w:r w:rsidR="00155DCA">
        <w:t xml:space="preserve">para servicios móviles </w:t>
      </w:r>
      <w:r w:rsidRPr="00BE5D49">
        <w:t xml:space="preserve">de manera ex ante, la medida Sexagésima Cuarta del Anexo 1 de la </w:t>
      </w:r>
      <w:r w:rsidR="00883AA8">
        <w:t xml:space="preserve">Primera </w:t>
      </w:r>
      <w:r w:rsidRPr="00BE5D49">
        <w:t>Resolución Bienal establece que el Instituto validará de forma ex</w:t>
      </w:r>
      <w:r w:rsidR="00155DCA">
        <w:t xml:space="preserve"> </w:t>
      </w:r>
      <w:r w:rsidRPr="00BE5D49">
        <w:t xml:space="preserve">post la replicabilidad económica de las tarifas al público, a efecto de garantizar que sean replicables por los OMV. En tal sentido, la determinación de la implementación de la prueba de replicabilidad económica tiene que ser consistente con lo establecido en la resolución que le da origen. </w:t>
      </w:r>
    </w:p>
    <w:p w14:paraId="34F41F0E" w14:textId="77D175F5" w:rsidR="00B70176" w:rsidRPr="00BE5D49" w:rsidRDefault="00B70176" w:rsidP="00E52DC4">
      <w:pPr>
        <w:pStyle w:val="Prrafo"/>
        <w:spacing w:after="0"/>
      </w:pPr>
      <w:r>
        <w:t>Sin menoscab</w:t>
      </w:r>
      <w:r w:rsidR="007D31AD">
        <w:t>o</w:t>
      </w:r>
      <w:r>
        <w:t xml:space="preserve"> de lo</w:t>
      </w:r>
      <w:r w:rsidR="007D31AD">
        <w:t xml:space="preserve"> anterior, todas y cada una de las manifestaciones vertidas sobre la aplicación ex ante se analizaron como parte del proyecto de modificación a la metodología, </w:t>
      </w:r>
      <w:r w:rsidR="007D31AD">
        <w:lastRenderedPageBreak/>
        <w:t xml:space="preserve">términos y condiciones para llevar a cabo la prueba de replicabilidad económica, a fin de que </w:t>
      </w:r>
      <w:r w:rsidR="002F1B6E">
        <w:t xml:space="preserve">esta permita </w:t>
      </w:r>
      <w:r w:rsidR="006F1B4A">
        <w:t>evitar prácticas de estrechamiento de márgenes</w:t>
      </w:r>
      <w:r w:rsidR="005F73F0">
        <w:t>, aún en un contexto de aplicación ex post</w:t>
      </w:r>
      <w:r w:rsidR="006F1B4A">
        <w:t>.</w:t>
      </w:r>
    </w:p>
    <w:p w14:paraId="401982EA" w14:textId="4B3B8DFD" w:rsidR="0019727B" w:rsidRDefault="00C07491" w:rsidP="0019727B">
      <w:pPr>
        <w:pStyle w:val="Segmento"/>
      </w:pPr>
      <w:r w:rsidRPr="00C07491">
        <w:rPr>
          <w:lang w:val="es-MX"/>
        </w:rPr>
        <w:t xml:space="preserve">Añadir </w:t>
      </w:r>
      <w:r w:rsidR="00D530E7">
        <w:rPr>
          <w:lang w:val="es-MX"/>
        </w:rPr>
        <w:t>prueba</w:t>
      </w:r>
      <w:r w:rsidRPr="00C07491">
        <w:rPr>
          <w:lang w:val="es-MX"/>
        </w:rPr>
        <w:t xml:space="preserve"> de margen bruto</w:t>
      </w:r>
    </w:p>
    <w:p w14:paraId="2DC021DA" w14:textId="7CC2E62A" w:rsidR="0019727B" w:rsidRPr="00B33C71" w:rsidRDefault="00873DEA" w:rsidP="00287895">
      <w:pPr>
        <w:pStyle w:val="Prrafo"/>
        <w:rPr>
          <w:rStyle w:val="ParticipanteCar"/>
          <w:color w:val="auto"/>
        </w:rPr>
      </w:pPr>
      <w:r>
        <w:t>I</w:t>
      </w:r>
      <w:r w:rsidRPr="00873DEA">
        <w:t>ncluir un</w:t>
      </w:r>
      <w:r>
        <w:t>a prueba</w:t>
      </w:r>
      <w:r w:rsidRPr="00873DEA">
        <w:t xml:space="preserve"> de comprobación de márgenes brutos como “red de seguridad mínima” al estilo del implementado por el regulador noruego NKOM.</w:t>
      </w:r>
      <w:r>
        <w:t xml:space="preserve"> </w:t>
      </w:r>
      <w:r w:rsidR="00C27688" w:rsidRPr="00C27688">
        <w:t>Esto es</w:t>
      </w:r>
      <w:r w:rsidR="00D530E7">
        <w:t>,</w:t>
      </w:r>
      <w:r w:rsidR="00C27688" w:rsidRPr="00C27688">
        <w:t xml:space="preserve"> un</w:t>
      </w:r>
      <w:r w:rsidR="00D530E7">
        <w:t>a</w:t>
      </w:r>
      <w:r w:rsidR="00C27688" w:rsidRPr="00C27688">
        <w:t xml:space="preserve"> </w:t>
      </w:r>
      <w:r w:rsidR="00D530E7">
        <w:t>prue</w:t>
      </w:r>
      <w:r w:rsidR="006C56F9">
        <w:t>b</w:t>
      </w:r>
      <w:r w:rsidR="00D530E7">
        <w:t>a</w:t>
      </w:r>
      <w:r w:rsidR="00C27688" w:rsidRPr="00C27688">
        <w:t xml:space="preserve"> que encuentre (ingresos minoristas + ingresos terminación - costos terminación y acceso) &gt; 0</w:t>
      </w:r>
      <w:r w:rsidR="0019727B">
        <w:t>.</w:t>
      </w:r>
      <w:r w:rsidR="0019727B" w:rsidRPr="005D13FA">
        <w:rPr>
          <w:rStyle w:val="PrrafoCar"/>
        </w:rPr>
        <w:t xml:space="preserve"> </w:t>
      </w:r>
      <w:r w:rsidR="0019727B" w:rsidRPr="007F0299">
        <w:rPr>
          <w:rStyle w:val="ParticipanteCar"/>
        </w:rPr>
        <w:t>(</w:t>
      </w:r>
      <w:r w:rsidR="00C27688">
        <w:rPr>
          <w:rStyle w:val="ParticipanteCar"/>
        </w:rPr>
        <w:t>Cablevisión</w:t>
      </w:r>
      <w:r w:rsidR="0019727B" w:rsidRPr="007F0299">
        <w:rPr>
          <w:rStyle w:val="ParticipanteCar"/>
        </w:rPr>
        <w:t>)</w:t>
      </w:r>
    </w:p>
    <w:p w14:paraId="3EDF6FAD" w14:textId="77777777" w:rsidR="0019727B" w:rsidRPr="0055532A" w:rsidRDefault="0019727B" w:rsidP="00B16F80">
      <w:pPr>
        <w:pStyle w:val="Ttulo3"/>
      </w:pPr>
      <w:r>
        <w:t>Consideraciones del Instituto</w:t>
      </w:r>
    </w:p>
    <w:p w14:paraId="58AE3FE5" w14:textId="4220A81C" w:rsidR="00EB1FF4" w:rsidRDefault="006F1B4A" w:rsidP="00E52DC4">
      <w:pPr>
        <w:pStyle w:val="Prrafo"/>
      </w:pPr>
      <w:r>
        <w:t>E</w:t>
      </w:r>
      <w:r w:rsidR="00EB1FF4" w:rsidRPr="006B479F">
        <w:t xml:space="preserve">l análisis </w:t>
      </w:r>
      <w:r w:rsidR="00EB1FF4">
        <w:t xml:space="preserve">propuesto </w:t>
      </w:r>
      <w:r>
        <w:t>de “comprobación de márgenes brutos”</w:t>
      </w:r>
      <w:r w:rsidR="00EB1FF4">
        <w:t xml:space="preserve"> resulta en un análisis con menor detalle</w:t>
      </w:r>
      <w:r w:rsidR="00065CC8">
        <w:t xml:space="preserve"> que la prueba de replicabilidad económica</w:t>
      </w:r>
      <w:r>
        <w:t xml:space="preserve"> realizada por el Instituto</w:t>
      </w:r>
      <w:r w:rsidR="00065CC8">
        <w:t xml:space="preserve"> </w:t>
      </w:r>
      <w:r>
        <w:t xml:space="preserve">al no considerar </w:t>
      </w:r>
      <w:r w:rsidR="00065CC8">
        <w:t>los costos aguas abajo incurridos.</w:t>
      </w:r>
      <w:r>
        <w:t xml:space="preserve"> No obstante, se revisaron las referencias proporcionadas y las manifestaciones asociadas como </w:t>
      </w:r>
      <w:r w:rsidR="002F1B6E">
        <w:t>insumo para la elaboración</w:t>
      </w:r>
      <w:r>
        <w:t xml:space="preserve"> del proyecto de modificación a la metodología, términos y condiciones para llevar a cabo la prueba de replicabilidad económica, a fin de que</w:t>
      </w:r>
      <w:r w:rsidR="002F1B6E">
        <w:t xml:space="preserve"> esta permita</w:t>
      </w:r>
      <w:r>
        <w:t xml:space="preserve"> evitar prácticas de estrechamiento de márgenes.</w:t>
      </w:r>
    </w:p>
    <w:p w14:paraId="1CCC24A1" w14:textId="1390F2D5" w:rsidR="0019727B" w:rsidRPr="002F0BF2" w:rsidRDefault="0019727B" w:rsidP="00DD11A9">
      <w:pPr>
        <w:pStyle w:val="Bullet"/>
        <w:numPr>
          <w:ilvl w:val="0"/>
          <w:numId w:val="0"/>
        </w:numPr>
        <w:ind w:left="720"/>
      </w:pPr>
    </w:p>
    <w:p w14:paraId="6CF39ACF" w14:textId="0B109991" w:rsidR="00AD7649" w:rsidRPr="00DC0FE6" w:rsidRDefault="00AE6443" w:rsidP="001B67DB">
      <w:pPr>
        <w:pStyle w:val="Ttulo1"/>
        <w:ind w:left="426"/>
      </w:pPr>
      <w:bookmarkStart w:id="1" w:name="_Toc23506642"/>
      <w:r>
        <w:t>Eficienci</w:t>
      </w:r>
      <w:r w:rsidR="00427B7F" w:rsidRPr="00DC0FE6">
        <w:t>a</w:t>
      </w:r>
      <w:bookmarkEnd w:id="1"/>
    </w:p>
    <w:p w14:paraId="5886E006" w14:textId="3931013D" w:rsidR="00227F01" w:rsidRDefault="00CB58B3" w:rsidP="00D945F7">
      <w:pPr>
        <w:pStyle w:val="Segmento"/>
      </w:pPr>
      <w:r>
        <w:t>Considerar SEO/REO y escala del OMV</w:t>
      </w:r>
    </w:p>
    <w:p w14:paraId="494D2484" w14:textId="57918B7C" w:rsidR="00A066A8" w:rsidRPr="005807B1" w:rsidRDefault="00CE6834" w:rsidP="005F7F07">
      <w:pPr>
        <w:pStyle w:val="Bullet"/>
        <w:ind w:hanging="294"/>
        <w:rPr>
          <w:rStyle w:val="ParticipanteCar"/>
          <w:color w:val="auto"/>
        </w:rPr>
      </w:pPr>
      <w:r w:rsidRPr="00CE6834">
        <w:t>Se sugiere la utilización de un operador razonablemente eficiente (“REO”)</w:t>
      </w:r>
      <w:r>
        <w:t xml:space="preserve"> por la distinta escala de los OMV en comparación con el AEPT</w:t>
      </w:r>
      <w:r w:rsidR="005638BB">
        <w:t>.</w:t>
      </w:r>
      <w:r w:rsidR="008C2B4E" w:rsidRPr="005D13FA">
        <w:rPr>
          <w:rStyle w:val="PrrafoCar"/>
        </w:rPr>
        <w:t xml:space="preserve"> </w:t>
      </w:r>
      <w:r w:rsidR="00C07011" w:rsidRPr="007F0299">
        <w:rPr>
          <w:rStyle w:val="ParticipanteCar"/>
        </w:rPr>
        <w:t>(</w:t>
      </w:r>
      <w:r w:rsidR="00024EAC" w:rsidRPr="00024EAC">
        <w:rPr>
          <w:rFonts w:eastAsia="Calibri" w:cs="Arial"/>
          <w:color w:val="C45911" w:themeColor="accent2" w:themeShade="BF"/>
          <w:lang w:val="es-ES_tradnl"/>
        </w:rPr>
        <w:t>Megacable, Cablevisión, AT&amp;T</w:t>
      </w:r>
      <w:r w:rsidR="00C07011" w:rsidRPr="007F0299">
        <w:rPr>
          <w:rStyle w:val="ParticipanteCar"/>
        </w:rPr>
        <w:t>)</w:t>
      </w:r>
    </w:p>
    <w:p w14:paraId="42DBC4C6" w14:textId="6C699330" w:rsidR="005807B1" w:rsidRPr="00E52DC4" w:rsidRDefault="00CA1631" w:rsidP="005F7F07">
      <w:pPr>
        <w:pStyle w:val="Bullet"/>
        <w:ind w:hanging="294"/>
      </w:pPr>
      <w:r>
        <w:rPr>
          <w:rStyle w:val="ParticipanteCar"/>
          <w:color w:val="auto"/>
        </w:rPr>
        <w:t>A</w:t>
      </w:r>
      <w:r w:rsidR="005807B1" w:rsidRPr="005807B1">
        <w:rPr>
          <w:rStyle w:val="ParticipanteCar"/>
          <w:color w:val="auto"/>
        </w:rPr>
        <w:t>doptar un enfoque REO</w:t>
      </w:r>
      <w:r w:rsidR="005807B1">
        <w:rPr>
          <w:rStyle w:val="ParticipanteCar"/>
          <w:color w:val="auto"/>
        </w:rPr>
        <w:t>, ya que n</w:t>
      </w:r>
      <w:r w:rsidR="005807B1" w:rsidRPr="005807B1">
        <w:rPr>
          <w:rStyle w:val="ParticipanteCar"/>
          <w:color w:val="auto"/>
        </w:rPr>
        <w:t xml:space="preserve">ingún OMV cuenta con el volumen de tráfico o número de suscriptores para que los diversos costos minoristas unitarios de adquisición y servicio a usuarios sean similares a los del </w:t>
      </w:r>
      <w:r w:rsidR="006029DF">
        <w:rPr>
          <w:rStyle w:val="ParticipanteCar"/>
          <w:color w:val="auto"/>
        </w:rPr>
        <w:t>AEPT</w:t>
      </w:r>
      <w:r>
        <w:rPr>
          <w:rStyle w:val="ParticipanteCar"/>
          <w:color w:val="auto"/>
        </w:rPr>
        <w:t xml:space="preserve">, así como </w:t>
      </w:r>
      <w:r w:rsidRPr="00CA1631">
        <w:rPr>
          <w:rStyle w:val="ParticipanteCar"/>
          <w:color w:val="auto"/>
        </w:rPr>
        <w:t>diversas limitantes y desventajas</w:t>
      </w:r>
      <w:r>
        <w:rPr>
          <w:rStyle w:val="ParticipanteCar"/>
          <w:color w:val="auto"/>
        </w:rPr>
        <w:t xml:space="preserve"> que enfrentan los OMV.</w:t>
      </w:r>
      <w:r w:rsidR="005807B1">
        <w:rPr>
          <w:rStyle w:val="ParticipanteCar"/>
          <w:color w:val="auto"/>
        </w:rPr>
        <w:t xml:space="preserve"> </w:t>
      </w:r>
      <w:r w:rsidR="005807B1" w:rsidRPr="007F0299">
        <w:rPr>
          <w:rStyle w:val="ParticipanteCar"/>
        </w:rPr>
        <w:t>(</w:t>
      </w:r>
      <w:r w:rsidR="005807B1" w:rsidRPr="00024EAC">
        <w:rPr>
          <w:rFonts w:eastAsia="Calibri" w:cs="Arial"/>
          <w:color w:val="C45911" w:themeColor="accent2" w:themeShade="BF"/>
          <w:lang w:val="es-ES_tradnl"/>
        </w:rPr>
        <w:t>Megacable</w:t>
      </w:r>
      <w:r w:rsidR="005807B1">
        <w:rPr>
          <w:rFonts w:eastAsia="Calibri" w:cs="Arial"/>
          <w:color w:val="C45911" w:themeColor="accent2" w:themeShade="BF"/>
          <w:lang w:val="es-ES_tradnl"/>
        </w:rPr>
        <w:t>)</w:t>
      </w:r>
    </w:p>
    <w:p w14:paraId="038A386C" w14:textId="2EC2169A" w:rsidR="00CB58B3" w:rsidRPr="001E1AE5" w:rsidRDefault="00CB58B3" w:rsidP="00CB58B3">
      <w:pPr>
        <w:pStyle w:val="Bullet"/>
        <w:ind w:hanging="294"/>
        <w:rPr>
          <w:rStyle w:val="ParticipanteCar"/>
          <w:color w:val="auto"/>
        </w:rPr>
      </w:pPr>
      <w:r>
        <w:t>Mantener el uso de la e</w:t>
      </w:r>
      <w:r w:rsidRPr="00E518E3">
        <w:t>ficiencia SEO, tal y como ya está establecida en la metodologí</w:t>
      </w:r>
      <w:r>
        <w:t>a, considerando que</w:t>
      </w:r>
      <w:r w:rsidRPr="00E518E3">
        <w:t xml:space="preserve"> el tamaño del OMV sea de pequeña escala</w:t>
      </w:r>
      <w:r>
        <w:t>, p</w:t>
      </w:r>
      <w:r w:rsidRPr="00E518E3">
        <w:t xml:space="preserve">ara intentar mitigar el problema a la entrada de nuevos OMV a la red del </w:t>
      </w:r>
      <w:r w:rsidR="006029DF">
        <w:t>AEPT</w:t>
      </w:r>
      <w:r w:rsidRPr="00E518E3">
        <w:t xml:space="preserve"> y asegurar la </w:t>
      </w:r>
      <w:r>
        <w:t>replicabilidad económica</w:t>
      </w:r>
      <w:r w:rsidRPr="00E518E3">
        <w:t xml:space="preserve"> para estos en la fase más complicada de entrada y crecimiento inicial.</w:t>
      </w:r>
      <w:r w:rsidRPr="005D13FA">
        <w:rPr>
          <w:rStyle w:val="PrrafoCar"/>
        </w:rPr>
        <w:t xml:space="preserve"> </w:t>
      </w:r>
      <w:r w:rsidRPr="007F0299">
        <w:rPr>
          <w:rStyle w:val="ParticipanteCar"/>
        </w:rPr>
        <w:t>(</w:t>
      </w:r>
      <w:r w:rsidRPr="00E32CED">
        <w:rPr>
          <w:rFonts w:eastAsia="Calibri" w:cs="Arial"/>
          <w:color w:val="C45911" w:themeColor="accent2" w:themeShade="BF"/>
          <w:lang w:val="es-ES_tradnl"/>
        </w:rPr>
        <w:t>Telefónica</w:t>
      </w:r>
      <w:r w:rsidRPr="007F0299">
        <w:rPr>
          <w:rStyle w:val="ParticipanteCar"/>
        </w:rPr>
        <w:t>)</w:t>
      </w:r>
    </w:p>
    <w:p w14:paraId="0191C1D9" w14:textId="77777777" w:rsidR="00CB58B3" w:rsidRPr="001E1AE5" w:rsidRDefault="00CB58B3" w:rsidP="00E52DC4">
      <w:pPr>
        <w:pStyle w:val="Prrafo"/>
        <w:rPr>
          <w:rStyle w:val="ParticipanteCar"/>
          <w:color w:val="auto"/>
        </w:rPr>
      </w:pPr>
    </w:p>
    <w:p w14:paraId="5768EC05" w14:textId="77777777" w:rsidR="00AE6443" w:rsidRPr="0055532A" w:rsidRDefault="00AE6443" w:rsidP="00FC4C35">
      <w:pPr>
        <w:pStyle w:val="Ttulo3"/>
      </w:pPr>
      <w:r>
        <w:t>Consideraciones del Instituto</w:t>
      </w:r>
    </w:p>
    <w:p w14:paraId="11A2E12D" w14:textId="614E9898" w:rsidR="006F1B4A" w:rsidRDefault="005E1BA0" w:rsidP="00E52DC4">
      <w:pPr>
        <w:pStyle w:val="Prrafo"/>
      </w:pPr>
      <w:r>
        <w:t xml:space="preserve">Existe una confusión respecto a la utilización del enfoque de eficiencia y su relación con el tamaño y tráfico del OMV a considerar: primero, el tráfico cursado por un OMV tiene impacto </w:t>
      </w:r>
      <w:r>
        <w:lastRenderedPageBreak/>
        <w:t>en los precios mayoristas que pagaría al AEPT ante un esquema tarifario con descuentos en función del volumen, es decir, un OMV con un menor tráfico cursado pagaría precios mayoristas más altos que aquel OMV que cursa mayor tráfico</w:t>
      </w:r>
      <w:r w:rsidR="000D0277">
        <w:t xml:space="preserve"> (dado el esquema tarifario observado del AEPT)</w:t>
      </w:r>
      <w:r>
        <w:t>; segundo, el enfoque de eficiencia se encuentra asociado a los costos aguas abajo a considerar (en función de los requerimientos o entregas periódicas) y si estos tendrán un ajuste de eficiencia.</w:t>
      </w:r>
      <w:r w:rsidR="00CB58B3">
        <w:t xml:space="preserve"> En otras palabras, se puede seguir manteniendo un enfoque de un operador con bajo tráfico para los precios mayoristas con independencia del enfoque de eficiencia en la parte de los costos aguas abajo.</w:t>
      </w:r>
    </w:p>
    <w:p w14:paraId="10D9AC4D" w14:textId="02609197" w:rsidR="00CB58B3" w:rsidRPr="00BE5D49" w:rsidRDefault="00CB58B3" w:rsidP="00E52DC4">
      <w:pPr>
        <w:pStyle w:val="Prrafo"/>
      </w:pPr>
      <w:r>
        <w:t xml:space="preserve">Sin menoscabo de lo anterior, todas y cada una de las manifestaciones vertidas, sobre la aplicación el enfoque de eficiencia, se analizaron como parte del proyecto de modificación a la metodología, términos y condiciones para llevar a cabo la prueba de replicabilidad económica, a fin de que </w:t>
      </w:r>
      <w:r w:rsidR="002F1B6E">
        <w:t xml:space="preserve">esta permita </w:t>
      </w:r>
      <w:r>
        <w:t>evitar prácticas de estrechamiento de márgenes.</w:t>
      </w:r>
    </w:p>
    <w:p w14:paraId="4E0FF0E3" w14:textId="787084F9" w:rsidR="00BE1A95" w:rsidRPr="00DC0FE6" w:rsidRDefault="00593290" w:rsidP="001B67DB">
      <w:pPr>
        <w:pStyle w:val="Ttulo1"/>
        <w:ind w:left="426"/>
      </w:pPr>
      <w:bookmarkStart w:id="2" w:name="_Toc23506646"/>
      <w:r>
        <w:t>Estándar de costos</w:t>
      </w:r>
      <w:bookmarkEnd w:id="2"/>
    </w:p>
    <w:p w14:paraId="6C12D454" w14:textId="1855AEC8" w:rsidR="00D776C7" w:rsidRDefault="004E04D6" w:rsidP="00D776C7">
      <w:pPr>
        <w:pStyle w:val="Segmento"/>
      </w:pPr>
      <w:r>
        <w:t>Utilizar FAC</w:t>
      </w:r>
    </w:p>
    <w:p w14:paraId="2968957A" w14:textId="4D49F29D" w:rsidR="00D776C7" w:rsidRPr="001E1AE5" w:rsidRDefault="00692F08" w:rsidP="00E52DC4">
      <w:pPr>
        <w:pStyle w:val="Prrafo"/>
        <w:rPr>
          <w:rStyle w:val="ParticipanteCar"/>
          <w:rFonts w:eastAsiaTheme="majorEastAsia" w:cs="Arial"/>
          <w:b/>
          <w:color w:val="auto"/>
          <w:sz w:val="24"/>
          <w:szCs w:val="32"/>
          <w:lang w:val="es-EC"/>
        </w:rPr>
      </w:pPr>
      <w:r w:rsidRPr="00692F08">
        <w:t>Se sugiere utilizar enfoque FAC en lugar de LRIC+</w:t>
      </w:r>
      <w:r>
        <w:t>, dado que otorga mayor transparencia a la prueba</w:t>
      </w:r>
      <w:r w:rsidR="00454C8A">
        <w:t xml:space="preserve"> y</w:t>
      </w:r>
      <w:r w:rsidRPr="00692F08">
        <w:t xml:space="preserve"> permite la recuperación de todos los costos en los que incurre un operador. </w:t>
      </w:r>
      <w:r w:rsidR="00D776C7" w:rsidRPr="005D13FA">
        <w:rPr>
          <w:rStyle w:val="PrrafoCar"/>
        </w:rPr>
        <w:t xml:space="preserve"> </w:t>
      </w:r>
      <w:r w:rsidR="00D776C7" w:rsidRPr="007F0299">
        <w:rPr>
          <w:rStyle w:val="ParticipanteCar"/>
        </w:rPr>
        <w:t>(</w:t>
      </w:r>
      <w:r w:rsidR="00C0215E" w:rsidRPr="00C0215E">
        <w:rPr>
          <w:rFonts w:eastAsia="Calibri" w:cs="Arial"/>
          <w:color w:val="C45911" w:themeColor="accent2" w:themeShade="BF"/>
          <w:lang w:val="es-ES_tradnl"/>
        </w:rPr>
        <w:t>Megacable, Telefónica, AT&amp;T</w:t>
      </w:r>
      <w:r w:rsidR="00D776C7" w:rsidRPr="007F0299">
        <w:rPr>
          <w:rStyle w:val="ParticipanteCar"/>
        </w:rPr>
        <w:t>)</w:t>
      </w:r>
    </w:p>
    <w:p w14:paraId="2C3B1FA5" w14:textId="77777777" w:rsidR="00D776C7" w:rsidRPr="0055532A" w:rsidRDefault="00D776C7" w:rsidP="00FC4C35">
      <w:pPr>
        <w:pStyle w:val="Ttulo3"/>
      </w:pPr>
      <w:r>
        <w:t>Consideraciones del Instituto</w:t>
      </w:r>
    </w:p>
    <w:p w14:paraId="1599CFE6" w14:textId="4AE7498C" w:rsidR="00454C8A" w:rsidRDefault="00842966" w:rsidP="0003066C">
      <w:pPr>
        <w:pStyle w:val="Prrafo"/>
      </w:pPr>
      <w:r>
        <w:t xml:space="preserve">Se precisa que </w:t>
      </w:r>
      <w:r w:rsidR="00454C8A">
        <w:t xml:space="preserve">la metodología </w:t>
      </w:r>
      <w:r w:rsidR="008A3B81">
        <w:t xml:space="preserve">del Acuerdo P/IFT/120917/548 </w:t>
      </w:r>
      <w:r w:rsidR="00454C8A">
        <w:t xml:space="preserve">y la propuesta que se sometió a consulta pública consideran el uso del </w:t>
      </w:r>
      <w:r w:rsidR="00454C8A" w:rsidRPr="004C6CF9">
        <w:t xml:space="preserve">estándar FAC </w:t>
      </w:r>
      <w:r w:rsidR="00454C8A">
        <w:t>al no estar disponible el enfoque</w:t>
      </w:r>
      <w:r w:rsidR="00454C8A" w:rsidRPr="004C6CF9">
        <w:t xml:space="preserve"> LRIC+</w:t>
      </w:r>
      <w:r w:rsidR="00454C8A">
        <w:t>. 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7DA62192" w14:textId="7F7AC81D" w:rsidR="00B31743" w:rsidRPr="00DC0FE6" w:rsidRDefault="001E292A" w:rsidP="001B67DB">
      <w:pPr>
        <w:pStyle w:val="Ttulo1"/>
        <w:ind w:left="426"/>
        <w:rPr>
          <w:rStyle w:val="Ttulo1Car"/>
        </w:rPr>
      </w:pPr>
      <w:bookmarkStart w:id="3" w:name="_Toc23506649"/>
      <w:r>
        <w:t>Nivel de agregación</w:t>
      </w:r>
      <w:bookmarkEnd w:id="3"/>
    </w:p>
    <w:p w14:paraId="33007EE6" w14:textId="70595DBE" w:rsidR="001B67DB" w:rsidRDefault="009314D1" w:rsidP="001B67DB">
      <w:pPr>
        <w:pStyle w:val="Segmento"/>
      </w:pPr>
      <w:r w:rsidRPr="009314D1">
        <w:rPr>
          <w:lang w:val="es-MX"/>
        </w:rPr>
        <w:t>Oferta por oferta en vez de agregado por segmento</w:t>
      </w:r>
    </w:p>
    <w:p w14:paraId="3511081C" w14:textId="0C37C3B1" w:rsidR="001B67DB" w:rsidRPr="000842AF" w:rsidRDefault="00931426" w:rsidP="005F7F07">
      <w:pPr>
        <w:pStyle w:val="Bullet"/>
        <w:ind w:hanging="294"/>
        <w:rPr>
          <w:rStyle w:val="ParticipanteCar"/>
          <w:color w:val="auto"/>
        </w:rPr>
      </w:pPr>
      <w:r>
        <w:t xml:space="preserve">Se sugiere la aplicación de una prueba más desagregada </w:t>
      </w:r>
      <w:r w:rsidR="006948BD">
        <w:t xml:space="preserve">que </w:t>
      </w:r>
      <w:r w:rsidR="00F60CA1">
        <w:t>aplique</w:t>
      </w:r>
      <w:r>
        <w:t xml:space="preserve"> una evaluación oferta por oferta de las ofertas del AEPT.</w:t>
      </w:r>
      <w:r w:rsidR="001B67DB" w:rsidRPr="005D13FA">
        <w:rPr>
          <w:rStyle w:val="PrrafoCar"/>
        </w:rPr>
        <w:t xml:space="preserve"> </w:t>
      </w:r>
      <w:r w:rsidR="001B67DB" w:rsidRPr="007F0299">
        <w:rPr>
          <w:rStyle w:val="ParticipanteCar"/>
        </w:rPr>
        <w:t>(</w:t>
      </w:r>
      <w:r w:rsidR="009314D1" w:rsidRPr="009314D1">
        <w:rPr>
          <w:rFonts w:eastAsia="Calibri" w:cs="Arial"/>
          <w:color w:val="C45911" w:themeColor="accent2" w:themeShade="BF"/>
          <w:lang w:val="es-ES_tradnl"/>
        </w:rPr>
        <w:t>Cablevisión, Telefónica</w:t>
      </w:r>
      <w:r w:rsidR="00413BF6">
        <w:rPr>
          <w:rFonts w:eastAsia="Calibri" w:cs="Arial"/>
          <w:color w:val="C45911" w:themeColor="accent2" w:themeShade="BF"/>
          <w:lang w:val="es-ES_tradnl"/>
        </w:rPr>
        <w:t>, CANIETI</w:t>
      </w:r>
      <w:r w:rsidR="001B67DB" w:rsidRPr="007F0299">
        <w:rPr>
          <w:rStyle w:val="ParticipanteCar"/>
        </w:rPr>
        <w:t>)</w:t>
      </w:r>
    </w:p>
    <w:p w14:paraId="16818E86" w14:textId="7E62E9A6" w:rsidR="000842AF" w:rsidRPr="00E52DC4" w:rsidRDefault="000842AF" w:rsidP="005F7F07">
      <w:pPr>
        <w:pStyle w:val="Bullet"/>
        <w:ind w:hanging="294"/>
        <w:rPr>
          <w:rStyle w:val="ParticipanteCar"/>
          <w:color w:val="auto"/>
        </w:rPr>
      </w:pPr>
      <w:r w:rsidRPr="000842AF">
        <w:rPr>
          <w:rStyle w:val="ParticipanteCar"/>
          <w:color w:val="auto"/>
        </w:rPr>
        <w:t>El análisis debería realizarse oferta por oferta, desagregando el contenido de las ofertas “paquetizadas” en sus distintos componentes.</w:t>
      </w:r>
      <w:r>
        <w:rPr>
          <w:rStyle w:val="ParticipanteCar"/>
          <w:color w:val="auto"/>
        </w:rPr>
        <w:t xml:space="preserve"> </w:t>
      </w:r>
      <w:r>
        <w:rPr>
          <w:rFonts w:eastAsia="Calibri" w:cs="Arial"/>
          <w:color w:val="C45911" w:themeColor="accent2" w:themeShade="BF"/>
          <w:lang w:val="es-ES_tradnl"/>
        </w:rPr>
        <w:t>(CANIETI</w:t>
      </w:r>
      <w:r w:rsidRPr="007F0299">
        <w:rPr>
          <w:rStyle w:val="ParticipanteCar"/>
        </w:rPr>
        <w:t>)</w:t>
      </w:r>
    </w:p>
    <w:p w14:paraId="21BFFCD1" w14:textId="374C6C5F" w:rsidR="00091DE5" w:rsidRPr="00E52DC4" w:rsidRDefault="00091DE5" w:rsidP="00091DE5">
      <w:pPr>
        <w:pStyle w:val="Bullet"/>
        <w:rPr>
          <w:rStyle w:val="ParticipanteCar"/>
          <w:color w:val="auto"/>
        </w:rPr>
      </w:pPr>
      <w:r>
        <w:rPr>
          <w:lang w:eastAsia="es-MX"/>
        </w:rPr>
        <w:t>I</w:t>
      </w:r>
      <w:r w:rsidRPr="001225D9">
        <w:rPr>
          <w:lang w:eastAsia="es-MX"/>
        </w:rPr>
        <w:t>ncluir un mayor número de ofertas, no solo las insignia</w:t>
      </w:r>
      <w:r>
        <w:rPr>
          <w:lang w:eastAsia="es-MX"/>
        </w:rPr>
        <w:t>, dado que la agregación de las ofertas del AEPT para la evaluación de replicabilidad puede ser dañino a la competencia en el sector</w:t>
      </w:r>
      <w:r w:rsidRPr="001225D9">
        <w:rPr>
          <w:lang w:eastAsia="es-MX"/>
        </w:rPr>
        <w:t xml:space="preserve">. </w:t>
      </w:r>
      <w:r w:rsidRPr="007F0299">
        <w:rPr>
          <w:rStyle w:val="ParticipanteCar"/>
        </w:rPr>
        <w:t>(</w:t>
      </w:r>
      <w:r w:rsidRPr="006A69DC">
        <w:rPr>
          <w:rFonts w:eastAsia="Calibri" w:cs="Arial"/>
          <w:color w:val="C45911" w:themeColor="accent2" w:themeShade="BF"/>
          <w:lang w:val="es-ES_tradnl"/>
        </w:rPr>
        <w:t>Megacable, AT&amp;T</w:t>
      </w:r>
      <w:r w:rsidRPr="007F0299">
        <w:rPr>
          <w:rStyle w:val="ParticipanteCar"/>
        </w:rPr>
        <w:t>)</w:t>
      </w:r>
    </w:p>
    <w:p w14:paraId="332F05FB" w14:textId="04271C4E" w:rsidR="00091DE5" w:rsidRPr="001E1AE5" w:rsidRDefault="00091DE5" w:rsidP="00091DE5">
      <w:pPr>
        <w:pStyle w:val="Bullet"/>
        <w:ind w:hanging="294"/>
        <w:rPr>
          <w:rStyle w:val="ParticipanteCar"/>
          <w:color w:val="auto"/>
        </w:rPr>
      </w:pPr>
      <w:r>
        <w:lastRenderedPageBreak/>
        <w:t>Incluir una prueba para los elementos que el AEPT oferta de manera empaquetada, para</w:t>
      </w:r>
      <w:r w:rsidRPr="00E60FED">
        <w:t xml:space="preserve"> asegurar que las ofertas, paquetes y promociones que se ofrecen puedan ser replicados por los comercializadores y operadores alternativos.</w:t>
      </w:r>
      <w:r w:rsidRPr="005D13FA">
        <w:rPr>
          <w:rStyle w:val="PrrafoCar"/>
        </w:rPr>
        <w:t xml:space="preserve"> </w:t>
      </w:r>
      <w:r w:rsidRPr="007F0299">
        <w:rPr>
          <w:rStyle w:val="ParticipanteCar"/>
        </w:rPr>
        <w:t>(</w:t>
      </w:r>
      <w:r w:rsidRPr="007262FE">
        <w:rPr>
          <w:rFonts w:eastAsia="Calibri" w:cs="Arial"/>
          <w:color w:val="C45911" w:themeColor="accent2" w:themeShade="BF"/>
          <w:lang w:val="es-ES_tradnl"/>
        </w:rPr>
        <w:t>Megacable, Cablevisión</w:t>
      </w:r>
      <w:r w:rsidRPr="007F0299">
        <w:rPr>
          <w:rStyle w:val="ParticipanteCar"/>
        </w:rPr>
        <w:t>)</w:t>
      </w:r>
    </w:p>
    <w:p w14:paraId="0A956182" w14:textId="77777777" w:rsidR="00091DE5" w:rsidRPr="00091DE5" w:rsidRDefault="00091DE5" w:rsidP="00091DE5">
      <w:pPr>
        <w:pStyle w:val="Bullet"/>
        <w:ind w:hanging="294"/>
        <w:rPr>
          <w:rStyle w:val="ParticipanteCar"/>
          <w:color w:val="auto"/>
        </w:rPr>
      </w:pPr>
      <w:r w:rsidRPr="007262FE">
        <w:t>Incluir paquetes más amplios que los considerados en la prueba (esto es, paquetes con servicios no regulados, móvil-fijo, etc.)</w:t>
      </w:r>
      <w:r>
        <w:t>.</w:t>
      </w:r>
      <w:r w:rsidRPr="005D13FA">
        <w:rPr>
          <w:rStyle w:val="PrrafoCar"/>
        </w:rPr>
        <w:t xml:space="preserve"> </w:t>
      </w:r>
      <w:r w:rsidRPr="007F0299">
        <w:rPr>
          <w:rStyle w:val="ParticipanteCar"/>
        </w:rPr>
        <w:t>(</w:t>
      </w:r>
      <w:r w:rsidRPr="00091DE5">
        <w:rPr>
          <w:rFonts w:eastAsia="Calibri" w:cs="Arial"/>
          <w:color w:val="C45911" w:themeColor="accent2" w:themeShade="BF"/>
          <w:lang w:val="es-ES_tradnl"/>
        </w:rPr>
        <w:t>AT&amp;T, Telefónica</w:t>
      </w:r>
      <w:r w:rsidRPr="007F0299">
        <w:rPr>
          <w:rStyle w:val="ParticipanteCar"/>
        </w:rPr>
        <w:t>)</w:t>
      </w:r>
    </w:p>
    <w:p w14:paraId="6970E9BE" w14:textId="3A2593F3" w:rsidR="001B67DB" w:rsidRPr="0055532A" w:rsidRDefault="001B67DB" w:rsidP="00FC4C35">
      <w:pPr>
        <w:pStyle w:val="Ttulo3"/>
      </w:pPr>
      <w:r>
        <w:t>Consideraciones del Instituto</w:t>
      </w:r>
    </w:p>
    <w:p w14:paraId="41D44999" w14:textId="060F4435" w:rsidR="006B2542" w:rsidRDefault="006B2542" w:rsidP="00E52DC4">
      <w:pPr>
        <w:pStyle w:val="Prrafo"/>
        <w:rPr>
          <w:rStyle w:val="ParticipanteCar"/>
          <w:color w:val="auto"/>
        </w:rPr>
      </w:pPr>
      <w:r>
        <w:t>Se precisa que la metodología del Acuerdo P/IFT/120917/548 y la propuesta que se sometió a consulta pública consideran la realización de pruebas que consideren las ofertas de manera empaquetada</w:t>
      </w:r>
      <w:r w:rsidR="00154FB2">
        <w:t xml:space="preserve"> en los términos que el AEPT las ofrece al usuario final, es decir,</w:t>
      </w:r>
      <w:r>
        <w:t xml:space="preserve"> con promociones, beneficios, descuentos, equipos terminales, OTT, en</w:t>
      </w:r>
      <w:r w:rsidR="00154FB2">
        <w:t>tre otros.</w:t>
      </w:r>
    </w:p>
    <w:p w14:paraId="2BC41A7B" w14:textId="3EED2E82" w:rsidR="001B67DB" w:rsidRPr="00D47D88" w:rsidRDefault="00154FB2" w:rsidP="00E52DC4">
      <w:pPr>
        <w:pStyle w:val="Prrafo"/>
        <w:rPr>
          <w:rStyle w:val="ParticipanteCar"/>
          <w:color w:val="auto"/>
        </w:rPr>
      </w:pPr>
      <w:r>
        <w:rPr>
          <w:rStyle w:val="ParticipanteCar"/>
          <w:color w:val="auto"/>
        </w:rPr>
        <w:t>No obstante, l</w:t>
      </w:r>
      <w:r w:rsidR="00D47D88" w:rsidRPr="00D47D88">
        <w:t>as manifestaciones se analizaron como parte del proyecto de modificación a la metodología, términos y condiciones para llevar a cabo la prueba de replicabilidad económica, a fin de que esta permita evitar prácticas de estrechamiento de márgenes.</w:t>
      </w:r>
    </w:p>
    <w:p w14:paraId="7EC9A6DA" w14:textId="3A12BC09" w:rsidR="00AD7BCB" w:rsidRPr="00DC0FE6" w:rsidRDefault="001E292A" w:rsidP="001B67DB">
      <w:pPr>
        <w:pStyle w:val="Ttulo1"/>
        <w:ind w:left="426"/>
      </w:pPr>
      <w:bookmarkStart w:id="4" w:name="_Toc23506654"/>
      <w:r w:rsidRPr="001E292A">
        <w:t>Tratamiento del segmento empresarial</w:t>
      </w:r>
      <w:bookmarkEnd w:id="4"/>
    </w:p>
    <w:p w14:paraId="1529894D" w14:textId="6AEF9205" w:rsidR="001B67DB" w:rsidRDefault="00D530E7" w:rsidP="001B67DB">
      <w:pPr>
        <w:pStyle w:val="Segmento"/>
      </w:pPr>
      <w:r>
        <w:rPr>
          <w:lang w:val="es-MX"/>
        </w:rPr>
        <w:t>Prueba</w:t>
      </w:r>
      <w:r w:rsidR="00C91DCE" w:rsidRPr="00C91DCE">
        <w:rPr>
          <w:lang w:val="es-MX"/>
        </w:rPr>
        <w:t xml:space="preserve"> adicional y separado para empresas </w:t>
      </w:r>
      <w:r w:rsidR="007523B9">
        <w:rPr>
          <w:lang w:val="es-MX"/>
        </w:rPr>
        <w:t xml:space="preserve">y gubernamentales </w:t>
      </w:r>
      <w:r w:rsidR="00C91DCE" w:rsidRPr="00C91DCE">
        <w:rPr>
          <w:lang w:val="es-MX"/>
        </w:rPr>
        <w:t>que analice un mayor número de ofertas</w:t>
      </w:r>
    </w:p>
    <w:p w14:paraId="7585188D" w14:textId="0AFFFDFB" w:rsidR="001B67DB" w:rsidRPr="007523B9" w:rsidRDefault="00663FBB" w:rsidP="00165014">
      <w:pPr>
        <w:pStyle w:val="Bullet"/>
        <w:ind w:hanging="294"/>
        <w:rPr>
          <w:rStyle w:val="ParticipanteCar"/>
          <w:color w:val="auto"/>
        </w:rPr>
      </w:pPr>
      <w:r>
        <w:t>Realizar pruebas de replicabilidad económica a todas las ofertas empresariales, estandarizadas y</w:t>
      </w:r>
      <w:r w:rsidR="00654723">
        <w:t xml:space="preserve"> no estandarizadas, así como gubernamentales</w:t>
      </w:r>
      <w:r w:rsidR="000C461A">
        <w:t>.</w:t>
      </w:r>
      <w:r w:rsidR="001B67DB" w:rsidRPr="005D13FA">
        <w:rPr>
          <w:rStyle w:val="PrrafoCar"/>
        </w:rPr>
        <w:t xml:space="preserve"> </w:t>
      </w:r>
      <w:r w:rsidR="001B67DB" w:rsidRPr="007F0299">
        <w:rPr>
          <w:rStyle w:val="ParticipanteCar"/>
        </w:rPr>
        <w:t>(</w:t>
      </w:r>
      <w:r w:rsidR="00C91DCE" w:rsidRPr="00C91DCE">
        <w:rPr>
          <w:rFonts w:eastAsia="Calibri" w:cs="Arial"/>
          <w:color w:val="C45911" w:themeColor="accent2" w:themeShade="BF"/>
          <w:lang w:val="es-ES_tradnl"/>
        </w:rPr>
        <w:t>Megacable, Cablevisión, AT&amp;T</w:t>
      </w:r>
      <w:r w:rsidR="00413BF6">
        <w:rPr>
          <w:rFonts w:eastAsia="Calibri" w:cs="Arial"/>
          <w:color w:val="C45911" w:themeColor="accent2" w:themeShade="BF"/>
          <w:lang w:val="es-ES_tradnl"/>
        </w:rPr>
        <w:t>, CANIETI</w:t>
      </w:r>
      <w:r w:rsidR="001B67DB" w:rsidRPr="007F0299">
        <w:rPr>
          <w:rStyle w:val="ParticipanteCar"/>
        </w:rPr>
        <w:t>)</w:t>
      </w:r>
    </w:p>
    <w:p w14:paraId="37990B3B" w14:textId="6F91E067" w:rsidR="007523B9" w:rsidRPr="001E1AE5" w:rsidRDefault="007523B9" w:rsidP="00165014">
      <w:pPr>
        <w:pStyle w:val="Bullet"/>
        <w:ind w:hanging="294"/>
        <w:rPr>
          <w:rStyle w:val="ParticipanteCar"/>
          <w:color w:val="auto"/>
        </w:rPr>
      </w:pPr>
      <w:r w:rsidRPr="007523B9">
        <w:rPr>
          <w:rStyle w:val="ParticipanteCar"/>
          <w:color w:val="auto"/>
        </w:rPr>
        <w:t xml:space="preserve">Se propone un análisis de prueba de replicabilidad específica para las ofertas del segmento empresarial, analizando de manera análoga al resto de segmentos </w:t>
      </w:r>
      <w:r w:rsidR="00680AA4">
        <w:rPr>
          <w:rStyle w:val="ParticipanteCar"/>
          <w:color w:val="auto"/>
        </w:rPr>
        <w:t>con</w:t>
      </w:r>
      <w:r w:rsidRPr="007523B9">
        <w:rPr>
          <w:rStyle w:val="ParticipanteCar"/>
          <w:color w:val="auto"/>
        </w:rPr>
        <w:t xml:space="preserve"> base </w:t>
      </w:r>
      <w:r w:rsidR="00680AA4">
        <w:rPr>
          <w:rStyle w:val="ParticipanteCar"/>
          <w:color w:val="auto"/>
        </w:rPr>
        <w:t>en</w:t>
      </w:r>
      <w:r w:rsidRPr="007523B9">
        <w:rPr>
          <w:rStyle w:val="ParticipanteCar"/>
          <w:color w:val="auto"/>
        </w:rPr>
        <w:t xml:space="preserve"> un análisis oferta por oferta. </w:t>
      </w:r>
      <w:r>
        <w:rPr>
          <w:rStyle w:val="ParticipanteCar"/>
          <w:color w:val="auto"/>
        </w:rPr>
        <w:t>Asimismo, s</w:t>
      </w:r>
      <w:r w:rsidRPr="007523B9">
        <w:rPr>
          <w:rStyle w:val="ParticipanteCar"/>
          <w:color w:val="auto"/>
        </w:rPr>
        <w:t>e requiere un análisis especial de replicabilidad de los contratos de grandes empresas y organismos gubernamentales en virtud de su complejidad.</w:t>
      </w:r>
      <w:r>
        <w:rPr>
          <w:rStyle w:val="ParticipanteCar"/>
          <w:color w:val="auto"/>
        </w:rPr>
        <w:t xml:space="preserve"> </w:t>
      </w:r>
      <w:r>
        <w:rPr>
          <w:rFonts w:eastAsia="Calibri" w:cs="Arial"/>
          <w:color w:val="C45911" w:themeColor="accent2" w:themeShade="BF"/>
          <w:lang w:val="es-ES_tradnl"/>
        </w:rPr>
        <w:t>(CANIETI</w:t>
      </w:r>
      <w:r w:rsidRPr="007F0299">
        <w:rPr>
          <w:rStyle w:val="ParticipanteCar"/>
        </w:rPr>
        <w:t>)</w:t>
      </w:r>
    </w:p>
    <w:p w14:paraId="0E0BC14D" w14:textId="77777777" w:rsidR="001B67DB" w:rsidRPr="0055532A" w:rsidRDefault="001B67DB" w:rsidP="00FC4C35">
      <w:pPr>
        <w:pStyle w:val="Ttulo3"/>
      </w:pPr>
      <w:r>
        <w:t>Consideraciones del Instituto</w:t>
      </w:r>
    </w:p>
    <w:p w14:paraId="08978F54" w14:textId="0AEBF79E" w:rsidR="00262881" w:rsidRDefault="005220D6" w:rsidP="00E52DC4">
      <w:pPr>
        <w:pStyle w:val="Prrafo"/>
      </w:pPr>
      <w:r w:rsidRPr="005220D6">
        <w:t>La</w:t>
      </w:r>
      <w:r w:rsidR="006E0CEF">
        <w:t xml:space="preserve"> evaluación de las</w:t>
      </w:r>
      <w:r w:rsidRPr="005220D6">
        <w:t xml:space="preserve"> ofertas empresariales estandarizadas </w:t>
      </w:r>
      <w:r w:rsidR="006E0CEF">
        <w:t>forma parte de las pruebas de replicabilidad económica que el AEPT debe acreditar</w:t>
      </w:r>
      <w:r w:rsidR="00680AA4">
        <w:t xml:space="preserve"> conforme a la </w:t>
      </w:r>
      <w:r w:rsidR="006B2542">
        <w:t>metodología en términos del Acuerdo P/IFT/120917/548</w:t>
      </w:r>
      <w:r w:rsidR="00680AA4">
        <w:t xml:space="preserve"> y la propuesta sometida a consulta pública</w:t>
      </w:r>
      <w:r w:rsidR="006E0CEF">
        <w:t>.</w:t>
      </w:r>
      <w:r w:rsidR="00262881">
        <w:t xml:space="preserve"> </w:t>
      </w:r>
      <w:r w:rsidR="00A308A5">
        <w:t>No obstante</w:t>
      </w:r>
      <w:r w:rsidR="00262881">
        <w:t>, las manifestaciones se analizaron como parte del proyecto de modificación a la metodología, términos y condiciones para llevar a cabo la prueba de replicabilidad económica, a fin de que esta permita evitar prácticas de estrechamiento de márgenes.</w:t>
      </w:r>
      <w:r w:rsidRPr="005220D6">
        <w:t xml:space="preserve"> </w:t>
      </w:r>
    </w:p>
    <w:p w14:paraId="1D38A290" w14:textId="27AC41D2" w:rsidR="008403A0" w:rsidRPr="00B31223" w:rsidRDefault="001E292A" w:rsidP="001B67DB">
      <w:pPr>
        <w:pStyle w:val="Ttulo1"/>
        <w:ind w:left="426"/>
      </w:pPr>
      <w:bookmarkStart w:id="5" w:name="_Toc23506657"/>
      <w:r w:rsidRPr="001E292A">
        <w:lastRenderedPageBreak/>
        <w:t>Servicios mayoristas a considerar</w:t>
      </w:r>
      <w:bookmarkEnd w:id="5"/>
    </w:p>
    <w:p w14:paraId="4FAA2409" w14:textId="2F753424" w:rsidR="00165014" w:rsidRDefault="00C02671" w:rsidP="00165014">
      <w:pPr>
        <w:pStyle w:val="Segmento"/>
      </w:pPr>
      <w:r>
        <w:rPr>
          <w:lang w:val="es-MX"/>
        </w:rPr>
        <w:t>Tipo de OMV</w:t>
      </w:r>
    </w:p>
    <w:p w14:paraId="4D354C5A" w14:textId="3E5E0D57" w:rsidR="00165014" w:rsidRPr="001E1AE5" w:rsidRDefault="00C02671" w:rsidP="00E52DC4">
      <w:pPr>
        <w:pStyle w:val="Prrafo"/>
        <w:rPr>
          <w:rStyle w:val="ParticipanteCar"/>
          <w:rFonts w:eastAsiaTheme="majorEastAsia" w:cs="Arial"/>
          <w:b/>
          <w:color w:val="auto"/>
          <w:sz w:val="24"/>
          <w:szCs w:val="32"/>
          <w:lang w:val="es-EC"/>
        </w:rPr>
      </w:pPr>
      <w:r>
        <w:t>Incluir prueba para otros modelos de negocio de OMV como completos o parciales</w:t>
      </w:r>
      <w:r w:rsidR="00165014">
        <w:t>.</w:t>
      </w:r>
      <w:r w:rsidR="00165014" w:rsidRPr="005D13FA">
        <w:rPr>
          <w:rStyle w:val="PrrafoCar"/>
        </w:rPr>
        <w:t xml:space="preserve"> </w:t>
      </w:r>
      <w:r w:rsidR="00165014" w:rsidRPr="007F0299">
        <w:rPr>
          <w:rStyle w:val="ParticipanteCar"/>
        </w:rPr>
        <w:t>(</w:t>
      </w:r>
      <w:r w:rsidR="00A10031" w:rsidRPr="00A10031">
        <w:rPr>
          <w:rFonts w:eastAsia="Calibri" w:cs="Arial"/>
          <w:color w:val="C45911" w:themeColor="accent2" w:themeShade="BF"/>
          <w:lang w:val="es-ES_tradnl"/>
        </w:rPr>
        <w:t>Megacable, Cablevisión</w:t>
      </w:r>
      <w:r w:rsidR="00165014" w:rsidRPr="007F0299">
        <w:rPr>
          <w:rStyle w:val="ParticipanteCar"/>
        </w:rPr>
        <w:t>)</w:t>
      </w:r>
    </w:p>
    <w:p w14:paraId="10BF05CB" w14:textId="77777777" w:rsidR="00165014" w:rsidRPr="0055532A" w:rsidRDefault="00165014" w:rsidP="00FC4C35">
      <w:pPr>
        <w:pStyle w:val="Ttulo3"/>
      </w:pPr>
      <w:r>
        <w:t>Consideraciones del Instituto</w:t>
      </w:r>
    </w:p>
    <w:p w14:paraId="0B4E0235" w14:textId="3781FEBB" w:rsidR="00165014" w:rsidRPr="001E1AE5" w:rsidRDefault="00C02671" w:rsidP="00E52DC4">
      <w:pPr>
        <w:pStyle w:val="Prrafo"/>
        <w:rPr>
          <w:rStyle w:val="ParticipanteCar"/>
          <w:rFonts w:eastAsiaTheme="majorEastAsia" w:cstheme="majorBidi"/>
          <w:b/>
          <w:color w:val="auto"/>
          <w:sz w:val="24"/>
          <w:szCs w:val="24"/>
          <w:lang w:val="es-EC"/>
        </w:rPr>
      </w:pPr>
      <w:r>
        <w:t>Las manifestaciones se analizaron como parte del proyecto de modificación a la metodología, términos y condiciones para llevar a cabo la prueba de replicabilidad económica, a fin de que esta permita evitar prácticas de estrechamiento de márgenes</w:t>
      </w:r>
      <w:r w:rsidR="001D10C2">
        <w:t>.</w:t>
      </w:r>
      <w:r>
        <w:t xml:space="preserve"> </w:t>
      </w:r>
    </w:p>
    <w:p w14:paraId="6E2E3441" w14:textId="4D282AC1" w:rsidR="00C02671" w:rsidRDefault="00C02671" w:rsidP="00165014">
      <w:pPr>
        <w:pStyle w:val="Segmento"/>
        <w:rPr>
          <w:lang w:val="es-MX"/>
        </w:rPr>
      </w:pPr>
      <w:r>
        <w:rPr>
          <w:lang w:val="es-MX"/>
        </w:rPr>
        <w:t>Considerar a un operador de red</w:t>
      </w:r>
    </w:p>
    <w:p w14:paraId="79EA8462" w14:textId="7E4D1B65" w:rsidR="00165014" w:rsidRPr="00413BF6" w:rsidRDefault="00A10031" w:rsidP="00E52DC4">
      <w:pPr>
        <w:pStyle w:val="Bullet"/>
        <w:rPr>
          <w:rStyle w:val="ParticipanteCar"/>
          <w:color w:val="auto"/>
        </w:rPr>
      </w:pPr>
      <w:r w:rsidRPr="00A10031">
        <w:t>Hacer un</w:t>
      </w:r>
      <w:r w:rsidR="00D530E7">
        <w:t>a prueba</w:t>
      </w:r>
      <w:r w:rsidRPr="00A10031">
        <w:t xml:space="preserve"> para </w:t>
      </w:r>
      <w:r w:rsidR="00C02671">
        <w:t>operador de red</w:t>
      </w:r>
      <w:r w:rsidR="00413BF6">
        <w:t>,</w:t>
      </w:r>
      <w:r w:rsidRPr="00A10031">
        <w:t xml:space="preserve"> incluir usuario visitante (UV</w:t>
      </w:r>
      <w:r w:rsidR="00165014">
        <w:t>)</w:t>
      </w:r>
      <w:r w:rsidR="00413BF6">
        <w:t xml:space="preserve"> y </w:t>
      </w:r>
      <w:r w:rsidR="00413BF6" w:rsidRPr="00413BF6">
        <w:t xml:space="preserve">los servicios no regulados </w:t>
      </w:r>
      <w:r w:rsidR="00C02671">
        <w:t>o que no son de telecomunicaciones.</w:t>
      </w:r>
      <w:r w:rsidR="00165014" w:rsidRPr="005D13FA">
        <w:rPr>
          <w:rStyle w:val="PrrafoCar"/>
        </w:rPr>
        <w:t xml:space="preserve"> </w:t>
      </w:r>
      <w:r w:rsidR="00165014" w:rsidRPr="007F0299">
        <w:rPr>
          <w:rStyle w:val="ParticipanteCar"/>
        </w:rPr>
        <w:t>(</w:t>
      </w:r>
      <w:r w:rsidRPr="00A10031">
        <w:rPr>
          <w:rFonts w:eastAsia="Calibri" w:cs="Arial"/>
          <w:color w:val="C45911" w:themeColor="accent2" w:themeShade="BF"/>
          <w:lang w:val="es-ES_tradnl"/>
        </w:rPr>
        <w:t>AT&amp;T, Telefónica</w:t>
      </w:r>
      <w:r w:rsidR="00413BF6">
        <w:rPr>
          <w:rFonts w:eastAsia="Calibri" w:cs="Arial"/>
          <w:color w:val="C45911" w:themeColor="accent2" w:themeShade="BF"/>
          <w:lang w:val="es-ES_tradnl"/>
        </w:rPr>
        <w:t>, CANIETI</w:t>
      </w:r>
      <w:r w:rsidR="00165014" w:rsidRPr="007F0299">
        <w:rPr>
          <w:rStyle w:val="ParticipanteCar"/>
        </w:rPr>
        <w:t>)</w:t>
      </w:r>
    </w:p>
    <w:p w14:paraId="07B0B368" w14:textId="74B3641F" w:rsidR="007523B9" w:rsidRPr="001E1AE5" w:rsidRDefault="007523B9" w:rsidP="00421EE2">
      <w:pPr>
        <w:pStyle w:val="Bullet"/>
        <w:ind w:hanging="294"/>
        <w:rPr>
          <w:rStyle w:val="ParticipanteCar"/>
          <w:color w:val="auto"/>
        </w:rPr>
      </w:pPr>
      <w:r w:rsidRPr="007523B9">
        <w:rPr>
          <w:rStyle w:val="ParticipanteCar"/>
          <w:color w:val="auto"/>
        </w:rPr>
        <w:t>Se deberían incorporar al alcance de la medida todos los servicios mayoristas del AEPT, incluyendo el de usuario visitante</w:t>
      </w:r>
      <w:r>
        <w:rPr>
          <w:rStyle w:val="ParticipanteCar"/>
          <w:color w:val="auto"/>
        </w:rPr>
        <w:t xml:space="preserve"> y </w:t>
      </w:r>
      <w:r w:rsidRPr="007523B9">
        <w:rPr>
          <w:rStyle w:val="ParticipanteCar"/>
          <w:color w:val="auto"/>
        </w:rPr>
        <w:t xml:space="preserve">los servicios no regulados (el ejemplo </w:t>
      </w:r>
      <w:r w:rsidR="00C02671">
        <w:rPr>
          <w:rStyle w:val="ParticipanteCar"/>
          <w:color w:val="auto"/>
        </w:rPr>
        <w:t xml:space="preserve">son los </w:t>
      </w:r>
      <w:r w:rsidRPr="007523B9">
        <w:rPr>
          <w:rStyle w:val="ParticipanteCar"/>
          <w:color w:val="auto"/>
        </w:rPr>
        <w:t>equipos terminales), incluidos en las ofertas “paquetizadas” para asegurar la replicabilidad del resto del contenido de la oferta.</w:t>
      </w:r>
      <w:r>
        <w:rPr>
          <w:rStyle w:val="ParticipanteCar"/>
          <w:color w:val="auto"/>
        </w:rPr>
        <w:t xml:space="preserve"> </w:t>
      </w:r>
      <w:r>
        <w:rPr>
          <w:rFonts w:eastAsia="Calibri" w:cs="Arial"/>
          <w:color w:val="C45911" w:themeColor="accent2" w:themeShade="BF"/>
          <w:lang w:val="es-ES_tradnl"/>
        </w:rPr>
        <w:t>(CANIETI</w:t>
      </w:r>
      <w:r w:rsidRPr="007F0299">
        <w:rPr>
          <w:rStyle w:val="ParticipanteCar"/>
        </w:rPr>
        <w:t>)</w:t>
      </w:r>
    </w:p>
    <w:p w14:paraId="34E5A561" w14:textId="77777777" w:rsidR="00165014" w:rsidRPr="0055532A" w:rsidRDefault="00165014" w:rsidP="00FC4C35">
      <w:pPr>
        <w:pStyle w:val="Ttulo3"/>
      </w:pPr>
      <w:r>
        <w:t>Consideraciones del Instituto</w:t>
      </w:r>
    </w:p>
    <w:p w14:paraId="35702FA8" w14:textId="0B5BFF05" w:rsidR="00C02671" w:rsidRDefault="00C02671" w:rsidP="00C02671">
      <w:pPr>
        <w:pStyle w:val="Prrafo"/>
      </w:pPr>
      <w:r>
        <w:t xml:space="preserve">La medida Sexagésima Cuarta del Anexo 1 de la Primera Resolución Bienal señala que “A </w:t>
      </w:r>
      <w:r w:rsidRPr="00C02671">
        <w:t>efecto de garantizar que las tarifas al público puedan ser replicables por los Operadores Móviles Virtuales, cuyo servicio esté activo al amparo de la Oferta de Referencia del Servicio Mayorista de Comercialización o Reventa de Servicios, dadas las tarifas de los servicios mayoristas regulados, el Instituto validará de manera ex post la replicabilidad económica de las mismas con base en la metodología, términos y condiciones que establezca el Instituto</w:t>
      </w:r>
      <w:r>
        <w:t>”. Por lo tanto, el alcance de la metodología debe circunscribirse a lo estipulado en las medidas asimétricas.</w:t>
      </w:r>
    </w:p>
    <w:p w14:paraId="63531EC2" w14:textId="63F3FB28" w:rsidR="001D10C2" w:rsidRDefault="001D10C2" w:rsidP="00C02671">
      <w:pPr>
        <w:pStyle w:val="Prrafo"/>
      </w:pPr>
      <w:r>
        <w:t>Por otra parte, respecto a considerar servicios no regulados, se hace notar que las pruebas</w:t>
      </w:r>
      <w:r w:rsidR="008A3B81">
        <w:t xml:space="preserve"> en términos de la metodología del Acuerdo P/IFT/120917/548</w:t>
      </w:r>
      <w:r>
        <w:t xml:space="preserve"> y la propuesta de actualización consideran los equipos terminales y promociones asociadas a OTT.</w:t>
      </w:r>
    </w:p>
    <w:p w14:paraId="15C4649B" w14:textId="255C0F8D" w:rsidR="001D10C2" w:rsidRDefault="001D10C2" w:rsidP="00E52DC4">
      <w:pPr>
        <w:pStyle w:val="Prrafo"/>
      </w:pPr>
      <w:r>
        <w:t>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718A3B80" w14:textId="408DD0AC" w:rsidR="00103052" w:rsidRDefault="00103052" w:rsidP="001B67DB">
      <w:pPr>
        <w:pStyle w:val="Ttulo1"/>
        <w:numPr>
          <w:ilvl w:val="0"/>
          <w:numId w:val="0"/>
        </w:numPr>
        <w:ind w:left="426"/>
      </w:pPr>
      <w:r>
        <w:lastRenderedPageBreak/>
        <w:t>Generales</w:t>
      </w:r>
    </w:p>
    <w:p w14:paraId="4565165A" w14:textId="51E02A9A" w:rsidR="003D511A" w:rsidRDefault="002B2BC9" w:rsidP="003D511A">
      <w:pPr>
        <w:pStyle w:val="Segmento"/>
      </w:pPr>
      <w:r w:rsidRPr="002B2BC9">
        <w:rPr>
          <w:lang w:val="es-MX"/>
        </w:rPr>
        <w:t>Acciones ante incumplimiento de prueba</w:t>
      </w:r>
      <w:r w:rsidR="001D10C2">
        <w:rPr>
          <w:lang w:val="es-MX"/>
        </w:rPr>
        <w:t xml:space="preserve"> y denuncias</w:t>
      </w:r>
    </w:p>
    <w:p w14:paraId="52174ADE" w14:textId="7CF72440" w:rsidR="003D511A" w:rsidRPr="001E1AE5" w:rsidRDefault="002B2BC9" w:rsidP="003D511A">
      <w:pPr>
        <w:pStyle w:val="Bullet"/>
        <w:ind w:hanging="294"/>
        <w:rPr>
          <w:rStyle w:val="ParticipanteCar"/>
          <w:color w:val="auto"/>
        </w:rPr>
      </w:pPr>
      <w:r w:rsidRPr="002B2BC9">
        <w:t xml:space="preserve">Se destaca el incumplimiento recurrente de la prueba con ajuste ex post de precios mayoristas que resulta en daño para los OMV y ofertas minoristas no replicables durante un período significativo. </w:t>
      </w:r>
      <w:r w:rsidR="001D10C2">
        <w:t>Considerar</w:t>
      </w:r>
      <w:r w:rsidRPr="002B2BC9">
        <w:t xml:space="preserve"> sanciones y resarcimientos </w:t>
      </w:r>
      <w:r w:rsidR="00E01F8D">
        <w:t>a</w:t>
      </w:r>
      <w:r w:rsidRPr="002B2BC9">
        <w:t xml:space="preserve"> OMV por periodos </w:t>
      </w:r>
      <w:r w:rsidR="00E01F8D">
        <w:t>de</w:t>
      </w:r>
      <w:r w:rsidRPr="002B2BC9">
        <w:t xml:space="preserve"> incumplimiento</w:t>
      </w:r>
      <w:r w:rsidR="003D511A">
        <w:t>.</w:t>
      </w:r>
      <w:r w:rsidR="003D511A" w:rsidRPr="005D13FA">
        <w:rPr>
          <w:rStyle w:val="PrrafoCar"/>
        </w:rPr>
        <w:t xml:space="preserve"> </w:t>
      </w:r>
      <w:r w:rsidR="003D511A" w:rsidRPr="007F0299">
        <w:rPr>
          <w:rStyle w:val="ParticipanteCar"/>
        </w:rPr>
        <w:t>(</w:t>
      </w:r>
      <w:r w:rsidRPr="002B2BC9">
        <w:rPr>
          <w:rFonts w:eastAsia="Calibri" w:cs="Arial"/>
          <w:color w:val="C45911" w:themeColor="accent2" w:themeShade="BF"/>
          <w:lang w:val="es-ES_tradnl"/>
        </w:rPr>
        <w:t>Megacable, AT&amp;T, Telefónica</w:t>
      </w:r>
      <w:r w:rsidR="003D511A" w:rsidRPr="007F0299">
        <w:rPr>
          <w:rStyle w:val="ParticipanteCar"/>
        </w:rPr>
        <w:t>)</w:t>
      </w:r>
    </w:p>
    <w:p w14:paraId="5B871A94" w14:textId="14E7AF55" w:rsidR="000B2311" w:rsidRPr="001E1AE5" w:rsidRDefault="000B2311" w:rsidP="000B2311">
      <w:pPr>
        <w:pStyle w:val="Bullet"/>
        <w:ind w:hanging="294"/>
        <w:rPr>
          <w:rStyle w:val="ParticipanteCar"/>
          <w:color w:val="auto"/>
        </w:rPr>
      </w:pPr>
      <w:r w:rsidRPr="000B2311">
        <w:t xml:space="preserve">Se propone que el Instituto permita que los operadores alternativos puedan denunciar cualquier posible falta de replicabilidad y que, ante </w:t>
      </w:r>
      <w:r w:rsidR="001D10C2">
        <w:t>e</w:t>
      </w:r>
      <w:r w:rsidRPr="000B2311">
        <w:t>sta, el IFT lleve a cabo la prueba y verifique la replicabilidad, con independencia del procedimiento estándar de análisis establecido por el IFT</w:t>
      </w:r>
      <w:r>
        <w:t>.</w:t>
      </w:r>
      <w:r w:rsidRPr="005D13FA">
        <w:rPr>
          <w:rStyle w:val="PrrafoCar"/>
        </w:rPr>
        <w:t xml:space="preserve"> </w:t>
      </w:r>
      <w:r w:rsidRPr="007F0299">
        <w:rPr>
          <w:rStyle w:val="ParticipanteCar"/>
        </w:rPr>
        <w:t>(</w:t>
      </w:r>
      <w:r>
        <w:rPr>
          <w:rFonts w:eastAsia="Calibri" w:cs="Arial"/>
          <w:color w:val="C45911" w:themeColor="accent2" w:themeShade="BF"/>
          <w:lang w:val="es-ES_tradnl"/>
        </w:rPr>
        <w:t>CANIETI</w:t>
      </w:r>
      <w:r w:rsidRPr="007F0299">
        <w:rPr>
          <w:rStyle w:val="ParticipanteCar"/>
        </w:rPr>
        <w:t>)</w:t>
      </w:r>
    </w:p>
    <w:p w14:paraId="69138B83" w14:textId="77777777" w:rsidR="000B2311" w:rsidRPr="0055532A" w:rsidRDefault="000B2311" w:rsidP="000B2311">
      <w:pPr>
        <w:pStyle w:val="Ttulo3"/>
      </w:pPr>
      <w:r>
        <w:t>Consideraciones del Instituto</w:t>
      </w:r>
    </w:p>
    <w:p w14:paraId="2DDC0213" w14:textId="5217156A" w:rsidR="000B2311" w:rsidRDefault="00E01F8D" w:rsidP="001D10C2">
      <w:pPr>
        <w:pStyle w:val="Prrafo"/>
        <w:rPr>
          <w:rStyle w:val="BulletCar"/>
        </w:rPr>
      </w:pPr>
      <w:r>
        <w:t>Se precisa que</w:t>
      </w:r>
      <w:r w:rsidR="000B2311">
        <w:t xml:space="preserve"> el Instituto se encuentra obligado a recibir, procesar y atender todo tipo de</w:t>
      </w:r>
      <w:r w:rsidR="007E380D">
        <w:t xml:space="preserve"> solicitudes de información, quejas y sugerencias</w:t>
      </w:r>
      <w:r>
        <w:t xml:space="preserve"> y cada petición se debe </w:t>
      </w:r>
      <w:r w:rsidR="00025A5B">
        <w:t>resolver</w:t>
      </w:r>
      <w:r>
        <w:t xml:space="preserve"> conforme a derecho corresponda</w:t>
      </w:r>
      <w:r w:rsidR="000B2311">
        <w:rPr>
          <w:rStyle w:val="BulletCar"/>
        </w:rPr>
        <w:t>.</w:t>
      </w:r>
    </w:p>
    <w:p w14:paraId="24B25636" w14:textId="77777777" w:rsidR="001D10C2" w:rsidRDefault="001D10C2" w:rsidP="001D10C2">
      <w:pPr>
        <w:pStyle w:val="Prrafo"/>
      </w:pPr>
      <w:r>
        <w:t>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49D6663D" w14:textId="1C98E4D1" w:rsidR="009B4B4B" w:rsidRPr="009B4B4B" w:rsidRDefault="009B4B4B" w:rsidP="001B67DB">
      <w:pPr>
        <w:pStyle w:val="Ttulo1"/>
        <w:numPr>
          <w:ilvl w:val="0"/>
          <w:numId w:val="0"/>
        </w:numPr>
        <w:ind w:left="142"/>
      </w:pPr>
      <w:r>
        <w:t xml:space="preserve">PRUEBA </w:t>
      </w:r>
      <w:r w:rsidR="00392D46">
        <w:t xml:space="preserve">SERVICIOS </w:t>
      </w:r>
      <w:r w:rsidR="001A16F3">
        <w:t>BANDA ANCHA</w:t>
      </w:r>
    </w:p>
    <w:p w14:paraId="7A347277" w14:textId="77777777" w:rsidR="00C81BEF" w:rsidRPr="00DC0FE6" w:rsidRDefault="00C81BEF" w:rsidP="00414382">
      <w:pPr>
        <w:pStyle w:val="Ttulo1"/>
        <w:numPr>
          <w:ilvl w:val="0"/>
          <w:numId w:val="5"/>
        </w:numPr>
        <w:ind w:left="426"/>
      </w:pPr>
      <w:r w:rsidRPr="001068A2">
        <w:t>Momento de aplicación</w:t>
      </w:r>
    </w:p>
    <w:p w14:paraId="49183EFC" w14:textId="362D6BE7" w:rsidR="00C81BEF" w:rsidRDefault="002675DF" w:rsidP="00C81BEF">
      <w:pPr>
        <w:pStyle w:val="Segmento"/>
      </w:pPr>
      <w:r w:rsidRPr="002675DF">
        <w:rPr>
          <w:lang w:val="es-MX"/>
        </w:rPr>
        <w:t>Aumentar la frecuencia de la prueba ex post</w:t>
      </w:r>
    </w:p>
    <w:p w14:paraId="423517D9" w14:textId="45D42DC9" w:rsidR="00C81BEF" w:rsidRPr="00B33C71" w:rsidRDefault="00C93565" w:rsidP="00E52DC4">
      <w:pPr>
        <w:pStyle w:val="Prrafo"/>
        <w:rPr>
          <w:rStyle w:val="ParticipanteCar"/>
          <w:rFonts w:eastAsiaTheme="majorEastAsia" w:cs="Arial"/>
          <w:b/>
          <w:color w:val="auto"/>
          <w:sz w:val="24"/>
          <w:szCs w:val="32"/>
          <w:lang w:val="es-EC"/>
        </w:rPr>
      </w:pPr>
      <w:r>
        <w:t>Realizar la prueba ex post cada 3 meses.</w:t>
      </w:r>
      <w:r w:rsidR="00C81BEF" w:rsidRPr="005D13FA">
        <w:rPr>
          <w:rStyle w:val="PrrafoCar"/>
        </w:rPr>
        <w:t xml:space="preserve"> </w:t>
      </w:r>
      <w:r w:rsidR="00C81BEF" w:rsidRPr="007F0299">
        <w:rPr>
          <w:rStyle w:val="ParticipanteCar"/>
        </w:rPr>
        <w:t>(</w:t>
      </w:r>
      <w:r w:rsidR="002675DF">
        <w:rPr>
          <w:rStyle w:val="ParticipanteCar"/>
        </w:rPr>
        <w:t>Megacable</w:t>
      </w:r>
      <w:r w:rsidR="00C81BEF" w:rsidRPr="007F0299">
        <w:rPr>
          <w:rStyle w:val="ParticipanteCar"/>
        </w:rPr>
        <w:t>)</w:t>
      </w:r>
    </w:p>
    <w:p w14:paraId="09E0B28E" w14:textId="77777777" w:rsidR="00C81BEF" w:rsidRPr="0055532A" w:rsidRDefault="00C81BEF" w:rsidP="005F4343">
      <w:pPr>
        <w:pStyle w:val="Ttulo3"/>
      </w:pPr>
      <w:r>
        <w:t>Consideraciones del Instituto</w:t>
      </w:r>
    </w:p>
    <w:p w14:paraId="0C2EB972" w14:textId="30521772" w:rsidR="00C81BEF" w:rsidRDefault="00675531" w:rsidP="00675531">
      <w:pPr>
        <w:pStyle w:val="Prrafo"/>
      </w:pPr>
      <w:r>
        <w:t xml:space="preserve">Debe tenerse en cuenta que la aplicación de las pruebas ex post funciona de manera complementaria </w:t>
      </w:r>
      <w:r w:rsidR="00025A5B">
        <w:t xml:space="preserve">a </w:t>
      </w:r>
      <w:r>
        <w:t>la aplicación de las pruebas ex ante</w:t>
      </w:r>
      <w:r w:rsidR="00580C3E">
        <w:t>.</w:t>
      </w:r>
    </w:p>
    <w:p w14:paraId="2F6AE10B" w14:textId="32CD8A1F" w:rsidR="00580C3E" w:rsidRPr="00B33C71" w:rsidRDefault="00580C3E" w:rsidP="00E52DC4">
      <w:pPr>
        <w:pStyle w:val="Prrafo"/>
        <w:rPr>
          <w:rStyle w:val="ParticipanteCar"/>
          <w:color w:val="auto"/>
        </w:rPr>
      </w:pPr>
      <w:r>
        <w:t xml:space="preserve">No obstante, </w:t>
      </w:r>
      <w:bookmarkStart w:id="6" w:name="_Hlk114144466"/>
      <w:r>
        <w:t>las manifestaciones se analizaron como parte del proyecto de modificación a la metodología, términos y condiciones para llevar a cabo la prueba de replicabilidad económica, a fin de que esta permita evitar prácticas de estrechamiento de márgenes.</w:t>
      </w:r>
      <w:bookmarkEnd w:id="6"/>
    </w:p>
    <w:p w14:paraId="0192E522" w14:textId="77777777" w:rsidR="00C81BEF" w:rsidRPr="00DC0FE6" w:rsidRDefault="00C81BEF" w:rsidP="00C81BEF">
      <w:pPr>
        <w:pStyle w:val="Ttulo1"/>
        <w:ind w:left="426"/>
      </w:pPr>
      <w:r>
        <w:lastRenderedPageBreak/>
        <w:t>Eficienci</w:t>
      </w:r>
      <w:r w:rsidRPr="00DC0FE6">
        <w:t>a</w:t>
      </w:r>
    </w:p>
    <w:p w14:paraId="7B6D0AE9" w14:textId="6BA8D7C0" w:rsidR="00C81BEF" w:rsidRDefault="003C74DF" w:rsidP="00C81BEF">
      <w:pPr>
        <w:pStyle w:val="Segmento"/>
      </w:pPr>
      <w:r w:rsidRPr="003C74DF">
        <w:rPr>
          <w:lang w:val="es-MX"/>
        </w:rPr>
        <w:t>No pasar a EEO</w:t>
      </w:r>
    </w:p>
    <w:p w14:paraId="21488A61" w14:textId="3AC7A1B6" w:rsidR="00C81BEF" w:rsidRPr="001E1AE5" w:rsidRDefault="007D2E4C" w:rsidP="00E52DC4">
      <w:pPr>
        <w:pStyle w:val="Prrafo"/>
        <w:rPr>
          <w:rStyle w:val="ParticipanteCar"/>
          <w:rFonts w:eastAsiaTheme="majorEastAsia" w:cs="Arial"/>
          <w:b/>
          <w:color w:val="auto"/>
          <w:sz w:val="24"/>
          <w:szCs w:val="32"/>
          <w:lang w:val="es-EC"/>
        </w:rPr>
      </w:pPr>
      <w:r>
        <w:t>Emplear el enfoque de eficiencia REO, dado que los operadores tienen una menor escala que el AEPT y ello debe ser considerado para promover la competencia en el sector.</w:t>
      </w:r>
      <w:r w:rsidR="00C81BEF" w:rsidRPr="005D13FA">
        <w:rPr>
          <w:rStyle w:val="PrrafoCar"/>
        </w:rPr>
        <w:t xml:space="preserve"> </w:t>
      </w:r>
      <w:r w:rsidR="00C81BEF" w:rsidRPr="007F0299">
        <w:rPr>
          <w:rStyle w:val="ParticipanteCar"/>
        </w:rPr>
        <w:t>(</w:t>
      </w:r>
      <w:r w:rsidR="003C74DF" w:rsidRPr="003C74DF">
        <w:rPr>
          <w:rFonts w:eastAsia="Calibri" w:cs="Arial"/>
          <w:color w:val="C45911" w:themeColor="accent2" w:themeShade="BF"/>
          <w:lang w:val="es-ES_tradnl"/>
        </w:rPr>
        <w:t>Megacable, Axtel, Telefónica</w:t>
      </w:r>
      <w:r w:rsidR="00C81BEF" w:rsidRPr="007F0299">
        <w:rPr>
          <w:rStyle w:val="ParticipanteCar"/>
        </w:rPr>
        <w:t>)</w:t>
      </w:r>
    </w:p>
    <w:p w14:paraId="76F1624F" w14:textId="77777777" w:rsidR="00C81BEF" w:rsidRPr="0055532A" w:rsidRDefault="00C81BEF" w:rsidP="005F4343">
      <w:pPr>
        <w:pStyle w:val="Ttulo3"/>
      </w:pPr>
      <w:r>
        <w:t>Consideraciones del Instituto</w:t>
      </w:r>
    </w:p>
    <w:p w14:paraId="25555DF2" w14:textId="053FEDF7" w:rsidR="00C81BEF" w:rsidRPr="001E1AE5" w:rsidRDefault="002A4CB1" w:rsidP="00E52DC4">
      <w:pPr>
        <w:pStyle w:val="Prrafo"/>
        <w:rPr>
          <w:rStyle w:val="ParticipanteCar"/>
          <w:rFonts w:eastAsiaTheme="majorEastAsia" w:cstheme="majorBidi"/>
          <w:b/>
          <w:color w:val="auto"/>
          <w:sz w:val="24"/>
          <w:szCs w:val="24"/>
          <w:lang w:val="es-EC"/>
        </w:rPr>
      </w:pPr>
      <w:r w:rsidRPr="00E52DC4">
        <w:t>L</w:t>
      </w:r>
      <w:r w:rsidRPr="002A4CB1">
        <w:t>as</w:t>
      </w:r>
      <w:r>
        <w:t xml:space="preserve"> manifestaciones se analizaron como parte del proyecto de modificación a la metodología, términos y condiciones para llevar a cabo la prueba de replicabilidad económica, a fin de que esta permita evitar prácticas de estrechamiento de márgenes.</w:t>
      </w:r>
    </w:p>
    <w:p w14:paraId="10958E24" w14:textId="77777777" w:rsidR="00C81BEF" w:rsidRPr="00DC0FE6" w:rsidRDefault="00C81BEF" w:rsidP="00C81BEF">
      <w:pPr>
        <w:pStyle w:val="Ttulo1"/>
        <w:ind w:left="426"/>
      </w:pPr>
      <w:r>
        <w:t>Estándar de costos</w:t>
      </w:r>
    </w:p>
    <w:p w14:paraId="547AC76E" w14:textId="276B8071" w:rsidR="00C81BEF" w:rsidRDefault="003C74DF" w:rsidP="00C81BEF">
      <w:pPr>
        <w:pStyle w:val="Segmento"/>
      </w:pPr>
      <w:r w:rsidRPr="003C74DF">
        <w:rPr>
          <w:lang w:val="es-MX"/>
        </w:rPr>
        <w:t xml:space="preserve">Evitar el uso del modelo </w:t>
      </w:r>
      <w:r w:rsidRPr="003C74DF">
        <w:rPr>
          <w:i/>
          <w:iCs/>
          <w:lang w:val="es-MX"/>
        </w:rPr>
        <w:t>bottom-up</w:t>
      </w:r>
    </w:p>
    <w:p w14:paraId="0541A453" w14:textId="0098BE3A" w:rsidR="00C81BEF" w:rsidRPr="001E1AE5" w:rsidRDefault="002A4CB1" w:rsidP="00E52DC4">
      <w:pPr>
        <w:pStyle w:val="Prrafo"/>
        <w:rPr>
          <w:rStyle w:val="ParticipanteCar"/>
          <w:rFonts w:eastAsiaTheme="majorEastAsia" w:cs="Arial"/>
          <w:b/>
          <w:color w:val="auto"/>
          <w:sz w:val="24"/>
          <w:szCs w:val="32"/>
          <w:lang w:val="es-EC"/>
        </w:rPr>
      </w:pPr>
      <w:r w:rsidRPr="002A4CB1">
        <w:t>Resulta preferible el uso del enfoque FAC y no el LRIC+ dada la dependencia en la información proporcionada por el AEP</w:t>
      </w:r>
      <w:r>
        <w:t>T</w:t>
      </w:r>
      <w:r w:rsidRPr="002A4CB1">
        <w:t xml:space="preserve">, la cual es </w:t>
      </w:r>
      <w:r>
        <w:t>compleja de</w:t>
      </w:r>
      <w:r w:rsidRPr="002A4CB1">
        <w:t xml:space="preserve"> verificar que se </w:t>
      </w:r>
      <w:r>
        <w:t>a</w:t>
      </w:r>
      <w:r w:rsidRPr="002A4CB1">
        <w:t>decuada y confiable</w:t>
      </w:r>
      <w:r w:rsidR="00C81BEF">
        <w:t>.</w:t>
      </w:r>
      <w:r w:rsidR="00C81BEF" w:rsidRPr="005D13FA">
        <w:rPr>
          <w:rStyle w:val="PrrafoCar"/>
        </w:rPr>
        <w:t xml:space="preserve"> </w:t>
      </w:r>
      <w:r w:rsidR="00C81BEF" w:rsidRPr="007F0299">
        <w:rPr>
          <w:rStyle w:val="ParticipanteCar"/>
        </w:rPr>
        <w:t>(</w:t>
      </w:r>
      <w:r w:rsidR="003C74DF">
        <w:rPr>
          <w:rStyle w:val="ParticipanteCar"/>
        </w:rPr>
        <w:t>Megacable</w:t>
      </w:r>
      <w:r w:rsidR="00C81BEF" w:rsidRPr="007F0299">
        <w:rPr>
          <w:rStyle w:val="ParticipanteCar"/>
        </w:rPr>
        <w:t>)</w:t>
      </w:r>
    </w:p>
    <w:p w14:paraId="4249C411" w14:textId="77777777" w:rsidR="00C81BEF" w:rsidRPr="0055532A" w:rsidRDefault="00C81BEF" w:rsidP="005F4343">
      <w:pPr>
        <w:pStyle w:val="Ttulo3"/>
      </w:pPr>
      <w:r>
        <w:t>Consideraciones del Instituto</w:t>
      </w:r>
    </w:p>
    <w:p w14:paraId="5838C968" w14:textId="16FC469C" w:rsidR="002A4CB1" w:rsidRDefault="004C7621" w:rsidP="002A4CB1">
      <w:pPr>
        <w:pStyle w:val="Prrafo"/>
      </w:pPr>
      <w:r>
        <w:t>Se precisa que e</w:t>
      </w:r>
      <w:r w:rsidR="003C74DF" w:rsidRPr="003C74DF">
        <w:t>l uso del</w:t>
      </w:r>
      <w:r w:rsidR="002A4CB1">
        <w:t xml:space="preserve"> enfoque FAC parte de la información del AEPT y el LRIC+ considera la modelación de una red para determinar los costos a emplear.</w:t>
      </w:r>
    </w:p>
    <w:p w14:paraId="672D8DB9" w14:textId="0C761900" w:rsidR="002A4CB1" w:rsidRDefault="002A4CB1" w:rsidP="002A4CB1">
      <w:pPr>
        <w:pStyle w:val="Prrafo"/>
      </w:pPr>
      <w:r>
        <w:t>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68DF3463" w14:textId="77777777" w:rsidR="00C81BEF" w:rsidRPr="00DC0FE6" w:rsidRDefault="00C81BEF" w:rsidP="00C81BEF">
      <w:pPr>
        <w:pStyle w:val="Ttulo1"/>
        <w:ind w:left="426"/>
        <w:rPr>
          <w:rStyle w:val="Ttulo1Car"/>
        </w:rPr>
      </w:pPr>
      <w:r>
        <w:t>Nivel de agregación</w:t>
      </w:r>
    </w:p>
    <w:p w14:paraId="55E9AE41" w14:textId="70FB05DA" w:rsidR="00C81BEF" w:rsidRDefault="000A4831" w:rsidP="00C81BEF">
      <w:pPr>
        <w:pStyle w:val="Segmento"/>
      </w:pPr>
      <w:r w:rsidRPr="000A4831">
        <w:rPr>
          <w:lang w:val="es-MX"/>
        </w:rPr>
        <w:t>Evaluar oferta por oferta ex post</w:t>
      </w:r>
    </w:p>
    <w:p w14:paraId="00CED553" w14:textId="230AE2CE" w:rsidR="00C81BEF" w:rsidRPr="001E1AE5" w:rsidRDefault="0054255F" w:rsidP="00E52DC4">
      <w:pPr>
        <w:pStyle w:val="Prrafo"/>
        <w:rPr>
          <w:rStyle w:val="ParticipanteCar"/>
          <w:rFonts w:eastAsiaTheme="majorEastAsia" w:cs="Arial"/>
          <w:b/>
          <w:color w:val="auto"/>
          <w:sz w:val="24"/>
          <w:szCs w:val="32"/>
          <w:lang w:val="es-EC"/>
        </w:rPr>
      </w:pPr>
      <w:r>
        <w:t>E</w:t>
      </w:r>
      <w:r w:rsidRPr="0054255F">
        <w:t>s recomendable mantener para el análisis de replicabilidad ex post una cartera para todas las ofertas y a su vez analizar de manera individual esas ofertas insignia. De excluir algunas ofertas no principales se podría</w:t>
      </w:r>
      <w:r w:rsidR="00F57F18">
        <w:t>n</w:t>
      </w:r>
      <w:r w:rsidRPr="0054255F">
        <w:t xml:space="preserve"> perder de vista posibles estrechamientos de márgenes en nichos o segmentos de mercado en desarrollo o importantes para la dinámica competitiva</w:t>
      </w:r>
      <w:r w:rsidR="00C81BEF">
        <w:t>.</w:t>
      </w:r>
      <w:r w:rsidR="00C81BEF" w:rsidRPr="005D13FA">
        <w:rPr>
          <w:rStyle w:val="PrrafoCar"/>
        </w:rPr>
        <w:t xml:space="preserve"> </w:t>
      </w:r>
      <w:r w:rsidR="00C81BEF" w:rsidRPr="007F0299">
        <w:rPr>
          <w:rStyle w:val="ParticipanteCar"/>
        </w:rPr>
        <w:t>(</w:t>
      </w:r>
      <w:r w:rsidR="000A4831" w:rsidRPr="000A4831">
        <w:rPr>
          <w:rFonts w:eastAsia="Calibri" w:cs="Arial"/>
          <w:color w:val="C45911" w:themeColor="accent2" w:themeShade="BF"/>
          <w:lang w:val="es-ES_tradnl"/>
        </w:rPr>
        <w:t>Axtel, Metrored-Operbes, Megacable</w:t>
      </w:r>
      <w:r w:rsidR="00C81BEF" w:rsidRPr="007F0299">
        <w:rPr>
          <w:rStyle w:val="ParticipanteCar"/>
        </w:rPr>
        <w:t>)</w:t>
      </w:r>
    </w:p>
    <w:p w14:paraId="19DA7F3C" w14:textId="77777777" w:rsidR="00C81BEF" w:rsidRPr="0055532A" w:rsidRDefault="00C81BEF" w:rsidP="005F4343">
      <w:pPr>
        <w:pStyle w:val="Ttulo3"/>
      </w:pPr>
      <w:r>
        <w:t>Consideraciones del Instituto</w:t>
      </w:r>
    </w:p>
    <w:p w14:paraId="2644482D" w14:textId="10DC499B" w:rsidR="00E10F7C" w:rsidRDefault="00E10F7C" w:rsidP="00E10F7C">
      <w:pPr>
        <w:pStyle w:val="Prrafo"/>
      </w:pPr>
      <w:r>
        <w:t xml:space="preserve">Debe tenerse en cuenta que la aplicación de las pruebas ex post funciona de manera complementaria </w:t>
      </w:r>
      <w:r w:rsidR="00F57F18">
        <w:t xml:space="preserve">a </w:t>
      </w:r>
      <w:r>
        <w:t>la aplicación de las pruebas ex ante.</w:t>
      </w:r>
    </w:p>
    <w:p w14:paraId="2491B879" w14:textId="77777777" w:rsidR="00E10F7C" w:rsidRPr="00B33C71" w:rsidRDefault="00E10F7C" w:rsidP="00E10F7C">
      <w:pPr>
        <w:pStyle w:val="Prrafo"/>
        <w:rPr>
          <w:rStyle w:val="ParticipanteCar"/>
          <w:color w:val="auto"/>
        </w:rPr>
      </w:pPr>
      <w:r>
        <w:lastRenderedPageBreak/>
        <w:t>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6E4FEF78" w14:textId="7FCF40C4" w:rsidR="00C81BEF" w:rsidRPr="001E1AE5" w:rsidRDefault="00C81BEF" w:rsidP="00E52DC4">
      <w:pPr>
        <w:pStyle w:val="Prrafo"/>
        <w:rPr>
          <w:rStyle w:val="ParticipanteCar"/>
          <w:color w:val="auto"/>
        </w:rPr>
      </w:pPr>
    </w:p>
    <w:p w14:paraId="121F6A28" w14:textId="77777777" w:rsidR="00C81BEF" w:rsidRPr="00DC0FE6" w:rsidRDefault="00C81BEF" w:rsidP="00C81BEF">
      <w:pPr>
        <w:pStyle w:val="Ttulo1"/>
        <w:ind w:left="426"/>
      </w:pPr>
      <w:r w:rsidRPr="001E292A">
        <w:t>Tratamiento del segmento empresarial</w:t>
      </w:r>
    </w:p>
    <w:p w14:paraId="5A38446A" w14:textId="147664D7" w:rsidR="00C81BEF" w:rsidRDefault="0000021E" w:rsidP="00C81BEF">
      <w:pPr>
        <w:pStyle w:val="Segmento"/>
      </w:pPr>
      <w:r w:rsidRPr="0000021E">
        <w:rPr>
          <w:lang w:val="es-MX"/>
        </w:rPr>
        <w:t>Evaluar las ofertas con montos elevados (sean estandarizadas o no)</w:t>
      </w:r>
    </w:p>
    <w:p w14:paraId="3BA58614" w14:textId="5CB16BD7" w:rsidR="00C81BEF" w:rsidRPr="001E1AE5" w:rsidRDefault="005600DA" w:rsidP="00E52DC4">
      <w:pPr>
        <w:pStyle w:val="Prrafo"/>
        <w:rPr>
          <w:rStyle w:val="ParticipanteCar"/>
          <w:rFonts w:eastAsiaTheme="majorEastAsia" w:cs="Arial"/>
          <w:b/>
          <w:color w:val="auto"/>
          <w:sz w:val="24"/>
          <w:szCs w:val="32"/>
          <w:lang w:val="es-EC"/>
        </w:rPr>
      </w:pPr>
      <w:r>
        <w:t>Analizar o</w:t>
      </w:r>
      <w:r w:rsidRPr="005600DA">
        <w:t>fertas estandarizadas y aquellas, estandarizadas o no, cuyo monto sea superior a cierto umbral</w:t>
      </w:r>
      <w:r>
        <w:t xml:space="preserve">. </w:t>
      </w:r>
      <w:r w:rsidR="00C81BEF" w:rsidRPr="007F0299">
        <w:rPr>
          <w:rStyle w:val="ParticipanteCar"/>
        </w:rPr>
        <w:t>(</w:t>
      </w:r>
      <w:r w:rsidR="0000021E" w:rsidRPr="0000021E">
        <w:rPr>
          <w:rFonts w:eastAsia="Calibri" w:cs="Arial"/>
          <w:color w:val="C45911" w:themeColor="accent2" w:themeShade="BF"/>
          <w:lang w:val="es-ES_tradnl"/>
        </w:rPr>
        <w:t>Megacable, Axtel</w:t>
      </w:r>
      <w:r w:rsidR="00C81BEF" w:rsidRPr="007F0299">
        <w:rPr>
          <w:rStyle w:val="ParticipanteCar"/>
        </w:rPr>
        <w:t>)</w:t>
      </w:r>
    </w:p>
    <w:p w14:paraId="58157280" w14:textId="77777777" w:rsidR="00C81BEF" w:rsidRPr="0055532A" w:rsidRDefault="00C81BEF" w:rsidP="005F4343">
      <w:pPr>
        <w:pStyle w:val="Ttulo3"/>
      </w:pPr>
      <w:r>
        <w:t>Consideraciones del Instituto</w:t>
      </w:r>
    </w:p>
    <w:p w14:paraId="36A93DEF" w14:textId="32831453" w:rsidR="005600DA" w:rsidRDefault="00CB62ED" w:rsidP="00E52DC4">
      <w:pPr>
        <w:pStyle w:val="Prrafo"/>
      </w:pPr>
      <w:r>
        <w:t>Se precisa que, en lo respectivo a</w:t>
      </w:r>
      <w:r w:rsidR="0000021E" w:rsidRPr="0000021E">
        <w:t xml:space="preserve"> las ofertas empresariales estandarizadas, </w:t>
      </w:r>
      <w:r w:rsidR="00E210D3">
        <w:t xml:space="preserve">estas </w:t>
      </w:r>
      <w:r w:rsidR="0000021E" w:rsidRPr="0000021E">
        <w:t>están incluidas en la</w:t>
      </w:r>
      <w:r w:rsidR="00E210D3">
        <w:t>s</w:t>
      </w:r>
      <w:r w:rsidR="0000021E" w:rsidRPr="0000021E">
        <w:t xml:space="preserve"> prueba</w:t>
      </w:r>
      <w:r w:rsidR="00E210D3">
        <w:t>s en términos de la metodología del Acuerdo P/IFT/120917/54</w:t>
      </w:r>
      <w:r w:rsidR="00E96D7B">
        <w:t>9</w:t>
      </w:r>
      <w:r w:rsidR="00E210D3">
        <w:t xml:space="preserve"> y en la propuesta que se sometió a consulta pública</w:t>
      </w:r>
      <w:r w:rsidR="0000021E" w:rsidRPr="0000021E">
        <w:t>.</w:t>
      </w:r>
    </w:p>
    <w:p w14:paraId="53A0964A" w14:textId="77777777" w:rsidR="005600DA" w:rsidRPr="00B33C71" w:rsidRDefault="005600DA" w:rsidP="00E52DC4">
      <w:pPr>
        <w:pStyle w:val="Prrafo"/>
        <w:rPr>
          <w:rStyle w:val="ParticipanteCar"/>
          <w:color w:val="auto"/>
        </w:rPr>
      </w:pPr>
      <w:r>
        <w:t>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432A048C" w14:textId="77777777" w:rsidR="005600DA" w:rsidRDefault="005600DA" w:rsidP="00E52DC4">
      <w:pPr>
        <w:pStyle w:val="Bullet"/>
        <w:numPr>
          <w:ilvl w:val="0"/>
          <w:numId w:val="0"/>
        </w:numPr>
        <w:ind w:left="720"/>
      </w:pPr>
    </w:p>
    <w:p w14:paraId="499815EE" w14:textId="77777777" w:rsidR="00C81BEF" w:rsidRPr="00DC0FE6" w:rsidRDefault="00C81BEF" w:rsidP="00790847">
      <w:pPr>
        <w:pStyle w:val="Ttulo1"/>
        <w:ind w:left="426"/>
      </w:pPr>
      <w:r w:rsidRPr="004B0D37">
        <w:t>Precio de los insumos mayoristas</w:t>
      </w:r>
    </w:p>
    <w:p w14:paraId="6A8E2047" w14:textId="0C5E7E0D" w:rsidR="00C81BEF" w:rsidRDefault="00A406CE" w:rsidP="00C81BEF">
      <w:pPr>
        <w:pStyle w:val="Segmento"/>
      </w:pPr>
      <w:r w:rsidRPr="00A406CE">
        <w:rPr>
          <w:lang w:val="es-MX"/>
        </w:rPr>
        <w:t>Reflejar en la prueba la diferenciación de precios mayoristas</w:t>
      </w:r>
    </w:p>
    <w:p w14:paraId="6979354F" w14:textId="2E27A8EB" w:rsidR="00C81BEF" w:rsidRPr="001E1AE5" w:rsidRDefault="00D475B5" w:rsidP="00E52DC4">
      <w:pPr>
        <w:pStyle w:val="Prrafo"/>
        <w:rPr>
          <w:rStyle w:val="ParticipanteCar"/>
          <w:rFonts w:eastAsiaTheme="majorEastAsia" w:cs="Arial"/>
          <w:b/>
          <w:color w:val="auto"/>
          <w:sz w:val="24"/>
          <w:szCs w:val="32"/>
          <w:lang w:val="es-EC"/>
        </w:rPr>
      </w:pPr>
      <w:r>
        <w:t>La prueba para el servicio mayorista del SAIB debe considerar la diferenciación geográfica que determinó el Instituto</w:t>
      </w:r>
      <w:r w:rsidR="00C81BEF">
        <w:t>.</w:t>
      </w:r>
      <w:r w:rsidR="00C81BEF" w:rsidRPr="005D13FA">
        <w:rPr>
          <w:rStyle w:val="PrrafoCar"/>
        </w:rPr>
        <w:t xml:space="preserve"> </w:t>
      </w:r>
      <w:r w:rsidR="00C81BEF" w:rsidRPr="007F0299">
        <w:rPr>
          <w:rStyle w:val="ParticipanteCar"/>
        </w:rPr>
        <w:t>(</w:t>
      </w:r>
      <w:r w:rsidR="00A406CE">
        <w:rPr>
          <w:rStyle w:val="ParticipanteCar"/>
        </w:rPr>
        <w:t>Telefónica</w:t>
      </w:r>
      <w:r w:rsidR="00C81BEF" w:rsidRPr="007F0299">
        <w:rPr>
          <w:rStyle w:val="ParticipanteCar"/>
        </w:rPr>
        <w:t>)</w:t>
      </w:r>
    </w:p>
    <w:p w14:paraId="69FEF8A7" w14:textId="77777777" w:rsidR="00C81BEF" w:rsidRPr="0055532A" w:rsidRDefault="00C81BEF" w:rsidP="005F4343">
      <w:pPr>
        <w:pStyle w:val="Ttulo3"/>
      </w:pPr>
      <w:r>
        <w:t>Consideraciones del Instituto</w:t>
      </w:r>
    </w:p>
    <w:p w14:paraId="75962084" w14:textId="169752AA" w:rsidR="00C81BEF" w:rsidRPr="001E1AE5" w:rsidRDefault="00D475B5" w:rsidP="00E52DC4">
      <w:pPr>
        <w:pStyle w:val="Prrafo"/>
        <w:rPr>
          <w:rStyle w:val="ParticipanteCar"/>
          <w:rFonts w:eastAsiaTheme="majorEastAsia" w:cstheme="majorBidi"/>
          <w:b/>
          <w:color w:val="auto"/>
          <w:sz w:val="24"/>
          <w:szCs w:val="24"/>
          <w:lang w:val="es-EC"/>
        </w:rPr>
      </w:pPr>
      <w:r>
        <w:t>Las manifestaciones se analizaron como parte del proyecto de modificación a la metodología, términos y condiciones para llevar a cabo la prueba de replicabilidad económica, a fin de que esta permita evitar prácticas de estrechamiento de márgenes</w:t>
      </w:r>
      <w:r w:rsidR="00432712">
        <w:t>.</w:t>
      </w:r>
      <w:r w:rsidR="00A406CE">
        <w:rPr>
          <w:rStyle w:val="BulletCar"/>
        </w:rPr>
        <w:t xml:space="preserve"> </w:t>
      </w:r>
    </w:p>
    <w:p w14:paraId="4B5E0D65" w14:textId="77777777" w:rsidR="00C81BEF" w:rsidRDefault="00C81BEF" w:rsidP="00C81BEF">
      <w:pPr>
        <w:pStyle w:val="Ttulo1"/>
        <w:ind w:left="426"/>
      </w:pPr>
      <w:r w:rsidRPr="00EF4F9D">
        <w:t>Tratamiento de las promoc</w:t>
      </w:r>
      <w:r>
        <w:t>iones</w:t>
      </w:r>
    </w:p>
    <w:p w14:paraId="7234BF6B" w14:textId="1D0B3FDA" w:rsidR="00C81BEF" w:rsidRDefault="00CF6C06" w:rsidP="00C81BEF">
      <w:pPr>
        <w:pStyle w:val="Segmento"/>
      </w:pPr>
      <w:r w:rsidRPr="00CF6C06">
        <w:rPr>
          <w:lang w:val="es-MX"/>
        </w:rPr>
        <w:t>Evaluación ex ante además de ex post</w:t>
      </w:r>
    </w:p>
    <w:p w14:paraId="6CA06301" w14:textId="4AB7868F" w:rsidR="00C81BEF" w:rsidRPr="001E1AE5" w:rsidRDefault="00D475B5" w:rsidP="00E52DC4">
      <w:pPr>
        <w:pStyle w:val="Prrafo"/>
        <w:rPr>
          <w:rStyle w:val="ParticipanteCar"/>
          <w:rFonts w:eastAsiaTheme="majorEastAsia" w:cs="Arial"/>
          <w:b/>
          <w:color w:val="auto"/>
          <w:sz w:val="24"/>
          <w:szCs w:val="32"/>
          <w:lang w:val="es-EC"/>
        </w:rPr>
      </w:pPr>
      <w:r w:rsidRPr="00D475B5">
        <w:t>Las promociones se deben considerar tanto ex ante como ex post</w:t>
      </w:r>
      <w:r w:rsidR="00C81BEF">
        <w:t>.</w:t>
      </w:r>
      <w:r>
        <w:t xml:space="preserve"> </w:t>
      </w:r>
      <w:r w:rsidRPr="00D475B5">
        <w:t xml:space="preserve">De solo analizarse ex post, se le da oportunidad al </w:t>
      </w:r>
      <w:r w:rsidR="006029DF">
        <w:t>AEPT</w:t>
      </w:r>
      <w:r w:rsidRPr="00D475B5">
        <w:t xml:space="preserve"> de llevar a cabo comportamientos oportunistas, sobre todo si se mantienen la periodicidad del análisis ex post de manera semestral</w:t>
      </w:r>
      <w:r w:rsidR="00C81BEF" w:rsidRPr="005D13FA">
        <w:rPr>
          <w:rStyle w:val="PrrafoCar"/>
        </w:rPr>
        <w:t xml:space="preserve"> </w:t>
      </w:r>
      <w:r w:rsidR="00C81BEF" w:rsidRPr="007F0299">
        <w:rPr>
          <w:rStyle w:val="ParticipanteCar"/>
        </w:rPr>
        <w:t>(</w:t>
      </w:r>
      <w:r w:rsidR="00CF6C06" w:rsidRPr="00CF6C06">
        <w:rPr>
          <w:rFonts w:eastAsia="Calibri" w:cs="Arial"/>
          <w:color w:val="C45911" w:themeColor="accent2" w:themeShade="BF"/>
          <w:lang w:val="es-ES_tradnl"/>
        </w:rPr>
        <w:t>Megacable, Axtel</w:t>
      </w:r>
      <w:r w:rsidR="00C81BEF" w:rsidRPr="007F0299">
        <w:rPr>
          <w:rStyle w:val="ParticipanteCar"/>
        </w:rPr>
        <w:t>)</w:t>
      </w:r>
    </w:p>
    <w:p w14:paraId="6003165F" w14:textId="77777777" w:rsidR="00C81BEF" w:rsidRPr="0055532A" w:rsidRDefault="00C81BEF" w:rsidP="005F4343">
      <w:pPr>
        <w:pStyle w:val="Ttulo3"/>
      </w:pPr>
      <w:r>
        <w:lastRenderedPageBreak/>
        <w:t>Consideraciones del Instituto</w:t>
      </w:r>
    </w:p>
    <w:p w14:paraId="4B692E72" w14:textId="459CD2DD" w:rsidR="00D475B5" w:rsidRDefault="00D475B5" w:rsidP="00D475B5">
      <w:pPr>
        <w:pStyle w:val="Prrafo"/>
      </w:pPr>
      <w:r>
        <w:t xml:space="preserve">Debe tenerse en cuenta que la aplicación de las pruebas ex post funciona de manera complementaria </w:t>
      </w:r>
      <w:r w:rsidR="00F57F18">
        <w:t xml:space="preserve">a </w:t>
      </w:r>
      <w:r>
        <w:t>la aplicación de las pruebas ex ante.</w:t>
      </w:r>
    </w:p>
    <w:p w14:paraId="717E21D6" w14:textId="02AD3EA9" w:rsidR="00C81BEF" w:rsidRPr="0037575E" w:rsidRDefault="00D475B5" w:rsidP="00E52DC4">
      <w:pPr>
        <w:pStyle w:val="Prrafo"/>
        <w:rPr>
          <w:rStyle w:val="ParticipanteCar"/>
          <w:color w:val="auto"/>
        </w:rPr>
      </w:pPr>
      <w:r>
        <w:t>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0644118B" w14:textId="77777777" w:rsidR="00C81BEF" w:rsidRDefault="00C81BEF" w:rsidP="00790847">
      <w:pPr>
        <w:pStyle w:val="Ttulo1"/>
        <w:ind w:left="426"/>
      </w:pPr>
      <w:r w:rsidRPr="00EF4F9D">
        <w:t>Tratamiento de las ofertas empaquetadas</w:t>
      </w:r>
    </w:p>
    <w:p w14:paraId="7C61B9C4" w14:textId="79C5EF04" w:rsidR="00C81BEF" w:rsidRPr="00F23A10" w:rsidRDefault="00F23A10" w:rsidP="00C81BEF">
      <w:pPr>
        <w:pStyle w:val="Segmento"/>
        <w:rPr>
          <w:lang w:val="es-MX"/>
        </w:rPr>
      </w:pPr>
      <w:r w:rsidRPr="00F23A10">
        <w:rPr>
          <w:lang w:val="es-MX"/>
        </w:rPr>
        <w:t xml:space="preserve">Evaluar el precio implícito </w:t>
      </w:r>
    </w:p>
    <w:p w14:paraId="4C207DDA" w14:textId="6502DE05" w:rsidR="00C81BEF" w:rsidRDefault="009851D9" w:rsidP="009851D9">
      <w:pPr>
        <w:pStyle w:val="Prrafo"/>
        <w:rPr>
          <w:rStyle w:val="ParticipanteCar"/>
        </w:rPr>
      </w:pPr>
      <w:r w:rsidRPr="009851D9">
        <w:t>Se recomienda evaluar la replicabilidad del paquete en su conjunto y del precio implícito de cada servicio del paquete</w:t>
      </w:r>
      <w:r w:rsidR="00F57F18">
        <w:t>,</w:t>
      </w:r>
      <w:r w:rsidR="00C81BEF" w:rsidRPr="005D13FA">
        <w:rPr>
          <w:rStyle w:val="PrrafoCar"/>
        </w:rPr>
        <w:t xml:space="preserve"> </w:t>
      </w:r>
      <w:r w:rsidR="00F57F18">
        <w:rPr>
          <w:rStyle w:val="PrrafoCar"/>
        </w:rPr>
        <w:t>así como</w:t>
      </w:r>
      <w:r>
        <w:rPr>
          <w:rStyle w:val="PrrafoCar"/>
        </w:rPr>
        <w:t xml:space="preserve"> </w:t>
      </w:r>
      <w:r w:rsidR="00F57F18">
        <w:rPr>
          <w:rStyle w:val="ParticipanteCar"/>
          <w:color w:val="auto"/>
        </w:rPr>
        <w:t>i</w:t>
      </w:r>
      <w:r w:rsidRPr="009851D9">
        <w:rPr>
          <w:rStyle w:val="ParticipanteCar"/>
          <w:color w:val="auto"/>
        </w:rPr>
        <w:t>ncluir otros servicios como OTTs audiovisuales</w:t>
      </w:r>
      <w:r>
        <w:rPr>
          <w:rStyle w:val="ParticipanteCar"/>
          <w:color w:val="auto"/>
        </w:rPr>
        <w:t xml:space="preserve">. </w:t>
      </w:r>
      <w:r w:rsidR="00C81BEF" w:rsidRPr="007F0299">
        <w:rPr>
          <w:rStyle w:val="ParticipanteCar"/>
        </w:rPr>
        <w:t>(</w:t>
      </w:r>
      <w:r w:rsidR="00F23A10">
        <w:rPr>
          <w:rStyle w:val="ParticipanteCar"/>
        </w:rPr>
        <w:t>Axtel</w:t>
      </w:r>
      <w:r w:rsidR="00C81BEF" w:rsidRPr="007F0299">
        <w:rPr>
          <w:rStyle w:val="ParticipanteCar"/>
        </w:rPr>
        <w:t>)</w:t>
      </w:r>
    </w:p>
    <w:p w14:paraId="1588F288" w14:textId="77777777" w:rsidR="00C81BEF" w:rsidRPr="0055532A" w:rsidRDefault="00C81BEF" w:rsidP="005F4343">
      <w:pPr>
        <w:pStyle w:val="Ttulo3"/>
      </w:pPr>
      <w:r>
        <w:t>Consideraciones del Instituto</w:t>
      </w:r>
    </w:p>
    <w:p w14:paraId="41CD192F" w14:textId="3A05C337" w:rsidR="00C81BEF" w:rsidRDefault="008C0A24" w:rsidP="009851D9">
      <w:pPr>
        <w:pStyle w:val="Prrafo"/>
        <w:rPr>
          <w:rStyle w:val="BulletCar"/>
        </w:rPr>
      </w:pPr>
      <w:r>
        <w:t xml:space="preserve">Debe tenerse en cuenta que la aplicación de las pruebas ex post funciona de manera complementaria </w:t>
      </w:r>
      <w:r w:rsidR="00F57F18">
        <w:t xml:space="preserve">a </w:t>
      </w:r>
      <w:r>
        <w:t>la aplicación de las pruebas ex ante y que tanto las pruebas</w:t>
      </w:r>
      <w:r w:rsidR="008A3B81">
        <w:t xml:space="preserve"> en términos de la metodología del Acuerdo P/IFT/120917/549</w:t>
      </w:r>
      <w:r>
        <w:t xml:space="preserve"> como la propuesta de actualización sometida a consulta pública considera la evaluación de ofertas que se comercializan de manera empaquetada con servicios OTT</w:t>
      </w:r>
      <w:r w:rsidR="00C81BEF">
        <w:rPr>
          <w:rStyle w:val="BulletCar"/>
        </w:rPr>
        <w:t>.</w:t>
      </w:r>
      <w:r w:rsidR="00F23A10">
        <w:rPr>
          <w:rStyle w:val="BulletCar"/>
        </w:rPr>
        <w:t xml:space="preserve"> </w:t>
      </w:r>
    </w:p>
    <w:p w14:paraId="2941449B" w14:textId="3E5BE4C9" w:rsidR="008C0A24" w:rsidRPr="001E1AE5" w:rsidRDefault="008C0A24" w:rsidP="00E52DC4">
      <w:pPr>
        <w:pStyle w:val="Prrafo"/>
        <w:rPr>
          <w:rStyle w:val="ParticipanteCar"/>
          <w:color w:val="auto"/>
        </w:rPr>
      </w:pPr>
      <w:r>
        <w:t>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1E8AB358" w14:textId="01EB2769" w:rsidR="00552272" w:rsidRPr="00552272" w:rsidRDefault="001A16F3" w:rsidP="001B67DB">
      <w:pPr>
        <w:pStyle w:val="Ttulo1"/>
        <w:numPr>
          <w:ilvl w:val="0"/>
          <w:numId w:val="0"/>
        </w:numPr>
        <w:ind w:left="142"/>
      </w:pPr>
      <w:bookmarkStart w:id="7" w:name="_Toc23506685"/>
      <w:r>
        <w:t xml:space="preserve">PRUEBA </w:t>
      </w:r>
      <w:r w:rsidR="00392D46">
        <w:t xml:space="preserve">SERVICIOS </w:t>
      </w:r>
      <w:r>
        <w:t>ENLACES DEDICADOS</w:t>
      </w:r>
    </w:p>
    <w:bookmarkEnd w:id="7"/>
    <w:p w14:paraId="298735E0" w14:textId="77777777" w:rsidR="00DD11D0" w:rsidRPr="00DC0FE6" w:rsidRDefault="00DD11D0" w:rsidP="00414382">
      <w:pPr>
        <w:pStyle w:val="Ttulo1"/>
        <w:numPr>
          <w:ilvl w:val="0"/>
          <w:numId w:val="6"/>
        </w:numPr>
        <w:ind w:left="426"/>
      </w:pPr>
      <w:r w:rsidRPr="001068A2">
        <w:t>Momento de aplicación</w:t>
      </w:r>
    </w:p>
    <w:p w14:paraId="432A89BF" w14:textId="556FB5C2" w:rsidR="00DD11D0" w:rsidRDefault="00007803" w:rsidP="00DD11D0">
      <w:pPr>
        <w:pStyle w:val="Segmento"/>
      </w:pPr>
      <w:r>
        <w:t>Aumentar frecuencia a 3 meses</w:t>
      </w:r>
    </w:p>
    <w:p w14:paraId="51F34724" w14:textId="50E09BFE" w:rsidR="00DD11D0" w:rsidRPr="00B33C71" w:rsidRDefault="006D0B42" w:rsidP="00E52DC4">
      <w:pPr>
        <w:pStyle w:val="Prrafo"/>
        <w:rPr>
          <w:rStyle w:val="ParticipanteCar"/>
          <w:rFonts w:eastAsiaTheme="majorEastAsia" w:cs="Arial"/>
          <w:b/>
          <w:color w:val="auto"/>
          <w:sz w:val="24"/>
          <w:szCs w:val="32"/>
          <w:lang w:val="es-EC"/>
        </w:rPr>
      </w:pPr>
      <w:r>
        <w:rPr>
          <w:rStyle w:val="PrrafoCar"/>
        </w:rPr>
        <w:t>Realizar la prueba e</w:t>
      </w:r>
      <w:r w:rsidRPr="006D0B42">
        <w:rPr>
          <w:rStyle w:val="PrrafoCar"/>
        </w:rPr>
        <w:t>x ante y ex post cada 3 meses</w:t>
      </w:r>
      <w:r>
        <w:rPr>
          <w:rStyle w:val="PrrafoCar"/>
        </w:rPr>
        <w:t xml:space="preserve">. </w:t>
      </w:r>
      <w:r w:rsidR="00DD11D0" w:rsidRPr="005D13FA">
        <w:rPr>
          <w:rStyle w:val="PrrafoCar"/>
        </w:rPr>
        <w:t xml:space="preserve"> </w:t>
      </w:r>
      <w:r w:rsidR="00DD11D0" w:rsidRPr="007F0299">
        <w:rPr>
          <w:rStyle w:val="ParticipanteCar"/>
        </w:rPr>
        <w:t>(</w:t>
      </w:r>
      <w:r w:rsidR="00007803">
        <w:rPr>
          <w:rStyle w:val="ParticipanteCar"/>
        </w:rPr>
        <w:t>Megacable</w:t>
      </w:r>
      <w:r w:rsidR="00DD11D0" w:rsidRPr="007F0299">
        <w:rPr>
          <w:rStyle w:val="ParticipanteCar"/>
        </w:rPr>
        <w:t>)</w:t>
      </w:r>
    </w:p>
    <w:p w14:paraId="7CFD1959" w14:textId="77777777" w:rsidR="00DD11D0" w:rsidRPr="0055532A" w:rsidRDefault="00DD11D0" w:rsidP="005F4343">
      <w:pPr>
        <w:pStyle w:val="Ttulo3"/>
      </w:pPr>
      <w:r>
        <w:t>Consideraciones del Instituto</w:t>
      </w:r>
    </w:p>
    <w:p w14:paraId="14C27368" w14:textId="73F9AB24" w:rsidR="00DD11D0" w:rsidRPr="00B33C71" w:rsidRDefault="006D0B42" w:rsidP="00E52DC4">
      <w:pPr>
        <w:pStyle w:val="Prrafo"/>
        <w:rPr>
          <w:rStyle w:val="ParticipanteCar"/>
          <w:rFonts w:eastAsiaTheme="majorEastAsia" w:cstheme="majorBidi"/>
          <w:b/>
          <w:color w:val="auto"/>
          <w:sz w:val="24"/>
          <w:szCs w:val="24"/>
          <w:lang w:val="es-EC"/>
        </w:rPr>
      </w:pPr>
      <w:r>
        <w:t>Las manifestaciones se analizaron como parte del proyecto de modificación a la metodología, términos y condiciones para llevar a cabo la prueba de replicabilidad económica, a fin de que esta permita evitar prácticas de estrechamiento de márgenes</w:t>
      </w:r>
      <w:r w:rsidR="00DD11D0">
        <w:rPr>
          <w:rStyle w:val="BulletCar"/>
        </w:rPr>
        <w:t>.</w:t>
      </w:r>
      <w:r w:rsidR="00007803">
        <w:rPr>
          <w:rStyle w:val="BulletCar"/>
        </w:rPr>
        <w:t xml:space="preserve"> </w:t>
      </w:r>
    </w:p>
    <w:p w14:paraId="71D4084F" w14:textId="77777777" w:rsidR="00DD11D0" w:rsidRPr="00DC0FE6" w:rsidRDefault="00DD11D0" w:rsidP="00DD11D0">
      <w:pPr>
        <w:pStyle w:val="Ttulo1"/>
        <w:ind w:left="426"/>
      </w:pPr>
      <w:r>
        <w:lastRenderedPageBreak/>
        <w:t>Eficienci</w:t>
      </w:r>
      <w:r w:rsidRPr="00DC0FE6">
        <w:t>a</w:t>
      </w:r>
    </w:p>
    <w:p w14:paraId="6E4FA546" w14:textId="5713D562" w:rsidR="00DD11D0" w:rsidRDefault="00223DB5" w:rsidP="00DD11D0">
      <w:pPr>
        <w:pStyle w:val="Segmento"/>
      </w:pPr>
      <w:r>
        <w:t>Utilizar REO</w:t>
      </w:r>
    </w:p>
    <w:p w14:paraId="008461E6" w14:textId="2E042582" w:rsidR="00DD11D0" w:rsidRPr="001E1AE5" w:rsidRDefault="006D0B42" w:rsidP="00E52DC4">
      <w:pPr>
        <w:pStyle w:val="Prrafo"/>
        <w:rPr>
          <w:rStyle w:val="ParticipanteCar"/>
          <w:rFonts w:eastAsiaTheme="majorEastAsia" w:cs="Arial"/>
          <w:b/>
          <w:color w:val="auto"/>
          <w:sz w:val="24"/>
          <w:szCs w:val="32"/>
          <w:lang w:val="es-EC"/>
        </w:rPr>
      </w:pPr>
      <w:r w:rsidRPr="006D0B42">
        <w:t xml:space="preserve">Sigue existiendo gran diferencia en términos de escala, cobertura y capilaridad de la red del </w:t>
      </w:r>
      <w:r w:rsidR="006029DF">
        <w:t>AEPT</w:t>
      </w:r>
      <w:r w:rsidR="00DD11D0">
        <w:t>.</w:t>
      </w:r>
      <w:r>
        <w:t xml:space="preserve"> </w:t>
      </w:r>
      <w:r w:rsidRPr="006D0B42">
        <w:t>Por lo tanto, un enfoque de eficiencia que promueva un terreno parejo y la capacidad de competir sería el utilizar un enfoque SEO o incluso REO.</w:t>
      </w:r>
      <w:r w:rsidR="00DD11D0" w:rsidRPr="005D13FA">
        <w:rPr>
          <w:rStyle w:val="PrrafoCar"/>
        </w:rPr>
        <w:t xml:space="preserve"> </w:t>
      </w:r>
      <w:r w:rsidR="00DD11D0" w:rsidRPr="007F0299">
        <w:rPr>
          <w:rStyle w:val="ParticipanteCar"/>
        </w:rPr>
        <w:t>(</w:t>
      </w:r>
      <w:r w:rsidR="00223DB5" w:rsidRPr="00223DB5">
        <w:rPr>
          <w:rFonts w:eastAsia="Calibri" w:cs="Arial"/>
          <w:color w:val="C45911" w:themeColor="accent2" w:themeShade="BF"/>
          <w:lang w:val="es-ES_tradnl"/>
        </w:rPr>
        <w:t>Megacable, Cablevisión</w:t>
      </w:r>
      <w:r w:rsidR="00942CD4">
        <w:rPr>
          <w:rFonts w:eastAsia="Calibri" w:cs="Arial"/>
          <w:color w:val="C45911" w:themeColor="accent2" w:themeShade="BF"/>
          <w:lang w:val="es-ES_tradnl"/>
        </w:rPr>
        <w:t>,</w:t>
      </w:r>
      <w:r w:rsidR="00223DB5" w:rsidRPr="00223DB5">
        <w:rPr>
          <w:rFonts w:eastAsia="Calibri" w:cs="Arial"/>
          <w:color w:val="C45911" w:themeColor="accent2" w:themeShade="BF"/>
          <w:lang w:val="es-ES_tradnl"/>
        </w:rPr>
        <w:t xml:space="preserve"> Axtel</w:t>
      </w:r>
      <w:r w:rsidR="00DD11D0" w:rsidRPr="007F0299">
        <w:rPr>
          <w:rStyle w:val="ParticipanteCar"/>
        </w:rPr>
        <w:t>)</w:t>
      </w:r>
    </w:p>
    <w:p w14:paraId="71AC6495" w14:textId="77777777" w:rsidR="00DD11D0" w:rsidRPr="0055532A" w:rsidRDefault="00DD11D0" w:rsidP="005F4343">
      <w:pPr>
        <w:pStyle w:val="Ttulo3"/>
      </w:pPr>
      <w:r>
        <w:t>Consideraciones del Instituto</w:t>
      </w:r>
    </w:p>
    <w:p w14:paraId="7D9B9286" w14:textId="587CB98F" w:rsidR="00DD11D0" w:rsidRPr="001E1AE5" w:rsidRDefault="006D0B42" w:rsidP="00E52DC4">
      <w:pPr>
        <w:pStyle w:val="Prrafo"/>
        <w:rPr>
          <w:rStyle w:val="ParticipanteCar"/>
          <w:rFonts w:eastAsiaTheme="majorEastAsia" w:cstheme="majorBidi"/>
          <w:b/>
          <w:color w:val="auto"/>
          <w:sz w:val="24"/>
          <w:szCs w:val="24"/>
          <w:lang w:val="es-EC"/>
        </w:rPr>
      </w:pPr>
      <w:r>
        <w:t>Las manifestaciones se analizaron como parte del proyecto de modificación a la metodología, términos y condiciones para llevar a cabo la prueba de replicabilidad económica, a fin de que esta permita evitar prácticas de estrechamiento de márgenes</w:t>
      </w:r>
      <w:r w:rsidR="00223DB5" w:rsidRPr="00223DB5">
        <w:t xml:space="preserve">. </w:t>
      </w:r>
      <w:r w:rsidR="00223DB5" w:rsidRPr="00223DB5">
        <w:br/>
      </w:r>
      <w:r w:rsidR="00223DB5" w:rsidRPr="007F0299">
        <w:rPr>
          <w:rStyle w:val="ParticipanteCar"/>
        </w:rPr>
        <w:t>(</w:t>
      </w:r>
      <w:r w:rsidR="00223DB5" w:rsidRPr="00223DB5">
        <w:rPr>
          <w:rFonts w:eastAsia="Calibri" w:cs="Arial"/>
          <w:color w:val="C45911" w:themeColor="accent2" w:themeShade="BF"/>
          <w:lang w:val="es-ES_tradnl"/>
        </w:rPr>
        <w:t>Megacable, Cablevisión</w:t>
      </w:r>
      <w:r w:rsidR="00942CD4">
        <w:rPr>
          <w:rFonts w:eastAsia="Calibri" w:cs="Arial"/>
          <w:color w:val="C45911" w:themeColor="accent2" w:themeShade="BF"/>
          <w:lang w:val="es-ES_tradnl"/>
        </w:rPr>
        <w:t>,</w:t>
      </w:r>
      <w:r w:rsidR="00223DB5" w:rsidRPr="00223DB5">
        <w:rPr>
          <w:rFonts w:eastAsia="Calibri" w:cs="Arial"/>
          <w:color w:val="C45911" w:themeColor="accent2" w:themeShade="BF"/>
          <w:lang w:val="es-ES_tradnl"/>
        </w:rPr>
        <w:t xml:space="preserve"> Axtel</w:t>
      </w:r>
      <w:r w:rsidR="00223DB5" w:rsidRPr="007F0299">
        <w:rPr>
          <w:rStyle w:val="ParticipanteCar"/>
        </w:rPr>
        <w:t>)</w:t>
      </w:r>
    </w:p>
    <w:p w14:paraId="28AB08F4" w14:textId="77777777" w:rsidR="00DD11D0" w:rsidRPr="00DC0FE6" w:rsidRDefault="00DD11D0" w:rsidP="00DD11D0">
      <w:pPr>
        <w:pStyle w:val="Ttulo1"/>
        <w:ind w:left="426"/>
      </w:pPr>
      <w:r>
        <w:t>Estándar de costos</w:t>
      </w:r>
    </w:p>
    <w:p w14:paraId="4483328F" w14:textId="6D828E3F" w:rsidR="00DD11D0" w:rsidRDefault="00A25E38" w:rsidP="00DD11D0">
      <w:pPr>
        <w:pStyle w:val="Segmento"/>
      </w:pPr>
      <w:r>
        <w:rPr>
          <w:lang w:val="es-MX"/>
        </w:rPr>
        <w:t>Costos comunes</w:t>
      </w:r>
    </w:p>
    <w:p w14:paraId="78378172" w14:textId="26263AF7" w:rsidR="00DD11D0" w:rsidRPr="001E1AE5" w:rsidRDefault="00A25E38" w:rsidP="00E52DC4">
      <w:pPr>
        <w:pStyle w:val="Prrafo"/>
        <w:rPr>
          <w:rStyle w:val="ParticipanteCar"/>
          <w:rFonts w:eastAsiaTheme="majorEastAsia" w:cs="Arial"/>
          <w:b/>
          <w:color w:val="auto"/>
          <w:sz w:val="24"/>
          <w:szCs w:val="32"/>
          <w:lang w:val="es-EC"/>
        </w:rPr>
      </w:pPr>
      <w:r>
        <w:t>Es razonable que se permita la recuperación de costos comunes al AEPT a través de todos sus contratos. Se sugiere que se utilice el estándar para el cual se disponga de datos, ya sea LRAIC+ o FAC CCA.</w:t>
      </w:r>
      <w:r w:rsidR="00DD11D0" w:rsidRPr="005D13FA">
        <w:rPr>
          <w:rStyle w:val="PrrafoCar"/>
        </w:rPr>
        <w:t xml:space="preserve"> </w:t>
      </w:r>
      <w:r w:rsidR="00DD11D0" w:rsidRPr="007F0299">
        <w:rPr>
          <w:rStyle w:val="ParticipanteCar"/>
        </w:rPr>
        <w:t>(</w:t>
      </w:r>
      <w:r w:rsidR="00643FFD">
        <w:rPr>
          <w:rStyle w:val="ParticipanteCar"/>
        </w:rPr>
        <w:t>Cablevisión</w:t>
      </w:r>
      <w:r w:rsidR="00DD11D0" w:rsidRPr="007F0299">
        <w:rPr>
          <w:rStyle w:val="ParticipanteCar"/>
        </w:rPr>
        <w:t>)</w:t>
      </w:r>
    </w:p>
    <w:p w14:paraId="046DE908" w14:textId="77777777" w:rsidR="00DD11D0" w:rsidRPr="0055532A" w:rsidRDefault="00DD11D0" w:rsidP="005F4343">
      <w:pPr>
        <w:pStyle w:val="Ttulo3"/>
      </w:pPr>
      <w:r>
        <w:t>Consideraciones del Instituto</w:t>
      </w:r>
    </w:p>
    <w:p w14:paraId="079179B4" w14:textId="0AB0B96F" w:rsidR="00DD11D0" w:rsidRDefault="00A25E38" w:rsidP="00A25E38">
      <w:pPr>
        <w:pStyle w:val="Prrafo"/>
      </w:pPr>
      <w:r>
        <w:t xml:space="preserve">La metodología </w:t>
      </w:r>
      <w:r w:rsidR="00154FB2">
        <w:t xml:space="preserve">en términos del Acuerdo P/IFT/120917/549 </w:t>
      </w:r>
      <w:r>
        <w:t xml:space="preserve">y la propuesta de actualización que se sometió a consulta pública consideran la utilización de </w:t>
      </w:r>
      <w:r w:rsidRPr="00A25E38">
        <w:t>LRIC+ o FAC si LRIC+ no está disponible</w:t>
      </w:r>
      <w:r>
        <w:t>.</w:t>
      </w:r>
    </w:p>
    <w:p w14:paraId="180D7A2C" w14:textId="38695D62" w:rsidR="00A25E38" w:rsidRPr="001E1AE5" w:rsidRDefault="00A25E38" w:rsidP="00E52DC4">
      <w:pPr>
        <w:pStyle w:val="Prrafo"/>
        <w:rPr>
          <w:rStyle w:val="ParticipanteCar"/>
          <w:color w:val="auto"/>
        </w:rPr>
      </w:pPr>
      <w:r>
        <w:t>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10159293" w14:textId="77777777" w:rsidR="00DD11D0" w:rsidRPr="00DC0FE6" w:rsidRDefault="00DD11D0" w:rsidP="00DD11D0">
      <w:pPr>
        <w:pStyle w:val="Ttulo1"/>
        <w:ind w:left="426"/>
        <w:rPr>
          <w:rStyle w:val="Ttulo1Car"/>
        </w:rPr>
      </w:pPr>
      <w:r>
        <w:t>Nivel de agregación</w:t>
      </w:r>
    </w:p>
    <w:p w14:paraId="26A4DA76" w14:textId="031A086A" w:rsidR="00DD11D0" w:rsidRDefault="00D3472B" w:rsidP="00DD11D0">
      <w:pPr>
        <w:pStyle w:val="Segmento"/>
      </w:pPr>
      <w:r w:rsidRPr="00D3472B">
        <w:rPr>
          <w:lang w:val="es-MX"/>
        </w:rPr>
        <w:t>Segmentación por tecnología o capacidad</w:t>
      </w:r>
    </w:p>
    <w:p w14:paraId="1D5D982B" w14:textId="65A33D53" w:rsidR="00DD11D0" w:rsidRPr="00E52DC4" w:rsidRDefault="009705DE" w:rsidP="006C49A1">
      <w:pPr>
        <w:pStyle w:val="Bullet"/>
        <w:rPr>
          <w:rStyle w:val="ParticipanteCar"/>
          <w:color w:val="auto"/>
        </w:rPr>
      </w:pPr>
      <w:r w:rsidRPr="009705DE">
        <w:t xml:space="preserve">Agregar segmentación por capacidad. Se recomienda realizar las pruebas de replicabilidad considerando también la capacidad de los enlaces para analizar segmentos más acotados. </w:t>
      </w:r>
      <w:r>
        <w:t>Ello, puesto que</w:t>
      </w:r>
      <w:r w:rsidRPr="009705DE">
        <w:t xml:space="preserve"> al realizar una prueba englobando todas las capacidades no se detectaría el estrechamiento de márgenes en segmentos donde se tiene la mayor contratación de enlaces.</w:t>
      </w:r>
      <w:r w:rsidR="00DD11D0" w:rsidRPr="005D13FA">
        <w:rPr>
          <w:rStyle w:val="PrrafoCar"/>
        </w:rPr>
        <w:t xml:space="preserve"> </w:t>
      </w:r>
      <w:r w:rsidR="00DD11D0" w:rsidRPr="007F0299">
        <w:rPr>
          <w:rStyle w:val="ParticipanteCar"/>
        </w:rPr>
        <w:t>(</w:t>
      </w:r>
      <w:r w:rsidR="00D3472B" w:rsidRPr="00D3472B">
        <w:rPr>
          <w:rFonts w:eastAsia="Calibri" w:cs="Arial"/>
          <w:color w:val="C45911" w:themeColor="accent2" w:themeShade="BF"/>
          <w:lang w:val="es-ES_tradnl"/>
        </w:rPr>
        <w:t>Telefónica, AT&amp;T, Axtel</w:t>
      </w:r>
      <w:r w:rsidR="00DD11D0" w:rsidRPr="007F0299">
        <w:rPr>
          <w:rStyle w:val="ParticipanteCar"/>
        </w:rPr>
        <w:t>)</w:t>
      </w:r>
    </w:p>
    <w:p w14:paraId="76771627" w14:textId="09300334" w:rsidR="006C49A1" w:rsidRPr="001E1AE5" w:rsidRDefault="006C49A1" w:rsidP="00E52DC4">
      <w:pPr>
        <w:pStyle w:val="Bullet"/>
        <w:rPr>
          <w:rStyle w:val="ParticipanteCar"/>
          <w:color w:val="auto"/>
        </w:rPr>
      </w:pPr>
      <w:r w:rsidRPr="006C49A1">
        <w:rPr>
          <w:rStyle w:val="ParticipanteCar"/>
          <w:color w:val="auto"/>
        </w:rPr>
        <w:t xml:space="preserve">Analizar ofertas individuales, al menos aquellas consideradas "insignia". Se considera que la prueba es demasiado agregada, lo cual permite al </w:t>
      </w:r>
      <w:r w:rsidR="006029DF">
        <w:rPr>
          <w:rStyle w:val="ParticipanteCar"/>
          <w:color w:val="auto"/>
        </w:rPr>
        <w:t>AEPT</w:t>
      </w:r>
      <w:r w:rsidRPr="006C49A1">
        <w:rPr>
          <w:rStyle w:val="ParticipanteCar"/>
          <w:color w:val="auto"/>
        </w:rPr>
        <w:t xml:space="preserve"> realizar </w:t>
      </w:r>
      <w:r w:rsidRPr="006C49A1">
        <w:rPr>
          <w:rStyle w:val="ParticipanteCar"/>
          <w:color w:val="auto"/>
        </w:rPr>
        <w:lastRenderedPageBreak/>
        <w:t>subsidios cruzados o bien, esconder posibles estrechamientos de márgenes.</w:t>
      </w:r>
      <w:r>
        <w:rPr>
          <w:rStyle w:val="ParticipanteCar"/>
          <w:color w:val="auto"/>
        </w:rPr>
        <w:t xml:space="preserve"> </w:t>
      </w:r>
      <w:r w:rsidRPr="007F0299">
        <w:rPr>
          <w:rStyle w:val="ParticipanteCar"/>
        </w:rPr>
        <w:t>(</w:t>
      </w:r>
      <w:r w:rsidRPr="000F2AAF">
        <w:rPr>
          <w:rFonts w:eastAsia="Calibri" w:cs="Arial"/>
          <w:color w:val="C45911" w:themeColor="accent2" w:themeShade="BF"/>
          <w:lang w:val="es-ES_tradnl"/>
        </w:rPr>
        <w:t>Megacable</w:t>
      </w:r>
      <w:r>
        <w:rPr>
          <w:rFonts w:eastAsia="Calibri" w:cs="Arial"/>
          <w:color w:val="C45911" w:themeColor="accent2" w:themeShade="BF"/>
          <w:lang w:val="es-ES_tradnl"/>
        </w:rPr>
        <w:t>)</w:t>
      </w:r>
    </w:p>
    <w:p w14:paraId="2AA35F0C" w14:textId="77777777" w:rsidR="00DD11D0" w:rsidRPr="0055532A" w:rsidRDefault="00DD11D0" w:rsidP="005F4343">
      <w:pPr>
        <w:pStyle w:val="Ttulo3"/>
      </w:pPr>
      <w:r>
        <w:t>Consideraciones del Instituto</w:t>
      </w:r>
    </w:p>
    <w:p w14:paraId="0E3B6201" w14:textId="77777777" w:rsidR="009705DE" w:rsidRDefault="009705DE" w:rsidP="009705DE">
      <w:pPr>
        <w:pStyle w:val="Prrafo"/>
      </w:pPr>
      <w:r>
        <w:t>La propuesta de actualización que se sometió a consulta pública considera una desagregación por tecnología y capacidad.</w:t>
      </w:r>
    </w:p>
    <w:p w14:paraId="58821664" w14:textId="69BC46DF" w:rsidR="00DD11D0" w:rsidRPr="001E1AE5" w:rsidRDefault="009705DE" w:rsidP="00E52DC4">
      <w:pPr>
        <w:pStyle w:val="Prrafo"/>
        <w:rPr>
          <w:rStyle w:val="ParticipanteCar"/>
          <w:color w:val="auto"/>
        </w:rPr>
      </w:pPr>
      <w:r>
        <w:t>No obstante, las manifestaciones se analizaron como parte del proyecto de modificación a la metodología, términos y condiciones para llevar a cabo la prueba de replicabilidad económica, a fin de que esta permita evitar prácticas de estrechamiento de márgenes</w:t>
      </w:r>
      <w:r w:rsidR="00DD11D0">
        <w:rPr>
          <w:rStyle w:val="BulletCar"/>
        </w:rPr>
        <w:t>.</w:t>
      </w:r>
      <w:r w:rsidR="00D3472B">
        <w:rPr>
          <w:rStyle w:val="BulletCar"/>
        </w:rPr>
        <w:t xml:space="preserve"> </w:t>
      </w:r>
    </w:p>
    <w:p w14:paraId="5B83F3B4" w14:textId="77777777" w:rsidR="00DD11D0" w:rsidRPr="00DC0FE6" w:rsidRDefault="00DD11D0" w:rsidP="00DD11D0">
      <w:pPr>
        <w:pStyle w:val="Ttulo1"/>
        <w:ind w:left="426"/>
      </w:pPr>
      <w:r w:rsidRPr="001E292A">
        <w:t>Tratamiento del segmento empresarial</w:t>
      </w:r>
    </w:p>
    <w:p w14:paraId="70291774" w14:textId="780AC3DF" w:rsidR="00DD11D0" w:rsidRDefault="000F2AAF" w:rsidP="00DD11D0">
      <w:pPr>
        <w:pStyle w:val="Segmento"/>
      </w:pPr>
      <w:r w:rsidRPr="000F2AAF">
        <w:rPr>
          <w:lang w:val="es-MX"/>
        </w:rPr>
        <w:t xml:space="preserve">Analizar los contratos estandarizados o no </w:t>
      </w:r>
    </w:p>
    <w:p w14:paraId="7375BFE3" w14:textId="44D4D9FE" w:rsidR="00DD11D0" w:rsidRPr="001E1AE5" w:rsidRDefault="007F7D5C" w:rsidP="00E52DC4">
      <w:pPr>
        <w:pStyle w:val="Prrafo"/>
        <w:rPr>
          <w:rStyle w:val="ParticipanteCar"/>
          <w:rFonts w:eastAsiaTheme="majorEastAsia" w:cs="Arial"/>
          <w:b/>
          <w:color w:val="auto"/>
          <w:sz w:val="24"/>
          <w:szCs w:val="32"/>
          <w:lang w:val="es-EC"/>
        </w:rPr>
      </w:pPr>
      <w:r w:rsidRPr="007F7D5C">
        <w:t>Incluir ofertas estandarizadas y no estandarizadas, cuyo monto sea superior a un umbral. Hay contratos que incluyen la contratación de enlaces dedicados que pueden no ser ofertas estandarizadas y estar empaquetados con otros servicios y soluciones, pero que</w:t>
      </w:r>
      <w:r w:rsidR="002B4181">
        <w:t>,</w:t>
      </w:r>
      <w:r w:rsidRPr="007F7D5C">
        <w:t xml:space="preserve"> por el monto, tienen un impacto importante en la competencia</w:t>
      </w:r>
      <w:r w:rsidR="00DD11D0">
        <w:t>.</w:t>
      </w:r>
      <w:r w:rsidR="00DD11D0" w:rsidRPr="005D13FA">
        <w:rPr>
          <w:rStyle w:val="PrrafoCar"/>
        </w:rPr>
        <w:t xml:space="preserve"> </w:t>
      </w:r>
      <w:r w:rsidR="00DD11D0" w:rsidRPr="007F0299">
        <w:rPr>
          <w:rStyle w:val="ParticipanteCar"/>
        </w:rPr>
        <w:t>(</w:t>
      </w:r>
      <w:r w:rsidR="000F2AAF" w:rsidRPr="000F2AAF">
        <w:rPr>
          <w:rFonts w:eastAsia="Calibri" w:cs="Arial"/>
          <w:color w:val="C45911" w:themeColor="accent2" w:themeShade="BF"/>
          <w:lang w:val="es-ES_tradnl"/>
        </w:rPr>
        <w:t>Megacable</w:t>
      </w:r>
      <w:r w:rsidR="00942CD4">
        <w:rPr>
          <w:rFonts w:eastAsia="Calibri" w:cs="Arial"/>
          <w:color w:val="C45911" w:themeColor="accent2" w:themeShade="BF"/>
          <w:lang w:val="es-ES_tradnl"/>
        </w:rPr>
        <w:t>,</w:t>
      </w:r>
      <w:r w:rsidR="000F2AAF">
        <w:rPr>
          <w:rFonts w:eastAsia="Calibri" w:cs="Arial"/>
          <w:color w:val="C45911" w:themeColor="accent2" w:themeShade="BF"/>
          <w:lang w:val="es-ES_tradnl"/>
        </w:rPr>
        <w:t xml:space="preserve"> </w:t>
      </w:r>
      <w:r w:rsidR="000F2AAF" w:rsidRPr="000F2AAF">
        <w:rPr>
          <w:rFonts w:eastAsia="Calibri" w:cs="Arial"/>
          <w:color w:val="C45911" w:themeColor="accent2" w:themeShade="BF"/>
          <w:lang w:val="es-ES_tradnl"/>
        </w:rPr>
        <w:t>Telefónica</w:t>
      </w:r>
      <w:r w:rsidR="00DD11D0" w:rsidRPr="007F0299">
        <w:rPr>
          <w:rStyle w:val="ParticipanteCar"/>
        </w:rPr>
        <w:t>)</w:t>
      </w:r>
    </w:p>
    <w:p w14:paraId="074F6652" w14:textId="77777777" w:rsidR="00DD11D0" w:rsidRPr="0055532A" w:rsidRDefault="00DD11D0" w:rsidP="005F4343">
      <w:pPr>
        <w:pStyle w:val="Ttulo3"/>
      </w:pPr>
      <w:r>
        <w:t>Consideraciones del Instituto</w:t>
      </w:r>
    </w:p>
    <w:p w14:paraId="0C151F33" w14:textId="763902DF" w:rsidR="00DD11D0" w:rsidRPr="001E1AE5" w:rsidRDefault="00774B09" w:rsidP="00E52DC4">
      <w:pPr>
        <w:pStyle w:val="Prrafo"/>
        <w:rPr>
          <w:rStyle w:val="ParticipanteCar"/>
          <w:rFonts w:eastAsiaTheme="majorEastAsia" w:cstheme="majorBidi"/>
          <w:b/>
          <w:color w:val="auto"/>
          <w:sz w:val="24"/>
          <w:szCs w:val="24"/>
          <w:lang w:val="es-EC"/>
        </w:rPr>
      </w:pPr>
      <w:r>
        <w:t>Se precisa que las</w:t>
      </w:r>
      <w:r w:rsidRPr="00C32B0B">
        <w:t xml:space="preserve"> </w:t>
      </w:r>
      <w:r w:rsidR="00C32B0B" w:rsidRPr="00C32B0B">
        <w:t xml:space="preserve">ofertas empresariales estandarizadas están incluidas en la prueba. No </w:t>
      </w:r>
      <w:r>
        <w:t xml:space="preserve">obstante, </w:t>
      </w:r>
      <w:r w:rsidR="007F7D5C">
        <w:t>las manifestaciones se analizaron como parte del proyecto de modificación a la metodología, términos y condiciones para llevar a cabo la prueba de replicabilidad económica, a fin de que esta permita evitar prácticas de estrechamiento de márgenes</w:t>
      </w:r>
      <w:r w:rsidR="00C32B0B" w:rsidRPr="00C32B0B">
        <w:rPr>
          <w:lang w:val="es-ES"/>
        </w:rPr>
        <w:t>.</w:t>
      </w:r>
      <w:r w:rsidR="00B37D6B">
        <w:rPr>
          <w:rStyle w:val="BulletCar"/>
        </w:rPr>
        <w:t xml:space="preserve"> </w:t>
      </w:r>
    </w:p>
    <w:p w14:paraId="215A9EFA" w14:textId="61730FC9" w:rsidR="00DD11D0" w:rsidRDefault="00C32B0B" w:rsidP="00DD11D0">
      <w:pPr>
        <w:pStyle w:val="Segmento"/>
      </w:pPr>
      <w:r w:rsidRPr="00C32B0B">
        <w:rPr>
          <w:lang w:val="es-MX"/>
        </w:rPr>
        <w:t>Segmentar por tipo de cliente</w:t>
      </w:r>
    </w:p>
    <w:p w14:paraId="2C91A02F" w14:textId="04300ED0" w:rsidR="00DD11D0" w:rsidRPr="001E1AE5" w:rsidRDefault="007F7D5C" w:rsidP="00E52DC4">
      <w:pPr>
        <w:pStyle w:val="Prrafo"/>
        <w:rPr>
          <w:rStyle w:val="ParticipanteCar"/>
          <w:rFonts w:eastAsiaTheme="majorEastAsia" w:cs="Arial"/>
          <w:b/>
          <w:color w:val="auto"/>
          <w:sz w:val="24"/>
          <w:szCs w:val="32"/>
          <w:lang w:val="es-EC"/>
        </w:rPr>
      </w:pPr>
      <w:r w:rsidRPr="007F7D5C">
        <w:t>Realizar las pruebas de replicabilidad segmentando el mercado minorista en: corporativo, empresarial y gubernamental, de esta forma se pueden considerar los costos aguas abajo para el aprovisionamiento de los servicios según las especificaciones de cada mercado minorista</w:t>
      </w:r>
      <w:r w:rsidR="00DD11D0">
        <w:t>.</w:t>
      </w:r>
      <w:r w:rsidR="00DD11D0" w:rsidRPr="005D13FA">
        <w:rPr>
          <w:rStyle w:val="PrrafoCar"/>
        </w:rPr>
        <w:t xml:space="preserve"> </w:t>
      </w:r>
      <w:r w:rsidR="00DD11D0" w:rsidRPr="007F0299">
        <w:rPr>
          <w:rStyle w:val="ParticipanteCar"/>
        </w:rPr>
        <w:t>(</w:t>
      </w:r>
      <w:r w:rsidR="00C32B0B">
        <w:rPr>
          <w:rStyle w:val="ParticipanteCar"/>
        </w:rPr>
        <w:t>Axtel</w:t>
      </w:r>
      <w:r w:rsidR="00DD11D0" w:rsidRPr="007F0299">
        <w:rPr>
          <w:rStyle w:val="ParticipanteCar"/>
        </w:rPr>
        <w:t>)</w:t>
      </w:r>
    </w:p>
    <w:p w14:paraId="69BAE9DD" w14:textId="77777777" w:rsidR="00DD11D0" w:rsidRPr="0055532A" w:rsidRDefault="00DD11D0" w:rsidP="005F4343">
      <w:pPr>
        <w:pStyle w:val="Ttulo3"/>
      </w:pPr>
      <w:r>
        <w:t>Consideraciones del Instituto</w:t>
      </w:r>
    </w:p>
    <w:p w14:paraId="42AAA55E" w14:textId="22A3DD36" w:rsidR="00DD11D0" w:rsidRDefault="00782857" w:rsidP="00E52DC4">
      <w:pPr>
        <w:pStyle w:val="Prrafo"/>
      </w:pPr>
      <w:r>
        <w:t>Las manifestaciones se analizaron como parte del proyecto de modificación a la metodología, términos y condiciones para llevar a cabo la prueba de replicabilidad económica, a fin de que esta permita evitar prácticas de estrechamiento de márgenes</w:t>
      </w:r>
      <w:r w:rsidR="00DD11D0">
        <w:rPr>
          <w:rStyle w:val="BulletCar"/>
        </w:rPr>
        <w:t>.</w:t>
      </w:r>
      <w:r w:rsidR="00C32B0B">
        <w:rPr>
          <w:rStyle w:val="BulletCar"/>
        </w:rPr>
        <w:t xml:space="preserve"> </w:t>
      </w:r>
    </w:p>
    <w:p w14:paraId="2796D813" w14:textId="77777777" w:rsidR="00DD11D0" w:rsidRPr="00B31223" w:rsidRDefault="00DD11D0" w:rsidP="00DD11D0">
      <w:pPr>
        <w:pStyle w:val="Ttulo1"/>
        <w:ind w:left="426"/>
      </w:pPr>
      <w:r w:rsidRPr="001E292A">
        <w:t>Servicios mayoristas a considerar</w:t>
      </w:r>
    </w:p>
    <w:p w14:paraId="60EC0AF8" w14:textId="326AAB14" w:rsidR="00DD11D0" w:rsidRDefault="001E6E6D" w:rsidP="00DD11D0">
      <w:pPr>
        <w:pStyle w:val="Segmento"/>
      </w:pPr>
      <w:r w:rsidRPr="001E6E6D">
        <w:rPr>
          <w:lang w:val="es-MX"/>
        </w:rPr>
        <w:t>Incluir servicios regulados y no regulados</w:t>
      </w:r>
    </w:p>
    <w:p w14:paraId="5A6DC387" w14:textId="4467115C" w:rsidR="00DD11D0" w:rsidRPr="001E1AE5" w:rsidRDefault="00650E3D" w:rsidP="00E52DC4">
      <w:pPr>
        <w:pStyle w:val="Prrafo"/>
        <w:rPr>
          <w:rStyle w:val="ParticipanteCar"/>
          <w:rFonts w:eastAsiaTheme="majorEastAsia" w:cs="Arial"/>
          <w:b/>
          <w:color w:val="auto"/>
          <w:sz w:val="24"/>
          <w:szCs w:val="32"/>
          <w:lang w:val="es-EC"/>
        </w:rPr>
      </w:pPr>
      <w:r w:rsidRPr="00650E3D">
        <w:t>Incluir los servicios regulados y no regulados (p.e., conectividad). Además, tener en cuenta que</w:t>
      </w:r>
      <w:r w:rsidR="002B4181">
        <w:t>,</w:t>
      </w:r>
      <w:r w:rsidRPr="00650E3D">
        <w:t xml:space="preserve"> en la mayor parte de los casos, el servicio mayorista de enlaces dedicados incluye dos </w:t>
      </w:r>
      <w:r w:rsidRPr="00650E3D">
        <w:lastRenderedPageBreak/>
        <w:t>tramos locales (en el caso de enlace local). Es decir, el producto mayorista relevante para la comparativa sería un enlace dedicado con dos tramos locales.</w:t>
      </w:r>
      <w:r w:rsidR="00DD11D0" w:rsidRPr="005D13FA">
        <w:rPr>
          <w:rStyle w:val="PrrafoCar"/>
        </w:rPr>
        <w:t xml:space="preserve"> </w:t>
      </w:r>
      <w:r w:rsidR="00DD11D0" w:rsidRPr="007F0299">
        <w:rPr>
          <w:rStyle w:val="ParticipanteCar"/>
        </w:rPr>
        <w:t>(</w:t>
      </w:r>
      <w:r w:rsidR="001E6E6D">
        <w:rPr>
          <w:rStyle w:val="ParticipanteCar"/>
        </w:rPr>
        <w:t>Cablevisión</w:t>
      </w:r>
      <w:r w:rsidR="00DD11D0" w:rsidRPr="007F0299">
        <w:rPr>
          <w:rStyle w:val="ParticipanteCar"/>
        </w:rPr>
        <w:t>)</w:t>
      </w:r>
    </w:p>
    <w:p w14:paraId="3FF3006A" w14:textId="77777777" w:rsidR="00DD11D0" w:rsidRPr="0055532A" w:rsidRDefault="00DD11D0" w:rsidP="005F4343">
      <w:pPr>
        <w:pStyle w:val="Ttulo3"/>
      </w:pPr>
      <w:r>
        <w:t>Consideraciones del Instituto</w:t>
      </w:r>
    </w:p>
    <w:p w14:paraId="2989E999" w14:textId="6E9FFC86" w:rsidR="00DD11D0" w:rsidRPr="001E6E6D" w:rsidRDefault="00650E3D" w:rsidP="00E52DC4">
      <w:pPr>
        <w:pStyle w:val="Prrafo"/>
        <w:rPr>
          <w:rStyle w:val="ParticipanteCar"/>
          <w:rFonts w:eastAsiaTheme="majorEastAsia" w:cstheme="majorBidi"/>
          <w:b/>
          <w:color w:val="auto"/>
          <w:sz w:val="24"/>
          <w:szCs w:val="24"/>
          <w:lang w:val="es-EC"/>
        </w:rPr>
      </w:pPr>
      <w:r>
        <w:t>Las manifestaciones se analizaron como parte del proyecto de modificación a la metodología, términos y condiciones para llevar a cabo la prueba de replicabilidad económica, a fin de que esta permita evitar prácticas de estrechamiento de márgenes</w:t>
      </w:r>
      <w:r w:rsidR="00DD11D0">
        <w:rPr>
          <w:rStyle w:val="BulletCar"/>
        </w:rPr>
        <w:t>.</w:t>
      </w:r>
      <w:r w:rsidR="001E6E6D">
        <w:rPr>
          <w:rStyle w:val="BulletCar"/>
        </w:rPr>
        <w:t xml:space="preserve"> </w:t>
      </w:r>
    </w:p>
    <w:p w14:paraId="2AD35BA4" w14:textId="77777777" w:rsidR="00DD11D0" w:rsidRPr="00DC0FE6" w:rsidRDefault="00DD11D0" w:rsidP="00DD11D0">
      <w:pPr>
        <w:pStyle w:val="Ttulo1"/>
        <w:ind w:left="426"/>
      </w:pPr>
      <w:r w:rsidRPr="004B0D37">
        <w:t>Precio de los insumos mayoristas</w:t>
      </w:r>
    </w:p>
    <w:p w14:paraId="096F59E1" w14:textId="77E59C9E" w:rsidR="00DD11D0" w:rsidRDefault="001E6E6D" w:rsidP="00DD11D0">
      <w:pPr>
        <w:pStyle w:val="Segmento"/>
      </w:pPr>
      <w:r w:rsidRPr="001E6E6D">
        <w:rPr>
          <w:lang w:val="es-MX"/>
        </w:rPr>
        <w:t>Incluir otros costes como el de trabajos especiales</w:t>
      </w:r>
      <w:r>
        <w:rPr>
          <w:lang w:val="es-MX"/>
        </w:rPr>
        <w:t xml:space="preserve"> y migración</w:t>
      </w:r>
    </w:p>
    <w:p w14:paraId="0FD7C22A" w14:textId="4312B8DF" w:rsidR="00DD11D0" w:rsidRPr="00CD6DDC" w:rsidRDefault="00804A59" w:rsidP="00DD11D0">
      <w:pPr>
        <w:pStyle w:val="Bullet"/>
        <w:ind w:hanging="294"/>
        <w:rPr>
          <w:rStyle w:val="ParticipanteCar"/>
          <w:color w:val="auto"/>
        </w:rPr>
      </w:pPr>
      <w:r w:rsidRPr="00804A59">
        <w:t xml:space="preserve">Los precios </w:t>
      </w:r>
      <w:r w:rsidR="002B4181">
        <w:t>por</w:t>
      </w:r>
      <w:r w:rsidRPr="00804A59">
        <w:t xml:space="preserve"> considerar deben ser aquellos a los que tengan acceso todos los CS. Por tanto, no se deben aplicar descuentos por volumen a los precios mayoristas</w:t>
      </w:r>
      <w:r w:rsidR="00DD11D0">
        <w:t>.</w:t>
      </w:r>
      <w:r w:rsidR="00DD11D0" w:rsidRPr="005D13FA">
        <w:rPr>
          <w:rStyle w:val="PrrafoCar"/>
        </w:rPr>
        <w:t xml:space="preserve"> </w:t>
      </w:r>
      <w:r w:rsidR="00DD11D0" w:rsidRPr="007F0299">
        <w:rPr>
          <w:rStyle w:val="ParticipanteCar"/>
        </w:rPr>
        <w:t>(</w:t>
      </w:r>
      <w:r>
        <w:rPr>
          <w:rStyle w:val="ParticipanteCar"/>
        </w:rPr>
        <w:t>Cablevisión</w:t>
      </w:r>
      <w:r w:rsidR="00DD11D0" w:rsidRPr="007F0299">
        <w:rPr>
          <w:rStyle w:val="ParticipanteCar"/>
        </w:rPr>
        <w:t>)</w:t>
      </w:r>
    </w:p>
    <w:p w14:paraId="2FD84310" w14:textId="69C2EE13" w:rsidR="00CD6DDC" w:rsidRPr="00CD6DDC" w:rsidRDefault="00804A59" w:rsidP="00CD6DDC">
      <w:pPr>
        <w:pStyle w:val="Bullet"/>
        <w:ind w:hanging="294"/>
        <w:rPr>
          <w:rStyle w:val="ParticipanteCar"/>
          <w:color w:val="auto"/>
        </w:rPr>
      </w:pPr>
      <w:r w:rsidRPr="00804A59">
        <w:t>Incorporar el costo medio de los proyectos especiales ya que son la principal barrera económica para el CS.</w:t>
      </w:r>
      <w:r w:rsidR="00CD6DDC" w:rsidRPr="005D13FA">
        <w:rPr>
          <w:rStyle w:val="PrrafoCar"/>
        </w:rPr>
        <w:t xml:space="preserve"> </w:t>
      </w:r>
      <w:r w:rsidR="00CD6DDC" w:rsidRPr="007F0299">
        <w:rPr>
          <w:rStyle w:val="ParticipanteCar"/>
        </w:rPr>
        <w:t>(</w:t>
      </w:r>
      <w:r>
        <w:rPr>
          <w:rStyle w:val="ParticipanteCar"/>
        </w:rPr>
        <w:t>Telefónica, Axtel</w:t>
      </w:r>
      <w:r w:rsidR="00CD6DDC" w:rsidRPr="007F0299">
        <w:rPr>
          <w:rStyle w:val="ParticipanteCar"/>
        </w:rPr>
        <w:t>)</w:t>
      </w:r>
    </w:p>
    <w:p w14:paraId="63408C4A" w14:textId="77777777" w:rsidR="00DD11D0" w:rsidRPr="0055532A" w:rsidRDefault="00DD11D0" w:rsidP="005F4343">
      <w:pPr>
        <w:pStyle w:val="Ttulo3"/>
      </w:pPr>
      <w:r>
        <w:t>Consideraciones del Instituto</w:t>
      </w:r>
    </w:p>
    <w:p w14:paraId="54B3CEF6" w14:textId="368ACC55" w:rsidR="00804A59" w:rsidRDefault="00804A59" w:rsidP="00804A59">
      <w:pPr>
        <w:pStyle w:val="Prrafo"/>
      </w:pPr>
      <w:r>
        <w:t xml:space="preserve">Se precisa que la metodología </w:t>
      </w:r>
      <w:r w:rsidR="008A3B81">
        <w:t xml:space="preserve">en términos del Acuerdo P/IFT/120917/549 </w:t>
      </w:r>
      <w:r>
        <w:t>y la propuesta de actualización sometida a consulta pública considera los precios de la oferta de referencia, la cual al momento de realizar el presente informe no considera descuentos por volumen.</w:t>
      </w:r>
    </w:p>
    <w:p w14:paraId="5FA6C7E6" w14:textId="58585745" w:rsidR="00804A59" w:rsidRDefault="00804A59" w:rsidP="00804A59">
      <w:pPr>
        <w:pStyle w:val="Prrafo"/>
      </w:pPr>
      <w:r>
        <w:t>Respecto a las manifestaciones de los proyectos especiales y su problemática en la provisión de los servicios mayoristas, se analizaron en el contexto del proyecto de modificación a la metodología, términos y condiciones para llevar a cabo la prueba de replicabilidad económica, a fin de que esta permita evitar prácticas de estrechamiento de márgenes.</w:t>
      </w:r>
    </w:p>
    <w:p w14:paraId="450B7AFE" w14:textId="77777777" w:rsidR="00DD11D0" w:rsidRDefault="00DD11D0" w:rsidP="00DD11D0">
      <w:pPr>
        <w:pStyle w:val="Ttulo1"/>
        <w:ind w:left="426"/>
      </w:pPr>
      <w:r w:rsidRPr="00EF4F9D">
        <w:t>Tratamiento de las promoc</w:t>
      </w:r>
      <w:r>
        <w:t>iones</w:t>
      </w:r>
    </w:p>
    <w:p w14:paraId="647A45A0" w14:textId="24D0A9A3" w:rsidR="00DD11D0" w:rsidRDefault="00096FAB" w:rsidP="00DD11D0">
      <w:pPr>
        <w:pStyle w:val="Segmento"/>
      </w:pPr>
      <w:r>
        <w:rPr>
          <w:lang w:val="es-MX"/>
        </w:rPr>
        <w:t>Desglosar análisis y revisarlas ex ante y ex post</w:t>
      </w:r>
    </w:p>
    <w:p w14:paraId="41CE05C8" w14:textId="0A86F4BB" w:rsidR="00DD11D0" w:rsidRPr="00E52DC4" w:rsidRDefault="00096FAB" w:rsidP="00DD11D0">
      <w:pPr>
        <w:pStyle w:val="Bullet"/>
        <w:ind w:hanging="294"/>
        <w:rPr>
          <w:rStyle w:val="ParticipanteCar"/>
          <w:color w:val="auto"/>
        </w:rPr>
      </w:pPr>
      <w:r w:rsidRPr="00096FAB">
        <w:t>Se propone desglosar el componente promocional de los contratos del AEP</w:t>
      </w:r>
      <w:r>
        <w:t>T</w:t>
      </w:r>
      <w:r w:rsidRPr="00096FAB">
        <w:t xml:space="preserve"> con corporaciones y sector público.</w:t>
      </w:r>
      <w:r w:rsidR="00DD11D0" w:rsidRPr="005D13FA">
        <w:rPr>
          <w:rStyle w:val="PrrafoCar"/>
        </w:rPr>
        <w:t xml:space="preserve"> </w:t>
      </w:r>
      <w:r w:rsidR="00DD11D0" w:rsidRPr="007F0299">
        <w:rPr>
          <w:rStyle w:val="ParticipanteCar"/>
        </w:rPr>
        <w:t>(</w:t>
      </w:r>
      <w:r>
        <w:rPr>
          <w:rStyle w:val="ParticipanteCar"/>
        </w:rPr>
        <w:t>Cablevisión</w:t>
      </w:r>
      <w:r w:rsidR="00DD11D0" w:rsidRPr="007F0299">
        <w:rPr>
          <w:rStyle w:val="ParticipanteCar"/>
        </w:rPr>
        <w:t>)</w:t>
      </w:r>
    </w:p>
    <w:p w14:paraId="709EFB3E" w14:textId="51D244A1" w:rsidR="00096FAB" w:rsidRPr="001E1AE5" w:rsidRDefault="00096FAB" w:rsidP="00DD11D0">
      <w:pPr>
        <w:pStyle w:val="Bullet"/>
        <w:ind w:hanging="294"/>
        <w:rPr>
          <w:rStyle w:val="ParticipanteCar"/>
          <w:color w:val="auto"/>
        </w:rPr>
      </w:pPr>
      <w:r w:rsidRPr="00096FAB">
        <w:rPr>
          <w:rStyle w:val="ParticipanteCar"/>
          <w:color w:val="auto"/>
        </w:rPr>
        <w:t>Realizar pruebas ex/ante y ex/post para cada promoción que el AEP</w:t>
      </w:r>
      <w:r>
        <w:rPr>
          <w:rStyle w:val="ParticipanteCar"/>
          <w:color w:val="auto"/>
        </w:rPr>
        <w:t>T</w:t>
      </w:r>
      <w:r w:rsidRPr="00096FAB">
        <w:rPr>
          <w:rStyle w:val="ParticipanteCar"/>
          <w:color w:val="auto"/>
        </w:rPr>
        <w:t xml:space="preserve"> oferte.</w:t>
      </w:r>
      <w:r>
        <w:rPr>
          <w:rStyle w:val="ParticipanteCar"/>
          <w:color w:val="auto"/>
        </w:rPr>
        <w:t xml:space="preserve"> </w:t>
      </w:r>
      <w:r w:rsidRPr="007F0299">
        <w:rPr>
          <w:rStyle w:val="ParticipanteCar"/>
        </w:rPr>
        <w:t>(</w:t>
      </w:r>
      <w:r>
        <w:rPr>
          <w:rStyle w:val="ParticipanteCar"/>
        </w:rPr>
        <w:t>Axtel</w:t>
      </w:r>
      <w:r w:rsidRPr="007F0299">
        <w:rPr>
          <w:rStyle w:val="ParticipanteCar"/>
        </w:rPr>
        <w:t>)</w:t>
      </w:r>
    </w:p>
    <w:p w14:paraId="17C0B0C3" w14:textId="77777777" w:rsidR="00DD11D0" w:rsidRPr="0055532A" w:rsidRDefault="00DD11D0" w:rsidP="005F4343">
      <w:pPr>
        <w:pStyle w:val="Ttulo3"/>
      </w:pPr>
      <w:r>
        <w:t>Consideraciones del Instituto</w:t>
      </w:r>
    </w:p>
    <w:p w14:paraId="4F64B0A5" w14:textId="566EF585" w:rsidR="00096FAB" w:rsidRDefault="00096FAB" w:rsidP="00096FAB">
      <w:pPr>
        <w:pStyle w:val="Prrafo"/>
      </w:pPr>
      <w:r>
        <w:t xml:space="preserve">Debe considerarse que tanto en la metodología </w:t>
      </w:r>
      <w:r w:rsidR="008A3B81">
        <w:t>en términos del Acuerdo P/IFT/120917/54</w:t>
      </w:r>
      <w:r w:rsidR="00E210D3">
        <w:t>9</w:t>
      </w:r>
      <w:r w:rsidR="008A3B81">
        <w:t xml:space="preserve"> </w:t>
      </w:r>
      <w:r>
        <w:t xml:space="preserve">como en la propuesta de actualización sometida a consulta pública </w:t>
      </w:r>
      <w:r w:rsidR="00F67EBD" w:rsidRPr="00F67EBD">
        <w:t>no</w:t>
      </w:r>
      <w:r>
        <w:t xml:space="preserve"> se</w:t>
      </w:r>
      <w:r w:rsidR="00F67EBD" w:rsidRPr="00F67EBD">
        <w:t xml:space="preserve"> excluye</w:t>
      </w:r>
      <w:r>
        <w:t>n</w:t>
      </w:r>
      <w:r w:rsidR="00F67EBD" w:rsidRPr="00F67EBD">
        <w:t xml:space="preserve"> los descuentos aplicados por el AEPT, ya que se </w:t>
      </w:r>
      <w:r>
        <w:t>consideran</w:t>
      </w:r>
      <w:r w:rsidR="00F67EBD" w:rsidRPr="00F67EBD">
        <w:t xml:space="preserve"> los ingresos efectivos. </w:t>
      </w:r>
    </w:p>
    <w:p w14:paraId="4064902D" w14:textId="02F24F82" w:rsidR="00096FAB" w:rsidRDefault="00096FAB" w:rsidP="00096FAB">
      <w:pPr>
        <w:pStyle w:val="Prrafo"/>
      </w:pPr>
      <w:r>
        <w:lastRenderedPageBreak/>
        <w:t>No obstante, las manifestaciones se analizaron como parte del proyecto de modificación a la metodología, términos y condiciones para llevar a cabo la prueba de replicabilidad económica, a fin de que esta permita evitar prácticas de estrechamiento de márgenes.</w:t>
      </w:r>
    </w:p>
    <w:p w14:paraId="40CE0AFD" w14:textId="77777777" w:rsidR="00DD11D0" w:rsidRDefault="00DD11D0" w:rsidP="00DD11D0">
      <w:pPr>
        <w:pStyle w:val="Ttulo1"/>
        <w:ind w:left="426"/>
      </w:pPr>
      <w:r w:rsidRPr="00EF4F9D">
        <w:t>Evaluación de la rentabilidad</w:t>
      </w:r>
    </w:p>
    <w:p w14:paraId="3B885737" w14:textId="650DB5DF" w:rsidR="00DD11D0" w:rsidRDefault="000D05D4" w:rsidP="00DD11D0">
      <w:pPr>
        <w:pStyle w:val="Segmento"/>
      </w:pPr>
      <w:r w:rsidRPr="000D05D4">
        <w:rPr>
          <w:lang w:val="es-MX"/>
        </w:rPr>
        <w:t>Mirar la rentabilidad según la vigencia de los contratos</w:t>
      </w:r>
    </w:p>
    <w:p w14:paraId="7886A182" w14:textId="61FC0AE3" w:rsidR="00DD11D0" w:rsidRPr="001E1AE5" w:rsidRDefault="00096FAB" w:rsidP="00E52DC4">
      <w:pPr>
        <w:pStyle w:val="Prrafo"/>
        <w:rPr>
          <w:rStyle w:val="ParticipanteCar"/>
          <w:rFonts w:eastAsiaTheme="majorEastAsia" w:cs="Arial"/>
          <w:b/>
          <w:color w:val="auto"/>
          <w:sz w:val="24"/>
          <w:szCs w:val="32"/>
          <w:lang w:val="es-EC"/>
        </w:rPr>
      </w:pPr>
      <w:r>
        <w:t>M</w:t>
      </w:r>
      <w:r w:rsidRPr="00096FAB">
        <w:t xml:space="preserve">edir la rentabilidad considerando el tiempo mínimo de vigencia de cada contrato analizado. Además, debería utilizarse el WACC del operador alternativo en vez del del </w:t>
      </w:r>
      <w:r w:rsidR="006029DF">
        <w:t>AEPT</w:t>
      </w:r>
      <w:r w:rsidR="00DD11D0">
        <w:t>.</w:t>
      </w:r>
      <w:r w:rsidR="00DD11D0" w:rsidRPr="005D13FA">
        <w:rPr>
          <w:rStyle w:val="PrrafoCar"/>
        </w:rPr>
        <w:t xml:space="preserve"> </w:t>
      </w:r>
      <w:r w:rsidR="00DD11D0" w:rsidRPr="007F0299">
        <w:rPr>
          <w:rStyle w:val="ParticipanteCar"/>
        </w:rPr>
        <w:t>(</w:t>
      </w:r>
      <w:r w:rsidR="000D05D4">
        <w:rPr>
          <w:rStyle w:val="ParticipanteCar"/>
        </w:rPr>
        <w:t>Cablevisión</w:t>
      </w:r>
      <w:r w:rsidR="00DD11D0" w:rsidRPr="007F0299">
        <w:rPr>
          <w:rStyle w:val="ParticipanteCar"/>
        </w:rPr>
        <w:t>)</w:t>
      </w:r>
    </w:p>
    <w:p w14:paraId="5FEEF1D5" w14:textId="6F9705EC" w:rsidR="00DD11D0" w:rsidRPr="0055532A" w:rsidRDefault="00DD11D0" w:rsidP="005F4343">
      <w:pPr>
        <w:pStyle w:val="Ttulo3"/>
      </w:pPr>
      <w:r>
        <w:t>Consideraciones del Instituto</w:t>
      </w:r>
    </w:p>
    <w:p w14:paraId="6CC07116" w14:textId="123440CF" w:rsidR="00DD11D0" w:rsidRPr="001E1AE5" w:rsidRDefault="00096FAB" w:rsidP="00E52DC4">
      <w:pPr>
        <w:pStyle w:val="Prrafo"/>
        <w:rPr>
          <w:rStyle w:val="ParticipanteCar"/>
          <w:rFonts w:eastAsiaTheme="majorEastAsia" w:cstheme="majorBidi"/>
          <w:b/>
          <w:color w:val="auto"/>
          <w:sz w:val="24"/>
          <w:szCs w:val="24"/>
          <w:lang w:val="es-EC"/>
        </w:rPr>
      </w:pPr>
      <w:r>
        <w:t>Las manifestaciones se analizaron como parte del proyecto de modificación a la metodología, términos y condiciones para llevar a cabo la prueba de replicabilidad económica, a fin de que esta permita evitar prácticas de estrechamiento de márgenes</w:t>
      </w:r>
      <w:r w:rsidR="00DD11D0">
        <w:rPr>
          <w:rStyle w:val="BulletCar"/>
        </w:rPr>
        <w:t>.</w:t>
      </w:r>
      <w:r w:rsidR="000D05D4">
        <w:rPr>
          <w:rStyle w:val="BulletCar"/>
        </w:rPr>
        <w:t xml:space="preserve"> </w:t>
      </w:r>
    </w:p>
    <w:p w14:paraId="6D0580B4" w14:textId="77777777" w:rsidR="00DD11D0" w:rsidRDefault="00DD11D0" w:rsidP="00DD11D0">
      <w:pPr>
        <w:pStyle w:val="Ttulo1"/>
        <w:ind w:left="426"/>
      </w:pPr>
      <w:r w:rsidRPr="00EF4F9D">
        <w:t>Tratamiento de las ofertas empaquetadas</w:t>
      </w:r>
    </w:p>
    <w:p w14:paraId="07277E18" w14:textId="6205573F" w:rsidR="00DD11D0" w:rsidRDefault="000D05D4" w:rsidP="00DD11D0">
      <w:pPr>
        <w:pStyle w:val="Segmento"/>
      </w:pPr>
      <w:r w:rsidRPr="000D05D4">
        <w:rPr>
          <w:lang w:val="es-MX"/>
        </w:rPr>
        <w:t>Analizar el paquete y los servicios individuales</w:t>
      </w:r>
    </w:p>
    <w:p w14:paraId="111D0636" w14:textId="6CC9D1E4" w:rsidR="00DD11D0" w:rsidRPr="001E1AE5" w:rsidRDefault="00096FAB" w:rsidP="00E52DC4">
      <w:pPr>
        <w:pStyle w:val="Prrafo"/>
        <w:rPr>
          <w:rStyle w:val="ParticipanteCar"/>
          <w:rFonts w:eastAsiaTheme="majorEastAsia" w:cs="Arial"/>
          <w:b/>
          <w:color w:val="auto"/>
          <w:sz w:val="24"/>
          <w:szCs w:val="32"/>
          <w:lang w:val="es-EC"/>
        </w:rPr>
      </w:pPr>
      <w:r w:rsidRPr="00096FAB">
        <w:t>Analizar también elementos individuales. El análisis conjunto del paquete puede ignorar o pasar por alto subsidios cruzados entre algunos elementos de la oferta empaquetada</w:t>
      </w:r>
      <w:r w:rsidR="00DD11D0">
        <w:t>.</w:t>
      </w:r>
      <w:r w:rsidR="00DD11D0" w:rsidRPr="005D13FA">
        <w:rPr>
          <w:rStyle w:val="PrrafoCar"/>
        </w:rPr>
        <w:t xml:space="preserve"> </w:t>
      </w:r>
      <w:r w:rsidR="00DD11D0" w:rsidRPr="007F0299">
        <w:rPr>
          <w:rStyle w:val="ParticipanteCar"/>
        </w:rPr>
        <w:t>(</w:t>
      </w:r>
      <w:r w:rsidR="000D05D4" w:rsidRPr="000D05D4">
        <w:rPr>
          <w:rFonts w:eastAsia="Calibri" w:cs="Arial"/>
          <w:color w:val="C45911" w:themeColor="accent2" w:themeShade="BF"/>
          <w:lang w:val="es-ES_tradnl"/>
        </w:rPr>
        <w:t>Megacable</w:t>
      </w:r>
      <w:r>
        <w:rPr>
          <w:rFonts w:eastAsia="Calibri" w:cs="Arial"/>
          <w:color w:val="C45911" w:themeColor="accent2" w:themeShade="BF"/>
          <w:lang w:val="es-ES_tradnl"/>
        </w:rPr>
        <w:t>, Cablevisión, Axtel</w:t>
      </w:r>
      <w:r w:rsidR="00DD11D0" w:rsidRPr="007F0299">
        <w:rPr>
          <w:rStyle w:val="ParticipanteCar"/>
        </w:rPr>
        <w:t>)</w:t>
      </w:r>
    </w:p>
    <w:p w14:paraId="2183EE88" w14:textId="0FCB1C22" w:rsidR="00DD11D0" w:rsidRPr="0055532A" w:rsidRDefault="00DD11D0" w:rsidP="005F4343">
      <w:pPr>
        <w:pStyle w:val="Ttulo3"/>
      </w:pPr>
      <w:r>
        <w:t>Consideraciones del Instituto</w:t>
      </w:r>
    </w:p>
    <w:p w14:paraId="7AB7E02A" w14:textId="35BD242A" w:rsidR="00B24721" w:rsidRDefault="00B24721" w:rsidP="00E52DC4">
      <w:pPr>
        <w:pStyle w:val="Prrafo"/>
      </w:pPr>
      <w:r>
        <w:t xml:space="preserve">Las pruebas de replicabilidad económica </w:t>
      </w:r>
      <w:r w:rsidR="00DE0D94">
        <w:t>forman parte de la regulación asimétrica que busca evitar que el AEPT realice conductas o prácticas en perjuicio de la competencia (el estrechamiento de márgenes, para el caso que nos ocupa). No obstante, a través de la vía del derecho de la competencia existen mecanismos para investigar y sancionar prácticas y conductas anticompetitivas, para lo cual el Instituto puede actuar de oficio o a petición de algún interesado.</w:t>
      </w:r>
    </w:p>
    <w:p w14:paraId="5D6291A0" w14:textId="6E3ECFD4" w:rsidR="00DD11D0" w:rsidRPr="001E1AE5" w:rsidRDefault="00096FAB" w:rsidP="00E52DC4">
      <w:pPr>
        <w:pStyle w:val="Prrafo"/>
        <w:rPr>
          <w:rStyle w:val="ParticipanteCar"/>
          <w:rFonts w:eastAsiaTheme="majorEastAsia" w:cstheme="majorBidi"/>
          <w:b/>
          <w:color w:val="auto"/>
          <w:sz w:val="24"/>
          <w:szCs w:val="24"/>
          <w:lang w:val="es-EC"/>
        </w:rPr>
      </w:pPr>
      <w:r>
        <w:t>Las manifestaciones se analizaron como parte del proyecto de modificación a la metodología, términos y condiciones para llevar a cabo la prueba de replicabilidad económica, a fin de que esta permita evitar prácticas de estrechamiento de márgenes</w:t>
      </w:r>
      <w:r w:rsidR="00DD11D0">
        <w:rPr>
          <w:rStyle w:val="BulletCar"/>
        </w:rPr>
        <w:t>.</w:t>
      </w:r>
      <w:r w:rsidR="000D05D4">
        <w:rPr>
          <w:rStyle w:val="BulletCar"/>
        </w:rPr>
        <w:t xml:space="preserve"> </w:t>
      </w:r>
    </w:p>
    <w:p w14:paraId="03C72D37" w14:textId="36275431" w:rsidR="00DD11D0" w:rsidRDefault="00DD11D0" w:rsidP="00DD11A9">
      <w:pPr>
        <w:pStyle w:val="Bullet"/>
        <w:numPr>
          <w:ilvl w:val="0"/>
          <w:numId w:val="0"/>
        </w:numPr>
        <w:ind w:left="720"/>
        <w:rPr>
          <w:rStyle w:val="ParticipanteCar"/>
        </w:rPr>
      </w:pPr>
    </w:p>
    <w:p w14:paraId="74EDC347" w14:textId="102387CF" w:rsidR="00FE1BB1" w:rsidRPr="00DC0FE6" w:rsidRDefault="00FE1BB1" w:rsidP="00FE1BB1">
      <w:pPr>
        <w:pStyle w:val="Ttulo1"/>
        <w:numPr>
          <w:ilvl w:val="0"/>
          <w:numId w:val="0"/>
        </w:numPr>
      </w:pPr>
      <w:r w:rsidRPr="00392D46">
        <w:lastRenderedPageBreak/>
        <w:t xml:space="preserve">PRUEBA </w:t>
      </w:r>
      <w:r>
        <w:t>TELEFONÍA FIJA</w:t>
      </w:r>
    </w:p>
    <w:p w14:paraId="606981E3" w14:textId="492DD2DA" w:rsidR="00FE1BB1" w:rsidRPr="00DC0FE6" w:rsidRDefault="00FE1BB1" w:rsidP="00790847">
      <w:pPr>
        <w:pStyle w:val="Ttulo1"/>
        <w:numPr>
          <w:ilvl w:val="0"/>
          <w:numId w:val="0"/>
        </w:numPr>
        <w:ind w:left="360"/>
      </w:pPr>
      <w:r>
        <w:t>Sobre su eliminación</w:t>
      </w:r>
    </w:p>
    <w:p w14:paraId="25CFF5E7" w14:textId="47B531D0" w:rsidR="00FE1BB1" w:rsidRDefault="00FE1BB1" w:rsidP="00FE1BB1">
      <w:pPr>
        <w:pStyle w:val="Prrafo"/>
        <w:rPr>
          <w:rFonts w:eastAsia="Calibri" w:cs="Arial"/>
          <w:color w:val="C45911" w:themeColor="accent2" w:themeShade="BF"/>
          <w:lang w:val="es-ES_tradnl"/>
        </w:rPr>
      </w:pPr>
      <w:r>
        <w:t>Mantener la prueba e i</w:t>
      </w:r>
      <w:r w:rsidRPr="00FE1BB1">
        <w:t xml:space="preserve">ncluso </w:t>
      </w:r>
      <w:r>
        <w:t>hacerla</w:t>
      </w:r>
      <w:r w:rsidRPr="00FE1BB1">
        <w:t xml:space="preserve"> más estricta, en lugar de menos. La industria identifica la falta de replicabilidad de servicios fijos, a pesar de no ser detectados en las pruebas.</w:t>
      </w:r>
      <w:r>
        <w:t xml:space="preserve"> </w:t>
      </w:r>
      <w:r w:rsidRPr="007F0299">
        <w:rPr>
          <w:rStyle w:val="ParticipanteCar"/>
        </w:rPr>
        <w:t>(</w:t>
      </w:r>
      <w:r w:rsidRPr="000D05D4">
        <w:rPr>
          <w:rFonts w:eastAsia="Calibri" w:cs="Arial"/>
          <w:color w:val="C45911" w:themeColor="accent2" w:themeShade="BF"/>
          <w:lang w:val="es-ES_tradnl"/>
        </w:rPr>
        <w:t>Megacable</w:t>
      </w:r>
      <w:r>
        <w:rPr>
          <w:rFonts w:eastAsia="Calibri" w:cs="Arial"/>
          <w:color w:val="C45911" w:themeColor="accent2" w:themeShade="BF"/>
          <w:lang w:val="es-ES_tradnl"/>
        </w:rPr>
        <w:t>, Telefónica)</w:t>
      </w:r>
    </w:p>
    <w:p w14:paraId="3877C098" w14:textId="77777777" w:rsidR="00FE1BB1" w:rsidRPr="0055532A" w:rsidRDefault="00FE1BB1" w:rsidP="00FE1BB1">
      <w:pPr>
        <w:pStyle w:val="Ttulo3"/>
      </w:pPr>
      <w:r>
        <w:t>Consideraciones del Instituto</w:t>
      </w:r>
    </w:p>
    <w:p w14:paraId="0D44C751" w14:textId="3B997FDC" w:rsidR="00FE1BB1" w:rsidRPr="00DC0FE6" w:rsidRDefault="00FE1BB1" w:rsidP="00E52DC4">
      <w:pPr>
        <w:pStyle w:val="Prrafo"/>
        <w:rPr>
          <w:rStyle w:val="PrrafoCar"/>
          <w:rFonts w:eastAsiaTheme="majorEastAsia" w:cstheme="majorBidi"/>
          <w:b/>
          <w:color w:val="000000" w:themeColor="text1"/>
          <w:sz w:val="24"/>
          <w:szCs w:val="24"/>
          <w:lang w:val="es-EC"/>
        </w:rPr>
      </w:pPr>
      <w:r>
        <w:t>Las manifestaciones se analizaron como parte del proyecto de modificación a la metodología, términos y condiciones para llevar a cabo la prueba de replicabilidad económica, a fin de que esta permita evitar prácticas de estrechamiento de márgenes.</w:t>
      </w:r>
    </w:p>
    <w:sectPr w:rsidR="00FE1BB1" w:rsidRPr="00DC0FE6" w:rsidSect="00846E3F">
      <w:footerReference w:type="default" r:id="rId12"/>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009B" w14:textId="77777777" w:rsidR="00A10031" w:rsidRDefault="00A10031" w:rsidP="0003063E">
      <w:r>
        <w:separator/>
      </w:r>
    </w:p>
  </w:endnote>
  <w:endnote w:type="continuationSeparator" w:id="0">
    <w:p w14:paraId="312B1953" w14:textId="77777777" w:rsidR="00A10031" w:rsidRDefault="00A10031" w:rsidP="0003063E">
      <w:r>
        <w:continuationSeparator/>
      </w:r>
    </w:p>
  </w:endnote>
  <w:endnote w:type="continuationNotice" w:id="1">
    <w:p w14:paraId="4670145C" w14:textId="77777777" w:rsidR="00A10031" w:rsidRDefault="00A10031" w:rsidP="00030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14:paraId="44B8E7A7" w14:textId="77777777" w:rsidR="00A10031" w:rsidRDefault="00A10031" w:rsidP="0003063E">
            <w:pPr>
              <w:pStyle w:val="Piedepgina"/>
            </w:pPr>
            <w:r>
              <w:rPr>
                <w:lang w:val="es-ES"/>
              </w:rPr>
              <w:t xml:space="preserve">Página </w:t>
            </w:r>
            <w:r>
              <w:rPr>
                <w:sz w:val="24"/>
                <w:szCs w:val="24"/>
              </w:rPr>
              <w:fldChar w:fldCharType="begin"/>
            </w:r>
            <w:r>
              <w:rPr>
                <w:b/>
                <w:bCs/>
              </w:rPr>
              <w:instrText>PAGE</w:instrText>
            </w:r>
            <w:r>
              <w:rPr>
                <w:sz w:val="24"/>
                <w:szCs w:val="24"/>
              </w:rPr>
              <w:fldChar w:fldCharType="separate"/>
            </w:r>
            <w:r>
              <w:rPr>
                <w:b/>
                <w:bCs/>
                <w:noProof/>
              </w:rPr>
              <w:t>4</w:t>
            </w:r>
            <w:r>
              <w:rPr>
                <w:sz w:val="24"/>
                <w:szCs w:val="24"/>
              </w:rPr>
              <w:fldChar w:fldCharType="end"/>
            </w:r>
            <w:r>
              <w:rPr>
                <w:lang w:val="es-ES"/>
              </w:rPr>
              <w:t xml:space="preserve"> de </w:t>
            </w:r>
            <w:r>
              <w:rPr>
                <w:sz w:val="24"/>
                <w:szCs w:val="24"/>
              </w:rPr>
              <w:fldChar w:fldCharType="begin"/>
            </w:r>
            <w:r>
              <w:rPr>
                <w:b/>
                <w:bCs/>
              </w:rPr>
              <w:instrText>NUMPAGES</w:instrText>
            </w:r>
            <w:r>
              <w:rPr>
                <w:sz w:val="24"/>
                <w:szCs w:val="24"/>
              </w:rPr>
              <w:fldChar w:fldCharType="separate"/>
            </w:r>
            <w:r>
              <w:rPr>
                <w:b/>
                <w:bCs/>
                <w:noProof/>
              </w:rPr>
              <w:t>40</w:t>
            </w:r>
            <w:r>
              <w:rPr>
                <w:sz w:val="24"/>
                <w:szCs w:val="24"/>
              </w:rPr>
              <w:fldChar w:fldCharType="end"/>
            </w:r>
          </w:p>
        </w:sdtContent>
      </w:sdt>
    </w:sdtContent>
  </w:sdt>
  <w:p w14:paraId="049BD9BF" w14:textId="77777777" w:rsidR="00A10031" w:rsidRDefault="00A100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5026" w14:textId="77777777" w:rsidR="00A10031" w:rsidRDefault="00A10031" w:rsidP="0003063E">
      <w:r>
        <w:separator/>
      </w:r>
    </w:p>
  </w:footnote>
  <w:footnote w:type="continuationSeparator" w:id="0">
    <w:p w14:paraId="2B122870" w14:textId="77777777" w:rsidR="00A10031" w:rsidRDefault="00A10031" w:rsidP="0003063E">
      <w:r>
        <w:continuationSeparator/>
      </w:r>
    </w:p>
  </w:footnote>
  <w:footnote w:type="continuationNotice" w:id="1">
    <w:p w14:paraId="67C67C3C" w14:textId="77777777" w:rsidR="00A10031" w:rsidRDefault="00A10031" w:rsidP="0003063E"/>
  </w:footnote>
  <w:footnote w:id="2">
    <w:p w14:paraId="6FB2E97F" w14:textId="77777777" w:rsidR="00A10031" w:rsidRPr="00C7288F" w:rsidRDefault="00A10031" w:rsidP="00D305BC">
      <w:pPr>
        <w:pStyle w:val="Textonotapie"/>
        <w:rPr>
          <w:lang w:val="es-MX"/>
        </w:rPr>
      </w:pPr>
      <w:r>
        <w:rPr>
          <w:rStyle w:val="Refdenotaalpie"/>
        </w:rPr>
        <w:footnoteRef/>
      </w:r>
      <w:r>
        <w:t xml:space="preserve"> </w:t>
      </w:r>
      <w:r>
        <w:rPr>
          <w:lang w:val="es-MX"/>
        </w:rPr>
        <w:t>Participó dos veces, una de ellas para solicitar ampliación del plazo de consulta pública.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D381C"/>
    <w:multiLevelType w:val="hybridMultilevel"/>
    <w:tmpl w:val="A9D25B9E"/>
    <w:lvl w:ilvl="0" w:tplc="4BCC50CC">
      <w:start w:val="1"/>
      <w:numFmt w:val="upperRoman"/>
      <w:pStyle w:val="Ttulo"/>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457C99"/>
    <w:multiLevelType w:val="hybridMultilevel"/>
    <w:tmpl w:val="6E0A1688"/>
    <w:lvl w:ilvl="0" w:tplc="BBB23368">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0744BE"/>
    <w:multiLevelType w:val="multilevel"/>
    <w:tmpl w:val="8DE03F20"/>
    <w:name w:val="ParaBulletList"/>
    <w:lvl w:ilvl="0">
      <w:start w:val="1"/>
      <w:numFmt w:val="bullet"/>
      <w:lvlText w:val=""/>
      <w:lvlJc w:val="left"/>
      <w:pPr>
        <w:tabs>
          <w:tab w:val="num" w:pos="340"/>
        </w:tabs>
        <w:ind w:left="340" w:hanging="340"/>
      </w:pPr>
      <w:rPr>
        <w:rFonts w:ascii="Wingdings 2" w:hAnsi="Wingdings 2" w:cs="Wingdings 2" w:hint="default"/>
        <w:color w:val="5B9BD5" w:themeColor="accent1"/>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9B4DCE"/>
    <w:multiLevelType w:val="hybridMultilevel"/>
    <w:tmpl w:val="A13AA7AA"/>
    <w:lvl w:ilvl="0" w:tplc="7786BEF2">
      <w:start w:val="1"/>
      <w:numFmt w:val="decimal"/>
      <w:pStyle w:val="Ttulo1"/>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724876">
    <w:abstractNumId w:val="3"/>
  </w:num>
  <w:num w:numId="2" w16cid:durableId="380713307">
    <w:abstractNumId w:val="1"/>
  </w:num>
  <w:num w:numId="3" w16cid:durableId="2127698465">
    <w:abstractNumId w:val="4"/>
  </w:num>
  <w:num w:numId="4" w16cid:durableId="1849558422">
    <w:abstractNumId w:val="0"/>
  </w:num>
  <w:num w:numId="5" w16cid:durableId="950085771">
    <w:abstractNumId w:val="4"/>
    <w:lvlOverride w:ilvl="0">
      <w:startOverride w:val="1"/>
    </w:lvlOverride>
  </w:num>
  <w:num w:numId="6" w16cid:durableId="166792581">
    <w:abstractNumId w:val="4"/>
    <w:lvlOverride w:ilvl="0">
      <w:startOverride w:val="1"/>
    </w:lvlOverride>
  </w:num>
  <w:num w:numId="7" w16cid:durableId="1070271106">
    <w:abstractNumId w:val="4"/>
    <w:lvlOverride w:ilvl="0">
      <w:startOverride w:val="7"/>
    </w:lvlOverride>
  </w:num>
  <w:num w:numId="8" w16cid:durableId="1051422246">
    <w:abstractNumId w:val="4"/>
    <w:lvlOverride w:ilvl="0">
      <w:startOverride w:val="10"/>
    </w:lvlOverride>
  </w:num>
  <w:num w:numId="9" w16cid:durableId="1907913173">
    <w:abstractNumId w:val="4"/>
    <w:lvlOverride w:ilvl="0">
      <w:startOverride w:val="1"/>
    </w:lvlOverride>
  </w:num>
  <w:num w:numId="10" w16cid:durableId="300113140">
    <w:abstractNumId w:val="4"/>
  </w:num>
  <w:num w:numId="11" w16cid:durableId="583681879">
    <w:abstractNumId w:val="4"/>
  </w:num>
  <w:num w:numId="12" w16cid:durableId="42946996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C6"/>
    <w:rsid w:val="0000021E"/>
    <w:rsid w:val="00000240"/>
    <w:rsid w:val="00000850"/>
    <w:rsid w:val="00000F1B"/>
    <w:rsid w:val="000013A2"/>
    <w:rsid w:val="00001722"/>
    <w:rsid w:val="00002FF3"/>
    <w:rsid w:val="00003413"/>
    <w:rsid w:val="00003A32"/>
    <w:rsid w:val="00004191"/>
    <w:rsid w:val="00004C17"/>
    <w:rsid w:val="0000552E"/>
    <w:rsid w:val="000055EC"/>
    <w:rsid w:val="0000560B"/>
    <w:rsid w:val="000067E2"/>
    <w:rsid w:val="000070EF"/>
    <w:rsid w:val="00007803"/>
    <w:rsid w:val="00007DEE"/>
    <w:rsid w:val="00010269"/>
    <w:rsid w:val="00010443"/>
    <w:rsid w:val="00010BEF"/>
    <w:rsid w:val="00010DD8"/>
    <w:rsid w:val="00011094"/>
    <w:rsid w:val="00011260"/>
    <w:rsid w:val="000119CC"/>
    <w:rsid w:val="000128D9"/>
    <w:rsid w:val="00012EA8"/>
    <w:rsid w:val="0001308C"/>
    <w:rsid w:val="0001314B"/>
    <w:rsid w:val="00013394"/>
    <w:rsid w:val="00014A9A"/>
    <w:rsid w:val="00014FB1"/>
    <w:rsid w:val="00015FCB"/>
    <w:rsid w:val="00016490"/>
    <w:rsid w:val="00016B5D"/>
    <w:rsid w:val="0001720E"/>
    <w:rsid w:val="0001786F"/>
    <w:rsid w:val="000179B4"/>
    <w:rsid w:val="00017EF9"/>
    <w:rsid w:val="00020E53"/>
    <w:rsid w:val="000211EC"/>
    <w:rsid w:val="000226AB"/>
    <w:rsid w:val="00023615"/>
    <w:rsid w:val="00023929"/>
    <w:rsid w:val="00024504"/>
    <w:rsid w:val="000249B2"/>
    <w:rsid w:val="00024E07"/>
    <w:rsid w:val="00024EAC"/>
    <w:rsid w:val="000250D9"/>
    <w:rsid w:val="00025446"/>
    <w:rsid w:val="00025A5B"/>
    <w:rsid w:val="00025F75"/>
    <w:rsid w:val="000260D3"/>
    <w:rsid w:val="000264B2"/>
    <w:rsid w:val="00026A12"/>
    <w:rsid w:val="00026BC7"/>
    <w:rsid w:val="00027641"/>
    <w:rsid w:val="0003063E"/>
    <w:rsid w:val="0003066C"/>
    <w:rsid w:val="00031113"/>
    <w:rsid w:val="0003133C"/>
    <w:rsid w:val="0003158F"/>
    <w:rsid w:val="00031A03"/>
    <w:rsid w:val="00031C4C"/>
    <w:rsid w:val="000327A1"/>
    <w:rsid w:val="000333F7"/>
    <w:rsid w:val="0003384C"/>
    <w:rsid w:val="00033876"/>
    <w:rsid w:val="00033EC7"/>
    <w:rsid w:val="000344C5"/>
    <w:rsid w:val="0003456E"/>
    <w:rsid w:val="00034B8C"/>
    <w:rsid w:val="00034F84"/>
    <w:rsid w:val="000360C4"/>
    <w:rsid w:val="000366B0"/>
    <w:rsid w:val="000368B4"/>
    <w:rsid w:val="000372E4"/>
    <w:rsid w:val="000379CF"/>
    <w:rsid w:val="00040B94"/>
    <w:rsid w:val="00040D5A"/>
    <w:rsid w:val="00041816"/>
    <w:rsid w:val="00041E40"/>
    <w:rsid w:val="00041E5A"/>
    <w:rsid w:val="000420A6"/>
    <w:rsid w:val="0004263D"/>
    <w:rsid w:val="00042CAE"/>
    <w:rsid w:val="00043C66"/>
    <w:rsid w:val="00044834"/>
    <w:rsid w:val="000448AC"/>
    <w:rsid w:val="00044DAC"/>
    <w:rsid w:val="00045048"/>
    <w:rsid w:val="00046955"/>
    <w:rsid w:val="0004728D"/>
    <w:rsid w:val="00047482"/>
    <w:rsid w:val="00047715"/>
    <w:rsid w:val="000511B2"/>
    <w:rsid w:val="000518ED"/>
    <w:rsid w:val="00051BB1"/>
    <w:rsid w:val="00051DD3"/>
    <w:rsid w:val="00052A6C"/>
    <w:rsid w:val="00053133"/>
    <w:rsid w:val="00053676"/>
    <w:rsid w:val="0005411D"/>
    <w:rsid w:val="000544D3"/>
    <w:rsid w:val="00054960"/>
    <w:rsid w:val="0005500D"/>
    <w:rsid w:val="00055D01"/>
    <w:rsid w:val="00055EC9"/>
    <w:rsid w:val="00057377"/>
    <w:rsid w:val="0006008B"/>
    <w:rsid w:val="000606C9"/>
    <w:rsid w:val="00060955"/>
    <w:rsid w:val="000614DD"/>
    <w:rsid w:val="000619DC"/>
    <w:rsid w:val="0006220B"/>
    <w:rsid w:val="00062289"/>
    <w:rsid w:val="000632F3"/>
    <w:rsid w:val="0006331D"/>
    <w:rsid w:val="000638CB"/>
    <w:rsid w:val="00063EC8"/>
    <w:rsid w:val="00065CC8"/>
    <w:rsid w:val="00066422"/>
    <w:rsid w:val="00067400"/>
    <w:rsid w:val="000677C7"/>
    <w:rsid w:val="00067F04"/>
    <w:rsid w:val="000707A3"/>
    <w:rsid w:val="00070ADB"/>
    <w:rsid w:val="000710E8"/>
    <w:rsid w:val="00071271"/>
    <w:rsid w:val="00071845"/>
    <w:rsid w:val="0007215C"/>
    <w:rsid w:val="00072268"/>
    <w:rsid w:val="00072449"/>
    <w:rsid w:val="0007250D"/>
    <w:rsid w:val="00072C6D"/>
    <w:rsid w:val="000733E7"/>
    <w:rsid w:val="000734FB"/>
    <w:rsid w:val="00073685"/>
    <w:rsid w:val="00073963"/>
    <w:rsid w:val="00073B31"/>
    <w:rsid w:val="0007419B"/>
    <w:rsid w:val="000741A7"/>
    <w:rsid w:val="000748BB"/>
    <w:rsid w:val="00074B7C"/>
    <w:rsid w:val="00074DA1"/>
    <w:rsid w:val="000764D4"/>
    <w:rsid w:val="0007657A"/>
    <w:rsid w:val="00076F6D"/>
    <w:rsid w:val="000777CA"/>
    <w:rsid w:val="000777EE"/>
    <w:rsid w:val="0007797C"/>
    <w:rsid w:val="000818AE"/>
    <w:rsid w:val="000819EA"/>
    <w:rsid w:val="00082244"/>
    <w:rsid w:val="0008254F"/>
    <w:rsid w:val="00082943"/>
    <w:rsid w:val="000829A0"/>
    <w:rsid w:val="00083B9B"/>
    <w:rsid w:val="00083F86"/>
    <w:rsid w:val="00084058"/>
    <w:rsid w:val="000842AF"/>
    <w:rsid w:val="00085BC7"/>
    <w:rsid w:val="00085E17"/>
    <w:rsid w:val="00086112"/>
    <w:rsid w:val="00086625"/>
    <w:rsid w:val="00086997"/>
    <w:rsid w:val="00087593"/>
    <w:rsid w:val="0008767A"/>
    <w:rsid w:val="00087C59"/>
    <w:rsid w:val="000907EF"/>
    <w:rsid w:val="00090D5F"/>
    <w:rsid w:val="00091B51"/>
    <w:rsid w:val="00091DE5"/>
    <w:rsid w:val="00091EBA"/>
    <w:rsid w:val="00092059"/>
    <w:rsid w:val="00092AF2"/>
    <w:rsid w:val="00093D77"/>
    <w:rsid w:val="0009423C"/>
    <w:rsid w:val="000951E0"/>
    <w:rsid w:val="0009551E"/>
    <w:rsid w:val="00095711"/>
    <w:rsid w:val="00095E08"/>
    <w:rsid w:val="00096E1C"/>
    <w:rsid w:val="00096FAB"/>
    <w:rsid w:val="000975EF"/>
    <w:rsid w:val="000A1D10"/>
    <w:rsid w:val="000A200C"/>
    <w:rsid w:val="000A25A5"/>
    <w:rsid w:val="000A2B29"/>
    <w:rsid w:val="000A30C6"/>
    <w:rsid w:val="000A30D7"/>
    <w:rsid w:val="000A4831"/>
    <w:rsid w:val="000A491A"/>
    <w:rsid w:val="000A5260"/>
    <w:rsid w:val="000A59BC"/>
    <w:rsid w:val="000A66A0"/>
    <w:rsid w:val="000A67B2"/>
    <w:rsid w:val="000A6AE3"/>
    <w:rsid w:val="000A6F21"/>
    <w:rsid w:val="000A774C"/>
    <w:rsid w:val="000B02B0"/>
    <w:rsid w:val="000B09CF"/>
    <w:rsid w:val="000B1DC3"/>
    <w:rsid w:val="000B1FD7"/>
    <w:rsid w:val="000B2311"/>
    <w:rsid w:val="000B2551"/>
    <w:rsid w:val="000B2E78"/>
    <w:rsid w:val="000B3A7B"/>
    <w:rsid w:val="000B3EBC"/>
    <w:rsid w:val="000B526C"/>
    <w:rsid w:val="000B60E6"/>
    <w:rsid w:val="000B6961"/>
    <w:rsid w:val="000B71F6"/>
    <w:rsid w:val="000B7374"/>
    <w:rsid w:val="000B7384"/>
    <w:rsid w:val="000C0099"/>
    <w:rsid w:val="000C00BC"/>
    <w:rsid w:val="000C035D"/>
    <w:rsid w:val="000C0436"/>
    <w:rsid w:val="000C058B"/>
    <w:rsid w:val="000C058F"/>
    <w:rsid w:val="000C090B"/>
    <w:rsid w:val="000C0CBD"/>
    <w:rsid w:val="000C11E4"/>
    <w:rsid w:val="000C1A8C"/>
    <w:rsid w:val="000C1E4C"/>
    <w:rsid w:val="000C22F4"/>
    <w:rsid w:val="000C24AF"/>
    <w:rsid w:val="000C272D"/>
    <w:rsid w:val="000C2755"/>
    <w:rsid w:val="000C2CC7"/>
    <w:rsid w:val="000C3D5A"/>
    <w:rsid w:val="000C461A"/>
    <w:rsid w:val="000C4FEB"/>
    <w:rsid w:val="000C581E"/>
    <w:rsid w:val="000C67F0"/>
    <w:rsid w:val="000C6B0B"/>
    <w:rsid w:val="000C70DE"/>
    <w:rsid w:val="000C789D"/>
    <w:rsid w:val="000C7B3D"/>
    <w:rsid w:val="000D0196"/>
    <w:rsid w:val="000D0277"/>
    <w:rsid w:val="000D05D4"/>
    <w:rsid w:val="000D0E0D"/>
    <w:rsid w:val="000D1951"/>
    <w:rsid w:val="000D1D57"/>
    <w:rsid w:val="000D2823"/>
    <w:rsid w:val="000D2899"/>
    <w:rsid w:val="000D2A04"/>
    <w:rsid w:val="000D2FD7"/>
    <w:rsid w:val="000D36A7"/>
    <w:rsid w:val="000D40C5"/>
    <w:rsid w:val="000D4613"/>
    <w:rsid w:val="000D46CB"/>
    <w:rsid w:val="000D46DB"/>
    <w:rsid w:val="000D474F"/>
    <w:rsid w:val="000D50F9"/>
    <w:rsid w:val="000D591E"/>
    <w:rsid w:val="000D5A02"/>
    <w:rsid w:val="000D5C59"/>
    <w:rsid w:val="000D6796"/>
    <w:rsid w:val="000D6B18"/>
    <w:rsid w:val="000D705C"/>
    <w:rsid w:val="000E0238"/>
    <w:rsid w:val="000E0392"/>
    <w:rsid w:val="000E1590"/>
    <w:rsid w:val="000E16E0"/>
    <w:rsid w:val="000E1FA0"/>
    <w:rsid w:val="000E2CAE"/>
    <w:rsid w:val="000E2E56"/>
    <w:rsid w:val="000E313B"/>
    <w:rsid w:val="000E5154"/>
    <w:rsid w:val="000E5CC9"/>
    <w:rsid w:val="000E5D18"/>
    <w:rsid w:val="000E6842"/>
    <w:rsid w:val="000E68DD"/>
    <w:rsid w:val="000E6F1C"/>
    <w:rsid w:val="000E6F29"/>
    <w:rsid w:val="000E70E9"/>
    <w:rsid w:val="000E74E5"/>
    <w:rsid w:val="000E75F3"/>
    <w:rsid w:val="000F01F0"/>
    <w:rsid w:val="000F0A47"/>
    <w:rsid w:val="000F191F"/>
    <w:rsid w:val="000F1CC3"/>
    <w:rsid w:val="000F1D1F"/>
    <w:rsid w:val="000F2AAF"/>
    <w:rsid w:val="000F2EA0"/>
    <w:rsid w:val="000F2EF1"/>
    <w:rsid w:val="000F2FD8"/>
    <w:rsid w:val="000F30B4"/>
    <w:rsid w:val="000F3940"/>
    <w:rsid w:val="000F4CD5"/>
    <w:rsid w:val="000F60C2"/>
    <w:rsid w:val="000F6296"/>
    <w:rsid w:val="000F62C7"/>
    <w:rsid w:val="000F640C"/>
    <w:rsid w:val="000F72E4"/>
    <w:rsid w:val="001003F5"/>
    <w:rsid w:val="0010062D"/>
    <w:rsid w:val="0010077D"/>
    <w:rsid w:val="00100F5C"/>
    <w:rsid w:val="00100F8F"/>
    <w:rsid w:val="00102320"/>
    <w:rsid w:val="00103052"/>
    <w:rsid w:val="00103564"/>
    <w:rsid w:val="00104F61"/>
    <w:rsid w:val="00105927"/>
    <w:rsid w:val="00105CAE"/>
    <w:rsid w:val="00106079"/>
    <w:rsid w:val="001067CE"/>
    <w:rsid w:val="001068A2"/>
    <w:rsid w:val="00107494"/>
    <w:rsid w:val="00107530"/>
    <w:rsid w:val="00107722"/>
    <w:rsid w:val="001078DC"/>
    <w:rsid w:val="00107965"/>
    <w:rsid w:val="00107DE8"/>
    <w:rsid w:val="00110D2F"/>
    <w:rsid w:val="00110D43"/>
    <w:rsid w:val="00110DC2"/>
    <w:rsid w:val="00110FC6"/>
    <w:rsid w:val="001135F5"/>
    <w:rsid w:val="00115603"/>
    <w:rsid w:val="00115799"/>
    <w:rsid w:val="00115874"/>
    <w:rsid w:val="00115F92"/>
    <w:rsid w:val="00116827"/>
    <w:rsid w:val="00120361"/>
    <w:rsid w:val="00120474"/>
    <w:rsid w:val="0012047F"/>
    <w:rsid w:val="001206EB"/>
    <w:rsid w:val="00120D04"/>
    <w:rsid w:val="00121630"/>
    <w:rsid w:val="001217D4"/>
    <w:rsid w:val="00121E97"/>
    <w:rsid w:val="00122483"/>
    <w:rsid w:val="001225D9"/>
    <w:rsid w:val="00122622"/>
    <w:rsid w:val="00122836"/>
    <w:rsid w:val="00122F5A"/>
    <w:rsid w:val="001233C8"/>
    <w:rsid w:val="00123881"/>
    <w:rsid w:val="001240E4"/>
    <w:rsid w:val="001243D9"/>
    <w:rsid w:val="0012485A"/>
    <w:rsid w:val="00124D00"/>
    <w:rsid w:val="00124E81"/>
    <w:rsid w:val="00124EFD"/>
    <w:rsid w:val="00125E7B"/>
    <w:rsid w:val="00126763"/>
    <w:rsid w:val="0012687A"/>
    <w:rsid w:val="00126B62"/>
    <w:rsid w:val="00127187"/>
    <w:rsid w:val="00127E4E"/>
    <w:rsid w:val="001300F7"/>
    <w:rsid w:val="001302DD"/>
    <w:rsid w:val="00131686"/>
    <w:rsid w:val="00131ABC"/>
    <w:rsid w:val="00131C86"/>
    <w:rsid w:val="0013201A"/>
    <w:rsid w:val="001322F6"/>
    <w:rsid w:val="00132559"/>
    <w:rsid w:val="00133248"/>
    <w:rsid w:val="001334B6"/>
    <w:rsid w:val="0013356F"/>
    <w:rsid w:val="00133775"/>
    <w:rsid w:val="00133E0B"/>
    <w:rsid w:val="00133F4C"/>
    <w:rsid w:val="00134F52"/>
    <w:rsid w:val="00135A3B"/>
    <w:rsid w:val="001361DF"/>
    <w:rsid w:val="001366F5"/>
    <w:rsid w:val="00136E99"/>
    <w:rsid w:val="00140383"/>
    <w:rsid w:val="00140560"/>
    <w:rsid w:val="0014177B"/>
    <w:rsid w:val="00141D6C"/>
    <w:rsid w:val="00141E76"/>
    <w:rsid w:val="00142244"/>
    <w:rsid w:val="0014230A"/>
    <w:rsid w:val="0014279C"/>
    <w:rsid w:val="00143130"/>
    <w:rsid w:val="00143248"/>
    <w:rsid w:val="00143511"/>
    <w:rsid w:val="00143A79"/>
    <w:rsid w:val="0014428D"/>
    <w:rsid w:val="001446E1"/>
    <w:rsid w:val="00144B27"/>
    <w:rsid w:val="00144F1F"/>
    <w:rsid w:val="00145F94"/>
    <w:rsid w:val="00146A8C"/>
    <w:rsid w:val="00147CB6"/>
    <w:rsid w:val="00147FF0"/>
    <w:rsid w:val="001508C0"/>
    <w:rsid w:val="00150986"/>
    <w:rsid w:val="00150D27"/>
    <w:rsid w:val="00150FD7"/>
    <w:rsid w:val="001521C3"/>
    <w:rsid w:val="001533A5"/>
    <w:rsid w:val="0015340E"/>
    <w:rsid w:val="00154608"/>
    <w:rsid w:val="00154FB2"/>
    <w:rsid w:val="001555BA"/>
    <w:rsid w:val="001556D3"/>
    <w:rsid w:val="00155C40"/>
    <w:rsid w:val="00155DCA"/>
    <w:rsid w:val="0015654F"/>
    <w:rsid w:val="00156D08"/>
    <w:rsid w:val="00157025"/>
    <w:rsid w:val="00157623"/>
    <w:rsid w:val="00157A3E"/>
    <w:rsid w:val="00160AD3"/>
    <w:rsid w:val="001616D5"/>
    <w:rsid w:val="0016207C"/>
    <w:rsid w:val="001623E2"/>
    <w:rsid w:val="00162A38"/>
    <w:rsid w:val="00163208"/>
    <w:rsid w:val="00163344"/>
    <w:rsid w:val="001633AF"/>
    <w:rsid w:val="001637A9"/>
    <w:rsid w:val="00163BAF"/>
    <w:rsid w:val="00164036"/>
    <w:rsid w:val="001647E0"/>
    <w:rsid w:val="001648AE"/>
    <w:rsid w:val="00164CB2"/>
    <w:rsid w:val="00165014"/>
    <w:rsid w:val="0016645C"/>
    <w:rsid w:val="00167680"/>
    <w:rsid w:val="001709C8"/>
    <w:rsid w:val="00170B49"/>
    <w:rsid w:val="00170E1F"/>
    <w:rsid w:val="001711E5"/>
    <w:rsid w:val="00171786"/>
    <w:rsid w:val="001720CB"/>
    <w:rsid w:val="0017247B"/>
    <w:rsid w:val="00172BE1"/>
    <w:rsid w:val="00173FAB"/>
    <w:rsid w:val="00174AC6"/>
    <w:rsid w:val="00174D2C"/>
    <w:rsid w:val="00176769"/>
    <w:rsid w:val="001776F6"/>
    <w:rsid w:val="00177F6F"/>
    <w:rsid w:val="00180084"/>
    <w:rsid w:val="00180625"/>
    <w:rsid w:val="00180FA8"/>
    <w:rsid w:val="001811D3"/>
    <w:rsid w:val="0018155C"/>
    <w:rsid w:val="001816C3"/>
    <w:rsid w:val="00182073"/>
    <w:rsid w:val="001822CD"/>
    <w:rsid w:val="0018239A"/>
    <w:rsid w:val="00182F8A"/>
    <w:rsid w:val="0018332A"/>
    <w:rsid w:val="00183A3C"/>
    <w:rsid w:val="00183C1B"/>
    <w:rsid w:val="0018488E"/>
    <w:rsid w:val="00184D45"/>
    <w:rsid w:val="00184DB3"/>
    <w:rsid w:val="00184DFE"/>
    <w:rsid w:val="00185039"/>
    <w:rsid w:val="00185B25"/>
    <w:rsid w:val="00185E00"/>
    <w:rsid w:val="0018603D"/>
    <w:rsid w:val="00186576"/>
    <w:rsid w:val="00186A79"/>
    <w:rsid w:val="00186DEE"/>
    <w:rsid w:val="00187CE0"/>
    <w:rsid w:val="00187CEF"/>
    <w:rsid w:val="00187E90"/>
    <w:rsid w:val="00187F6D"/>
    <w:rsid w:val="00190B18"/>
    <w:rsid w:val="00190D7B"/>
    <w:rsid w:val="0019125E"/>
    <w:rsid w:val="00191543"/>
    <w:rsid w:val="00191A47"/>
    <w:rsid w:val="00191CED"/>
    <w:rsid w:val="00193304"/>
    <w:rsid w:val="00194724"/>
    <w:rsid w:val="0019490F"/>
    <w:rsid w:val="001955C7"/>
    <w:rsid w:val="0019595A"/>
    <w:rsid w:val="00195F3D"/>
    <w:rsid w:val="0019606F"/>
    <w:rsid w:val="00196315"/>
    <w:rsid w:val="00196DE3"/>
    <w:rsid w:val="00196E55"/>
    <w:rsid w:val="0019727B"/>
    <w:rsid w:val="00197725"/>
    <w:rsid w:val="00197EBE"/>
    <w:rsid w:val="001A071E"/>
    <w:rsid w:val="001A0E1E"/>
    <w:rsid w:val="001A13E7"/>
    <w:rsid w:val="001A16F3"/>
    <w:rsid w:val="001A27AB"/>
    <w:rsid w:val="001A2B97"/>
    <w:rsid w:val="001A2CE4"/>
    <w:rsid w:val="001A2D85"/>
    <w:rsid w:val="001A381C"/>
    <w:rsid w:val="001A383C"/>
    <w:rsid w:val="001A3AA8"/>
    <w:rsid w:val="001A421A"/>
    <w:rsid w:val="001A56D2"/>
    <w:rsid w:val="001A5E88"/>
    <w:rsid w:val="001A692D"/>
    <w:rsid w:val="001A6C58"/>
    <w:rsid w:val="001A6D8E"/>
    <w:rsid w:val="001A7073"/>
    <w:rsid w:val="001A738D"/>
    <w:rsid w:val="001A77BD"/>
    <w:rsid w:val="001B10B2"/>
    <w:rsid w:val="001B17B0"/>
    <w:rsid w:val="001B185A"/>
    <w:rsid w:val="001B1BB5"/>
    <w:rsid w:val="001B1C4F"/>
    <w:rsid w:val="001B2234"/>
    <w:rsid w:val="001B2D53"/>
    <w:rsid w:val="001B2FD5"/>
    <w:rsid w:val="001B4751"/>
    <w:rsid w:val="001B53A3"/>
    <w:rsid w:val="001B5CA4"/>
    <w:rsid w:val="001B6114"/>
    <w:rsid w:val="001B67DB"/>
    <w:rsid w:val="001B682D"/>
    <w:rsid w:val="001B6DE1"/>
    <w:rsid w:val="001B7DE5"/>
    <w:rsid w:val="001C0183"/>
    <w:rsid w:val="001C0667"/>
    <w:rsid w:val="001C080F"/>
    <w:rsid w:val="001C0B06"/>
    <w:rsid w:val="001C0FCB"/>
    <w:rsid w:val="001C0FF0"/>
    <w:rsid w:val="001C1052"/>
    <w:rsid w:val="001C1ED5"/>
    <w:rsid w:val="001C2717"/>
    <w:rsid w:val="001C2A27"/>
    <w:rsid w:val="001C3104"/>
    <w:rsid w:val="001C34B0"/>
    <w:rsid w:val="001C43AA"/>
    <w:rsid w:val="001C4633"/>
    <w:rsid w:val="001C4D00"/>
    <w:rsid w:val="001C4DBE"/>
    <w:rsid w:val="001C5CBC"/>
    <w:rsid w:val="001C5D2A"/>
    <w:rsid w:val="001C62DB"/>
    <w:rsid w:val="001C63D6"/>
    <w:rsid w:val="001C69BC"/>
    <w:rsid w:val="001C6D7E"/>
    <w:rsid w:val="001C7469"/>
    <w:rsid w:val="001C7545"/>
    <w:rsid w:val="001C77C6"/>
    <w:rsid w:val="001D0CA4"/>
    <w:rsid w:val="001D0CAB"/>
    <w:rsid w:val="001D10C2"/>
    <w:rsid w:val="001D1505"/>
    <w:rsid w:val="001D1A24"/>
    <w:rsid w:val="001D21A7"/>
    <w:rsid w:val="001D2314"/>
    <w:rsid w:val="001D36AB"/>
    <w:rsid w:val="001D40C3"/>
    <w:rsid w:val="001D40E6"/>
    <w:rsid w:val="001D44C2"/>
    <w:rsid w:val="001D478A"/>
    <w:rsid w:val="001D522A"/>
    <w:rsid w:val="001D53EF"/>
    <w:rsid w:val="001D565A"/>
    <w:rsid w:val="001D7421"/>
    <w:rsid w:val="001D7D1F"/>
    <w:rsid w:val="001E05E4"/>
    <w:rsid w:val="001E068A"/>
    <w:rsid w:val="001E0A86"/>
    <w:rsid w:val="001E19FF"/>
    <w:rsid w:val="001E1AE5"/>
    <w:rsid w:val="001E21B0"/>
    <w:rsid w:val="001E2336"/>
    <w:rsid w:val="001E292A"/>
    <w:rsid w:val="001E416F"/>
    <w:rsid w:val="001E469F"/>
    <w:rsid w:val="001E4E7A"/>
    <w:rsid w:val="001E4EAF"/>
    <w:rsid w:val="001E55F9"/>
    <w:rsid w:val="001E6AFD"/>
    <w:rsid w:val="001E6E6D"/>
    <w:rsid w:val="001E76E0"/>
    <w:rsid w:val="001F035B"/>
    <w:rsid w:val="001F07B1"/>
    <w:rsid w:val="001F10C2"/>
    <w:rsid w:val="001F14BC"/>
    <w:rsid w:val="001F1F42"/>
    <w:rsid w:val="001F1F9E"/>
    <w:rsid w:val="001F23E0"/>
    <w:rsid w:val="001F25D7"/>
    <w:rsid w:val="001F2BC9"/>
    <w:rsid w:val="001F2D2C"/>
    <w:rsid w:val="001F3040"/>
    <w:rsid w:val="001F331D"/>
    <w:rsid w:val="001F362A"/>
    <w:rsid w:val="001F3877"/>
    <w:rsid w:val="001F38CD"/>
    <w:rsid w:val="001F4190"/>
    <w:rsid w:val="001F4726"/>
    <w:rsid w:val="001F4DD2"/>
    <w:rsid w:val="001F4DE6"/>
    <w:rsid w:val="001F4F66"/>
    <w:rsid w:val="001F581E"/>
    <w:rsid w:val="001F585C"/>
    <w:rsid w:val="001F624B"/>
    <w:rsid w:val="001F62C2"/>
    <w:rsid w:val="001F68ED"/>
    <w:rsid w:val="001F6979"/>
    <w:rsid w:val="001F7003"/>
    <w:rsid w:val="001F75CE"/>
    <w:rsid w:val="001F7B4E"/>
    <w:rsid w:val="002008F8"/>
    <w:rsid w:val="002014F4"/>
    <w:rsid w:val="002015A0"/>
    <w:rsid w:val="0020168E"/>
    <w:rsid w:val="00201752"/>
    <w:rsid w:val="002021A4"/>
    <w:rsid w:val="00202A22"/>
    <w:rsid w:val="00202F37"/>
    <w:rsid w:val="002034C6"/>
    <w:rsid w:val="0020373D"/>
    <w:rsid w:val="00203811"/>
    <w:rsid w:val="00203ADE"/>
    <w:rsid w:val="00205542"/>
    <w:rsid w:val="002057A7"/>
    <w:rsid w:val="00205C1D"/>
    <w:rsid w:val="00205C98"/>
    <w:rsid w:val="00205D6E"/>
    <w:rsid w:val="002060BF"/>
    <w:rsid w:val="002063B2"/>
    <w:rsid w:val="0020691B"/>
    <w:rsid w:val="00206C24"/>
    <w:rsid w:val="002079C6"/>
    <w:rsid w:val="0021012B"/>
    <w:rsid w:val="00210790"/>
    <w:rsid w:val="00211939"/>
    <w:rsid w:val="002128F7"/>
    <w:rsid w:val="00212A57"/>
    <w:rsid w:val="00212E0D"/>
    <w:rsid w:val="00213915"/>
    <w:rsid w:val="00213D1D"/>
    <w:rsid w:val="00213F97"/>
    <w:rsid w:val="00214965"/>
    <w:rsid w:val="00214C61"/>
    <w:rsid w:val="00215329"/>
    <w:rsid w:val="0021537B"/>
    <w:rsid w:val="002161F3"/>
    <w:rsid w:val="002166BD"/>
    <w:rsid w:val="002169D4"/>
    <w:rsid w:val="00216F16"/>
    <w:rsid w:val="0021769E"/>
    <w:rsid w:val="00217A2B"/>
    <w:rsid w:val="00217EFA"/>
    <w:rsid w:val="002209AF"/>
    <w:rsid w:val="00220F87"/>
    <w:rsid w:val="002211D9"/>
    <w:rsid w:val="002213C3"/>
    <w:rsid w:val="002216E2"/>
    <w:rsid w:val="00221F4B"/>
    <w:rsid w:val="00222139"/>
    <w:rsid w:val="002221AF"/>
    <w:rsid w:val="00222DA9"/>
    <w:rsid w:val="00222DFF"/>
    <w:rsid w:val="00223297"/>
    <w:rsid w:val="002233BC"/>
    <w:rsid w:val="00223DB5"/>
    <w:rsid w:val="002245CF"/>
    <w:rsid w:val="0022483C"/>
    <w:rsid w:val="00224B02"/>
    <w:rsid w:val="00224DFD"/>
    <w:rsid w:val="002255E8"/>
    <w:rsid w:val="00225B47"/>
    <w:rsid w:val="00225B68"/>
    <w:rsid w:val="002279D5"/>
    <w:rsid w:val="00227A8E"/>
    <w:rsid w:val="00227F01"/>
    <w:rsid w:val="002307BC"/>
    <w:rsid w:val="002311BF"/>
    <w:rsid w:val="002312C1"/>
    <w:rsid w:val="00231E78"/>
    <w:rsid w:val="00231EA6"/>
    <w:rsid w:val="002322A2"/>
    <w:rsid w:val="00232AF5"/>
    <w:rsid w:val="00232B8D"/>
    <w:rsid w:val="00233411"/>
    <w:rsid w:val="00233DF9"/>
    <w:rsid w:val="00234277"/>
    <w:rsid w:val="00234F31"/>
    <w:rsid w:val="00235C90"/>
    <w:rsid w:val="00236F3C"/>
    <w:rsid w:val="002371FB"/>
    <w:rsid w:val="00237E0C"/>
    <w:rsid w:val="00240323"/>
    <w:rsid w:val="00240A62"/>
    <w:rsid w:val="00240B9A"/>
    <w:rsid w:val="00241AF2"/>
    <w:rsid w:val="00241E13"/>
    <w:rsid w:val="00242307"/>
    <w:rsid w:val="00242977"/>
    <w:rsid w:val="0024419A"/>
    <w:rsid w:val="00244B81"/>
    <w:rsid w:val="00244E92"/>
    <w:rsid w:val="002451B2"/>
    <w:rsid w:val="00245D4A"/>
    <w:rsid w:val="0024610E"/>
    <w:rsid w:val="00246968"/>
    <w:rsid w:val="002469A5"/>
    <w:rsid w:val="00246BF9"/>
    <w:rsid w:val="002501FD"/>
    <w:rsid w:val="0025073D"/>
    <w:rsid w:val="002519AE"/>
    <w:rsid w:val="00251D26"/>
    <w:rsid w:val="0025227E"/>
    <w:rsid w:val="0025272F"/>
    <w:rsid w:val="00252830"/>
    <w:rsid w:val="00252ED7"/>
    <w:rsid w:val="0025373B"/>
    <w:rsid w:val="0025413B"/>
    <w:rsid w:val="002542A4"/>
    <w:rsid w:val="002544DF"/>
    <w:rsid w:val="00255570"/>
    <w:rsid w:val="00255932"/>
    <w:rsid w:val="00255BCF"/>
    <w:rsid w:val="00255F85"/>
    <w:rsid w:val="002561DF"/>
    <w:rsid w:val="00256C6D"/>
    <w:rsid w:val="00256DD8"/>
    <w:rsid w:val="002577D5"/>
    <w:rsid w:val="002578A3"/>
    <w:rsid w:val="00257B9B"/>
    <w:rsid w:val="00260406"/>
    <w:rsid w:val="00260951"/>
    <w:rsid w:val="00260F4F"/>
    <w:rsid w:val="002610C3"/>
    <w:rsid w:val="00261626"/>
    <w:rsid w:val="00261854"/>
    <w:rsid w:val="00261B97"/>
    <w:rsid w:val="00261E80"/>
    <w:rsid w:val="002623F4"/>
    <w:rsid w:val="00262488"/>
    <w:rsid w:val="00262881"/>
    <w:rsid w:val="00262DE6"/>
    <w:rsid w:val="00263AF9"/>
    <w:rsid w:val="00263F23"/>
    <w:rsid w:val="002643A5"/>
    <w:rsid w:val="00264AAB"/>
    <w:rsid w:val="00264F44"/>
    <w:rsid w:val="002652BC"/>
    <w:rsid w:val="0026598E"/>
    <w:rsid w:val="00265D28"/>
    <w:rsid w:val="00265E28"/>
    <w:rsid w:val="002669C8"/>
    <w:rsid w:val="002675DF"/>
    <w:rsid w:val="00270D1B"/>
    <w:rsid w:val="00271781"/>
    <w:rsid w:val="002719E9"/>
    <w:rsid w:val="00271CC4"/>
    <w:rsid w:val="002725AA"/>
    <w:rsid w:val="00272671"/>
    <w:rsid w:val="00273144"/>
    <w:rsid w:val="00273B94"/>
    <w:rsid w:val="00274857"/>
    <w:rsid w:val="00274B26"/>
    <w:rsid w:val="00274D62"/>
    <w:rsid w:val="0027500D"/>
    <w:rsid w:val="002751A4"/>
    <w:rsid w:val="00275D08"/>
    <w:rsid w:val="00275D1E"/>
    <w:rsid w:val="00276405"/>
    <w:rsid w:val="00276D93"/>
    <w:rsid w:val="0027726A"/>
    <w:rsid w:val="0027732A"/>
    <w:rsid w:val="00277D70"/>
    <w:rsid w:val="002806E6"/>
    <w:rsid w:val="00281126"/>
    <w:rsid w:val="002817B4"/>
    <w:rsid w:val="00281BD7"/>
    <w:rsid w:val="0028374B"/>
    <w:rsid w:val="00283D39"/>
    <w:rsid w:val="00284B27"/>
    <w:rsid w:val="00284F49"/>
    <w:rsid w:val="002851AE"/>
    <w:rsid w:val="002853A6"/>
    <w:rsid w:val="002854BE"/>
    <w:rsid w:val="00285758"/>
    <w:rsid w:val="00285EC4"/>
    <w:rsid w:val="00285FF3"/>
    <w:rsid w:val="00286BC6"/>
    <w:rsid w:val="00287199"/>
    <w:rsid w:val="00287206"/>
    <w:rsid w:val="002875BE"/>
    <w:rsid w:val="00287895"/>
    <w:rsid w:val="002901DF"/>
    <w:rsid w:val="0029148A"/>
    <w:rsid w:val="00291BAF"/>
    <w:rsid w:val="00291DA0"/>
    <w:rsid w:val="0029273D"/>
    <w:rsid w:val="0029306E"/>
    <w:rsid w:val="002933AA"/>
    <w:rsid w:val="00293795"/>
    <w:rsid w:val="002939A5"/>
    <w:rsid w:val="002939AC"/>
    <w:rsid w:val="00293CCF"/>
    <w:rsid w:val="00293E81"/>
    <w:rsid w:val="00293F03"/>
    <w:rsid w:val="00294BE1"/>
    <w:rsid w:val="00294F97"/>
    <w:rsid w:val="00295AE8"/>
    <w:rsid w:val="00296459"/>
    <w:rsid w:val="0029674F"/>
    <w:rsid w:val="0029698D"/>
    <w:rsid w:val="0029709A"/>
    <w:rsid w:val="002979BC"/>
    <w:rsid w:val="002A05DA"/>
    <w:rsid w:val="002A0CDD"/>
    <w:rsid w:val="002A1506"/>
    <w:rsid w:val="002A1FE5"/>
    <w:rsid w:val="002A28A7"/>
    <w:rsid w:val="002A2DC0"/>
    <w:rsid w:val="002A392F"/>
    <w:rsid w:val="002A3B11"/>
    <w:rsid w:val="002A465C"/>
    <w:rsid w:val="002A4CB1"/>
    <w:rsid w:val="002A4D84"/>
    <w:rsid w:val="002A5BDA"/>
    <w:rsid w:val="002A6053"/>
    <w:rsid w:val="002A632B"/>
    <w:rsid w:val="002A6498"/>
    <w:rsid w:val="002A650F"/>
    <w:rsid w:val="002A68F7"/>
    <w:rsid w:val="002A6AD5"/>
    <w:rsid w:val="002A7004"/>
    <w:rsid w:val="002A71E5"/>
    <w:rsid w:val="002A77C9"/>
    <w:rsid w:val="002A7B10"/>
    <w:rsid w:val="002A7DF1"/>
    <w:rsid w:val="002B011D"/>
    <w:rsid w:val="002B05B9"/>
    <w:rsid w:val="002B134D"/>
    <w:rsid w:val="002B1694"/>
    <w:rsid w:val="002B1D1A"/>
    <w:rsid w:val="002B1E49"/>
    <w:rsid w:val="002B2690"/>
    <w:rsid w:val="002B2BC9"/>
    <w:rsid w:val="002B2CED"/>
    <w:rsid w:val="002B34F9"/>
    <w:rsid w:val="002B38A4"/>
    <w:rsid w:val="002B4181"/>
    <w:rsid w:val="002B46D0"/>
    <w:rsid w:val="002B513E"/>
    <w:rsid w:val="002B53BA"/>
    <w:rsid w:val="002B5EF3"/>
    <w:rsid w:val="002B62F2"/>
    <w:rsid w:val="002B6374"/>
    <w:rsid w:val="002B665A"/>
    <w:rsid w:val="002B678C"/>
    <w:rsid w:val="002B6BC8"/>
    <w:rsid w:val="002B6C75"/>
    <w:rsid w:val="002B6E11"/>
    <w:rsid w:val="002B7028"/>
    <w:rsid w:val="002B7C4B"/>
    <w:rsid w:val="002B7F12"/>
    <w:rsid w:val="002C07E2"/>
    <w:rsid w:val="002C08E2"/>
    <w:rsid w:val="002C32B2"/>
    <w:rsid w:val="002C3EC5"/>
    <w:rsid w:val="002C42A6"/>
    <w:rsid w:val="002C5CDF"/>
    <w:rsid w:val="002C699A"/>
    <w:rsid w:val="002C7032"/>
    <w:rsid w:val="002C76B3"/>
    <w:rsid w:val="002C79FE"/>
    <w:rsid w:val="002D00BD"/>
    <w:rsid w:val="002D0AA4"/>
    <w:rsid w:val="002D0C00"/>
    <w:rsid w:val="002D144A"/>
    <w:rsid w:val="002D1CF2"/>
    <w:rsid w:val="002D31F9"/>
    <w:rsid w:val="002D352A"/>
    <w:rsid w:val="002D39FE"/>
    <w:rsid w:val="002D4574"/>
    <w:rsid w:val="002D4D94"/>
    <w:rsid w:val="002D60A1"/>
    <w:rsid w:val="002D6E12"/>
    <w:rsid w:val="002D7523"/>
    <w:rsid w:val="002D77A7"/>
    <w:rsid w:val="002D7954"/>
    <w:rsid w:val="002D7B36"/>
    <w:rsid w:val="002E00C0"/>
    <w:rsid w:val="002E01E2"/>
    <w:rsid w:val="002E1401"/>
    <w:rsid w:val="002E1596"/>
    <w:rsid w:val="002E350C"/>
    <w:rsid w:val="002E371D"/>
    <w:rsid w:val="002E3935"/>
    <w:rsid w:val="002E3C85"/>
    <w:rsid w:val="002E4290"/>
    <w:rsid w:val="002E4CA5"/>
    <w:rsid w:val="002E57FD"/>
    <w:rsid w:val="002E5FA9"/>
    <w:rsid w:val="002E6244"/>
    <w:rsid w:val="002E6BF0"/>
    <w:rsid w:val="002E70BE"/>
    <w:rsid w:val="002E73C9"/>
    <w:rsid w:val="002E799E"/>
    <w:rsid w:val="002E7C9A"/>
    <w:rsid w:val="002F02F0"/>
    <w:rsid w:val="002F0BF2"/>
    <w:rsid w:val="002F0F8B"/>
    <w:rsid w:val="002F10FA"/>
    <w:rsid w:val="002F1669"/>
    <w:rsid w:val="002F19C9"/>
    <w:rsid w:val="002F1B6E"/>
    <w:rsid w:val="002F2557"/>
    <w:rsid w:val="002F2ABC"/>
    <w:rsid w:val="002F3D3A"/>
    <w:rsid w:val="002F7023"/>
    <w:rsid w:val="002F7CED"/>
    <w:rsid w:val="002F7D1D"/>
    <w:rsid w:val="003019A9"/>
    <w:rsid w:val="00301B68"/>
    <w:rsid w:val="0030224C"/>
    <w:rsid w:val="003026D3"/>
    <w:rsid w:val="00302DD9"/>
    <w:rsid w:val="00302F6C"/>
    <w:rsid w:val="00303459"/>
    <w:rsid w:val="00303C96"/>
    <w:rsid w:val="00304978"/>
    <w:rsid w:val="00304AB4"/>
    <w:rsid w:val="00304FCE"/>
    <w:rsid w:val="00305747"/>
    <w:rsid w:val="00306AD9"/>
    <w:rsid w:val="00307CBF"/>
    <w:rsid w:val="0031068D"/>
    <w:rsid w:val="00311020"/>
    <w:rsid w:val="00311B15"/>
    <w:rsid w:val="00311ED7"/>
    <w:rsid w:val="00311FD7"/>
    <w:rsid w:val="003121C5"/>
    <w:rsid w:val="003123F1"/>
    <w:rsid w:val="0031348E"/>
    <w:rsid w:val="00313502"/>
    <w:rsid w:val="00313686"/>
    <w:rsid w:val="0031388C"/>
    <w:rsid w:val="00314100"/>
    <w:rsid w:val="00314334"/>
    <w:rsid w:val="003149E9"/>
    <w:rsid w:val="00315666"/>
    <w:rsid w:val="00315C2E"/>
    <w:rsid w:val="00317143"/>
    <w:rsid w:val="003178F4"/>
    <w:rsid w:val="003179C0"/>
    <w:rsid w:val="00320237"/>
    <w:rsid w:val="00320899"/>
    <w:rsid w:val="00320DB0"/>
    <w:rsid w:val="0032181C"/>
    <w:rsid w:val="00321B29"/>
    <w:rsid w:val="00322934"/>
    <w:rsid w:val="00323793"/>
    <w:rsid w:val="00323B92"/>
    <w:rsid w:val="00323DB7"/>
    <w:rsid w:val="0032423B"/>
    <w:rsid w:val="003242B7"/>
    <w:rsid w:val="00324888"/>
    <w:rsid w:val="00324A3A"/>
    <w:rsid w:val="00324E1E"/>
    <w:rsid w:val="00324E78"/>
    <w:rsid w:val="00325073"/>
    <w:rsid w:val="00325B02"/>
    <w:rsid w:val="00325D8B"/>
    <w:rsid w:val="00325DD6"/>
    <w:rsid w:val="00326177"/>
    <w:rsid w:val="0032672D"/>
    <w:rsid w:val="00326B5F"/>
    <w:rsid w:val="0032765F"/>
    <w:rsid w:val="00327748"/>
    <w:rsid w:val="003278B6"/>
    <w:rsid w:val="0032794C"/>
    <w:rsid w:val="00327E23"/>
    <w:rsid w:val="003302B2"/>
    <w:rsid w:val="003308DA"/>
    <w:rsid w:val="0033092C"/>
    <w:rsid w:val="00331140"/>
    <w:rsid w:val="0033239A"/>
    <w:rsid w:val="00332B70"/>
    <w:rsid w:val="00333757"/>
    <w:rsid w:val="0033390A"/>
    <w:rsid w:val="00333EE5"/>
    <w:rsid w:val="00334C39"/>
    <w:rsid w:val="00334D4F"/>
    <w:rsid w:val="003350B5"/>
    <w:rsid w:val="0033542E"/>
    <w:rsid w:val="00335FFD"/>
    <w:rsid w:val="0033641B"/>
    <w:rsid w:val="00336B2A"/>
    <w:rsid w:val="00336CF4"/>
    <w:rsid w:val="00337172"/>
    <w:rsid w:val="0034030A"/>
    <w:rsid w:val="00340429"/>
    <w:rsid w:val="00341BA1"/>
    <w:rsid w:val="00342432"/>
    <w:rsid w:val="0034311E"/>
    <w:rsid w:val="00343851"/>
    <w:rsid w:val="00345F3F"/>
    <w:rsid w:val="003463D0"/>
    <w:rsid w:val="00346A33"/>
    <w:rsid w:val="00346AE1"/>
    <w:rsid w:val="00346D15"/>
    <w:rsid w:val="00347D8F"/>
    <w:rsid w:val="00350D4B"/>
    <w:rsid w:val="00350DD3"/>
    <w:rsid w:val="003510D7"/>
    <w:rsid w:val="00351F1B"/>
    <w:rsid w:val="0035380F"/>
    <w:rsid w:val="003539D3"/>
    <w:rsid w:val="0035426D"/>
    <w:rsid w:val="003543D8"/>
    <w:rsid w:val="0035451E"/>
    <w:rsid w:val="00354788"/>
    <w:rsid w:val="003548FE"/>
    <w:rsid w:val="003555B7"/>
    <w:rsid w:val="0035646D"/>
    <w:rsid w:val="0035671D"/>
    <w:rsid w:val="00356EA8"/>
    <w:rsid w:val="003578A8"/>
    <w:rsid w:val="00360B7D"/>
    <w:rsid w:val="00360BEF"/>
    <w:rsid w:val="0036189E"/>
    <w:rsid w:val="00361BAC"/>
    <w:rsid w:val="00362290"/>
    <w:rsid w:val="00362AAA"/>
    <w:rsid w:val="00363131"/>
    <w:rsid w:val="00363FB4"/>
    <w:rsid w:val="00364064"/>
    <w:rsid w:val="003643DB"/>
    <w:rsid w:val="00365222"/>
    <w:rsid w:val="003666F2"/>
    <w:rsid w:val="00367141"/>
    <w:rsid w:val="0036734E"/>
    <w:rsid w:val="0036744C"/>
    <w:rsid w:val="00367B23"/>
    <w:rsid w:val="00370051"/>
    <w:rsid w:val="00370224"/>
    <w:rsid w:val="00370E7A"/>
    <w:rsid w:val="00371629"/>
    <w:rsid w:val="00371663"/>
    <w:rsid w:val="00372893"/>
    <w:rsid w:val="00373334"/>
    <w:rsid w:val="00373760"/>
    <w:rsid w:val="00373782"/>
    <w:rsid w:val="00374648"/>
    <w:rsid w:val="00374B5F"/>
    <w:rsid w:val="00375480"/>
    <w:rsid w:val="0037575E"/>
    <w:rsid w:val="00375D0F"/>
    <w:rsid w:val="00375DC8"/>
    <w:rsid w:val="0037611D"/>
    <w:rsid w:val="003763E5"/>
    <w:rsid w:val="0037679E"/>
    <w:rsid w:val="0037689A"/>
    <w:rsid w:val="00376AA9"/>
    <w:rsid w:val="00376DD6"/>
    <w:rsid w:val="003778A5"/>
    <w:rsid w:val="00377E3A"/>
    <w:rsid w:val="003807B2"/>
    <w:rsid w:val="0038089C"/>
    <w:rsid w:val="003811A0"/>
    <w:rsid w:val="00381A9C"/>
    <w:rsid w:val="00382142"/>
    <w:rsid w:val="003822F1"/>
    <w:rsid w:val="00382595"/>
    <w:rsid w:val="00382F6E"/>
    <w:rsid w:val="00382F7F"/>
    <w:rsid w:val="00383204"/>
    <w:rsid w:val="00384045"/>
    <w:rsid w:val="0038472D"/>
    <w:rsid w:val="00384BDD"/>
    <w:rsid w:val="00384C03"/>
    <w:rsid w:val="00385C1D"/>
    <w:rsid w:val="00386629"/>
    <w:rsid w:val="00387806"/>
    <w:rsid w:val="003878C2"/>
    <w:rsid w:val="00387C0D"/>
    <w:rsid w:val="00387EC0"/>
    <w:rsid w:val="00387EE3"/>
    <w:rsid w:val="00387F67"/>
    <w:rsid w:val="00390643"/>
    <w:rsid w:val="00390C75"/>
    <w:rsid w:val="00391312"/>
    <w:rsid w:val="0039265E"/>
    <w:rsid w:val="003929B5"/>
    <w:rsid w:val="00392D46"/>
    <w:rsid w:val="00392E4B"/>
    <w:rsid w:val="003930A7"/>
    <w:rsid w:val="0039318D"/>
    <w:rsid w:val="00393483"/>
    <w:rsid w:val="00393563"/>
    <w:rsid w:val="00393781"/>
    <w:rsid w:val="00393D94"/>
    <w:rsid w:val="00394237"/>
    <w:rsid w:val="00395272"/>
    <w:rsid w:val="003953D9"/>
    <w:rsid w:val="0039593D"/>
    <w:rsid w:val="00395D03"/>
    <w:rsid w:val="00395E83"/>
    <w:rsid w:val="00397A43"/>
    <w:rsid w:val="00397DF3"/>
    <w:rsid w:val="00397E1E"/>
    <w:rsid w:val="003A012A"/>
    <w:rsid w:val="003A073C"/>
    <w:rsid w:val="003A084D"/>
    <w:rsid w:val="003A0DC3"/>
    <w:rsid w:val="003A20A4"/>
    <w:rsid w:val="003A26D1"/>
    <w:rsid w:val="003A2CEC"/>
    <w:rsid w:val="003A316A"/>
    <w:rsid w:val="003A3650"/>
    <w:rsid w:val="003A3786"/>
    <w:rsid w:val="003A4307"/>
    <w:rsid w:val="003A433E"/>
    <w:rsid w:val="003A43DB"/>
    <w:rsid w:val="003A51C0"/>
    <w:rsid w:val="003A6DE8"/>
    <w:rsid w:val="003A7AFC"/>
    <w:rsid w:val="003B04CA"/>
    <w:rsid w:val="003B07C4"/>
    <w:rsid w:val="003B0A96"/>
    <w:rsid w:val="003B1650"/>
    <w:rsid w:val="003B187E"/>
    <w:rsid w:val="003B2342"/>
    <w:rsid w:val="003B2C62"/>
    <w:rsid w:val="003B4246"/>
    <w:rsid w:val="003B462B"/>
    <w:rsid w:val="003B4D85"/>
    <w:rsid w:val="003B52EB"/>
    <w:rsid w:val="003B5574"/>
    <w:rsid w:val="003B57FE"/>
    <w:rsid w:val="003B60CB"/>
    <w:rsid w:val="003B6941"/>
    <w:rsid w:val="003B71A6"/>
    <w:rsid w:val="003B79C0"/>
    <w:rsid w:val="003B79EA"/>
    <w:rsid w:val="003C02AA"/>
    <w:rsid w:val="003C02ED"/>
    <w:rsid w:val="003C03DC"/>
    <w:rsid w:val="003C0878"/>
    <w:rsid w:val="003C0EC3"/>
    <w:rsid w:val="003C107B"/>
    <w:rsid w:val="003C154A"/>
    <w:rsid w:val="003C1BCB"/>
    <w:rsid w:val="003C21E9"/>
    <w:rsid w:val="003C2275"/>
    <w:rsid w:val="003C263C"/>
    <w:rsid w:val="003C3384"/>
    <w:rsid w:val="003C3726"/>
    <w:rsid w:val="003C37AE"/>
    <w:rsid w:val="003C3DC5"/>
    <w:rsid w:val="003C3FFF"/>
    <w:rsid w:val="003C40E2"/>
    <w:rsid w:val="003C42EC"/>
    <w:rsid w:val="003C491B"/>
    <w:rsid w:val="003C4F11"/>
    <w:rsid w:val="003C512B"/>
    <w:rsid w:val="003C54FF"/>
    <w:rsid w:val="003C5555"/>
    <w:rsid w:val="003C5D2D"/>
    <w:rsid w:val="003C69A1"/>
    <w:rsid w:val="003C6DB9"/>
    <w:rsid w:val="003C6DFE"/>
    <w:rsid w:val="003C7193"/>
    <w:rsid w:val="003C749A"/>
    <w:rsid w:val="003C74DF"/>
    <w:rsid w:val="003D027B"/>
    <w:rsid w:val="003D0E8C"/>
    <w:rsid w:val="003D1162"/>
    <w:rsid w:val="003D15E6"/>
    <w:rsid w:val="003D1B63"/>
    <w:rsid w:val="003D2141"/>
    <w:rsid w:val="003D36E1"/>
    <w:rsid w:val="003D4132"/>
    <w:rsid w:val="003D4695"/>
    <w:rsid w:val="003D511A"/>
    <w:rsid w:val="003D5340"/>
    <w:rsid w:val="003D554A"/>
    <w:rsid w:val="003D695F"/>
    <w:rsid w:val="003D7FCA"/>
    <w:rsid w:val="003E03E3"/>
    <w:rsid w:val="003E049C"/>
    <w:rsid w:val="003E0668"/>
    <w:rsid w:val="003E076F"/>
    <w:rsid w:val="003E0A4F"/>
    <w:rsid w:val="003E1AEF"/>
    <w:rsid w:val="003E1AFB"/>
    <w:rsid w:val="003E1E54"/>
    <w:rsid w:val="003E25B1"/>
    <w:rsid w:val="003E322D"/>
    <w:rsid w:val="003E42CC"/>
    <w:rsid w:val="003E45E3"/>
    <w:rsid w:val="003E46ED"/>
    <w:rsid w:val="003E4A80"/>
    <w:rsid w:val="003E4AE2"/>
    <w:rsid w:val="003E5357"/>
    <w:rsid w:val="003E55D7"/>
    <w:rsid w:val="003E5BCF"/>
    <w:rsid w:val="003E64C5"/>
    <w:rsid w:val="003F0A35"/>
    <w:rsid w:val="003F0D99"/>
    <w:rsid w:val="003F0FFB"/>
    <w:rsid w:val="003F1CC7"/>
    <w:rsid w:val="003F1E60"/>
    <w:rsid w:val="003F1EA4"/>
    <w:rsid w:val="003F2209"/>
    <w:rsid w:val="003F2524"/>
    <w:rsid w:val="003F25B7"/>
    <w:rsid w:val="003F29DF"/>
    <w:rsid w:val="003F39D5"/>
    <w:rsid w:val="003F431F"/>
    <w:rsid w:val="003F58BB"/>
    <w:rsid w:val="003F590A"/>
    <w:rsid w:val="003F5AFF"/>
    <w:rsid w:val="003F5B55"/>
    <w:rsid w:val="003F5CBE"/>
    <w:rsid w:val="003F5F62"/>
    <w:rsid w:val="003F6BA5"/>
    <w:rsid w:val="003F70E2"/>
    <w:rsid w:val="003F717D"/>
    <w:rsid w:val="003F76DC"/>
    <w:rsid w:val="003F7903"/>
    <w:rsid w:val="0040056D"/>
    <w:rsid w:val="0040103C"/>
    <w:rsid w:val="0040128D"/>
    <w:rsid w:val="004014D4"/>
    <w:rsid w:val="00401895"/>
    <w:rsid w:val="00401941"/>
    <w:rsid w:val="0040246C"/>
    <w:rsid w:val="00402490"/>
    <w:rsid w:val="004043EC"/>
    <w:rsid w:val="004045B1"/>
    <w:rsid w:val="004046B3"/>
    <w:rsid w:val="00404FCE"/>
    <w:rsid w:val="00405BCB"/>
    <w:rsid w:val="00405D0A"/>
    <w:rsid w:val="004065DF"/>
    <w:rsid w:val="0040691E"/>
    <w:rsid w:val="00406B55"/>
    <w:rsid w:val="00406D5B"/>
    <w:rsid w:val="00406DA4"/>
    <w:rsid w:val="00407351"/>
    <w:rsid w:val="004077FC"/>
    <w:rsid w:val="00407B6E"/>
    <w:rsid w:val="00407CA6"/>
    <w:rsid w:val="00410B5C"/>
    <w:rsid w:val="0041253A"/>
    <w:rsid w:val="00412DD1"/>
    <w:rsid w:val="00413BF6"/>
    <w:rsid w:val="00413DCC"/>
    <w:rsid w:val="00413F1C"/>
    <w:rsid w:val="00414382"/>
    <w:rsid w:val="00414902"/>
    <w:rsid w:val="00414A80"/>
    <w:rsid w:val="00414CD9"/>
    <w:rsid w:val="0041510F"/>
    <w:rsid w:val="00415DC2"/>
    <w:rsid w:val="00416439"/>
    <w:rsid w:val="004179CC"/>
    <w:rsid w:val="00417F30"/>
    <w:rsid w:val="0042010F"/>
    <w:rsid w:val="00421312"/>
    <w:rsid w:val="00421611"/>
    <w:rsid w:val="00421DD2"/>
    <w:rsid w:val="00421EE2"/>
    <w:rsid w:val="00422B01"/>
    <w:rsid w:val="00422E21"/>
    <w:rsid w:val="004232EA"/>
    <w:rsid w:val="0042340C"/>
    <w:rsid w:val="00423479"/>
    <w:rsid w:val="00424426"/>
    <w:rsid w:val="004249DC"/>
    <w:rsid w:val="00424B5C"/>
    <w:rsid w:val="0042610A"/>
    <w:rsid w:val="0042610C"/>
    <w:rsid w:val="00426B93"/>
    <w:rsid w:val="004272BD"/>
    <w:rsid w:val="00427B7F"/>
    <w:rsid w:val="00430A42"/>
    <w:rsid w:val="00430A93"/>
    <w:rsid w:val="00430E16"/>
    <w:rsid w:val="00430FA1"/>
    <w:rsid w:val="00431143"/>
    <w:rsid w:val="00431636"/>
    <w:rsid w:val="0043174D"/>
    <w:rsid w:val="00431EEB"/>
    <w:rsid w:val="00432712"/>
    <w:rsid w:val="00432A14"/>
    <w:rsid w:val="004341D4"/>
    <w:rsid w:val="004344C9"/>
    <w:rsid w:val="00434AB2"/>
    <w:rsid w:val="00434BEE"/>
    <w:rsid w:val="00434C9B"/>
    <w:rsid w:val="00434DB4"/>
    <w:rsid w:val="0043577E"/>
    <w:rsid w:val="00435D9E"/>
    <w:rsid w:val="0043677B"/>
    <w:rsid w:val="00436F64"/>
    <w:rsid w:val="0043745D"/>
    <w:rsid w:val="00437603"/>
    <w:rsid w:val="00437677"/>
    <w:rsid w:val="00437A30"/>
    <w:rsid w:val="0044019F"/>
    <w:rsid w:val="004413CE"/>
    <w:rsid w:val="0044198F"/>
    <w:rsid w:val="00441ED5"/>
    <w:rsid w:val="00442092"/>
    <w:rsid w:val="004423D2"/>
    <w:rsid w:val="004424A1"/>
    <w:rsid w:val="004424CF"/>
    <w:rsid w:val="0044255E"/>
    <w:rsid w:val="00442CBB"/>
    <w:rsid w:val="00443E30"/>
    <w:rsid w:val="00444323"/>
    <w:rsid w:val="0044474E"/>
    <w:rsid w:val="00444BB6"/>
    <w:rsid w:val="0044564D"/>
    <w:rsid w:val="00445E77"/>
    <w:rsid w:val="004460EF"/>
    <w:rsid w:val="00446113"/>
    <w:rsid w:val="00446501"/>
    <w:rsid w:val="00446B60"/>
    <w:rsid w:val="00446BDC"/>
    <w:rsid w:val="00446C9E"/>
    <w:rsid w:val="00446EBA"/>
    <w:rsid w:val="00447173"/>
    <w:rsid w:val="00447312"/>
    <w:rsid w:val="00447594"/>
    <w:rsid w:val="00447DC2"/>
    <w:rsid w:val="00447EFA"/>
    <w:rsid w:val="0045032C"/>
    <w:rsid w:val="004516FB"/>
    <w:rsid w:val="00451906"/>
    <w:rsid w:val="00451940"/>
    <w:rsid w:val="00451D28"/>
    <w:rsid w:val="0045209E"/>
    <w:rsid w:val="004539B7"/>
    <w:rsid w:val="004540DB"/>
    <w:rsid w:val="004541BC"/>
    <w:rsid w:val="004541C1"/>
    <w:rsid w:val="004547A2"/>
    <w:rsid w:val="00454938"/>
    <w:rsid w:val="00454C8A"/>
    <w:rsid w:val="004563B8"/>
    <w:rsid w:val="004565F9"/>
    <w:rsid w:val="004567D5"/>
    <w:rsid w:val="00456BBC"/>
    <w:rsid w:val="00456D6E"/>
    <w:rsid w:val="004570CA"/>
    <w:rsid w:val="0045739F"/>
    <w:rsid w:val="004574AA"/>
    <w:rsid w:val="0045765D"/>
    <w:rsid w:val="0046026A"/>
    <w:rsid w:val="00460AEA"/>
    <w:rsid w:val="0046160B"/>
    <w:rsid w:val="004619D3"/>
    <w:rsid w:val="0046213A"/>
    <w:rsid w:val="004624F5"/>
    <w:rsid w:val="00462551"/>
    <w:rsid w:val="004630B8"/>
    <w:rsid w:val="00463E73"/>
    <w:rsid w:val="00464F76"/>
    <w:rsid w:val="00465A0A"/>
    <w:rsid w:val="00466ADF"/>
    <w:rsid w:val="00466B6B"/>
    <w:rsid w:val="00466CFF"/>
    <w:rsid w:val="00466D84"/>
    <w:rsid w:val="00467466"/>
    <w:rsid w:val="0046773C"/>
    <w:rsid w:val="00467879"/>
    <w:rsid w:val="0046793B"/>
    <w:rsid w:val="00467F46"/>
    <w:rsid w:val="004703FD"/>
    <w:rsid w:val="0047046D"/>
    <w:rsid w:val="004708CB"/>
    <w:rsid w:val="00470D49"/>
    <w:rsid w:val="00471253"/>
    <w:rsid w:val="00471FDC"/>
    <w:rsid w:val="00472257"/>
    <w:rsid w:val="004723F6"/>
    <w:rsid w:val="00472B27"/>
    <w:rsid w:val="00473164"/>
    <w:rsid w:val="00473397"/>
    <w:rsid w:val="00473694"/>
    <w:rsid w:val="00473CF4"/>
    <w:rsid w:val="004743A0"/>
    <w:rsid w:val="00475F72"/>
    <w:rsid w:val="00476509"/>
    <w:rsid w:val="00476804"/>
    <w:rsid w:val="00477056"/>
    <w:rsid w:val="00477DF5"/>
    <w:rsid w:val="00477F96"/>
    <w:rsid w:val="0048155C"/>
    <w:rsid w:val="0048291F"/>
    <w:rsid w:val="00483B3A"/>
    <w:rsid w:val="00484D6D"/>
    <w:rsid w:val="00485046"/>
    <w:rsid w:val="00485455"/>
    <w:rsid w:val="004854CD"/>
    <w:rsid w:val="00485656"/>
    <w:rsid w:val="004857A6"/>
    <w:rsid w:val="00485DEB"/>
    <w:rsid w:val="00486BD9"/>
    <w:rsid w:val="004904EF"/>
    <w:rsid w:val="004904F6"/>
    <w:rsid w:val="004905A9"/>
    <w:rsid w:val="004905BD"/>
    <w:rsid w:val="00490951"/>
    <w:rsid w:val="00491B2A"/>
    <w:rsid w:val="00492827"/>
    <w:rsid w:val="00492867"/>
    <w:rsid w:val="00493FC6"/>
    <w:rsid w:val="00494325"/>
    <w:rsid w:val="004951E3"/>
    <w:rsid w:val="00495C21"/>
    <w:rsid w:val="0049603B"/>
    <w:rsid w:val="004965F5"/>
    <w:rsid w:val="00496AE6"/>
    <w:rsid w:val="00497440"/>
    <w:rsid w:val="00497664"/>
    <w:rsid w:val="00497F1D"/>
    <w:rsid w:val="004A02F8"/>
    <w:rsid w:val="004A0CFF"/>
    <w:rsid w:val="004A1188"/>
    <w:rsid w:val="004A14BD"/>
    <w:rsid w:val="004A2E41"/>
    <w:rsid w:val="004A3613"/>
    <w:rsid w:val="004A4268"/>
    <w:rsid w:val="004A4852"/>
    <w:rsid w:val="004A4C6B"/>
    <w:rsid w:val="004A5293"/>
    <w:rsid w:val="004A560C"/>
    <w:rsid w:val="004A562D"/>
    <w:rsid w:val="004A5779"/>
    <w:rsid w:val="004A58F7"/>
    <w:rsid w:val="004A66CB"/>
    <w:rsid w:val="004A6E5D"/>
    <w:rsid w:val="004A6F4E"/>
    <w:rsid w:val="004A6FFC"/>
    <w:rsid w:val="004A7B35"/>
    <w:rsid w:val="004B059C"/>
    <w:rsid w:val="004B0687"/>
    <w:rsid w:val="004B0D37"/>
    <w:rsid w:val="004B1724"/>
    <w:rsid w:val="004B1F55"/>
    <w:rsid w:val="004B2B9C"/>
    <w:rsid w:val="004B2F54"/>
    <w:rsid w:val="004B33AC"/>
    <w:rsid w:val="004B358A"/>
    <w:rsid w:val="004B372C"/>
    <w:rsid w:val="004B38B1"/>
    <w:rsid w:val="004B39F2"/>
    <w:rsid w:val="004B404B"/>
    <w:rsid w:val="004B45C3"/>
    <w:rsid w:val="004B572D"/>
    <w:rsid w:val="004B5C8B"/>
    <w:rsid w:val="004B5F3D"/>
    <w:rsid w:val="004B6089"/>
    <w:rsid w:val="004B63F8"/>
    <w:rsid w:val="004B714E"/>
    <w:rsid w:val="004B7474"/>
    <w:rsid w:val="004B7943"/>
    <w:rsid w:val="004B7BED"/>
    <w:rsid w:val="004C0CF4"/>
    <w:rsid w:val="004C10E9"/>
    <w:rsid w:val="004C121F"/>
    <w:rsid w:val="004C135A"/>
    <w:rsid w:val="004C17C1"/>
    <w:rsid w:val="004C1B1E"/>
    <w:rsid w:val="004C1E7F"/>
    <w:rsid w:val="004C20C0"/>
    <w:rsid w:val="004C2704"/>
    <w:rsid w:val="004C2893"/>
    <w:rsid w:val="004C2EB1"/>
    <w:rsid w:val="004C3B2F"/>
    <w:rsid w:val="004C3C58"/>
    <w:rsid w:val="004C3D89"/>
    <w:rsid w:val="004C3E90"/>
    <w:rsid w:val="004C42F3"/>
    <w:rsid w:val="004C4B3A"/>
    <w:rsid w:val="004C563C"/>
    <w:rsid w:val="004C5A7F"/>
    <w:rsid w:val="004C6086"/>
    <w:rsid w:val="004C63E0"/>
    <w:rsid w:val="004C6423"/>
    <w:rsid w:val="004C673C"/>
    <w:rsid w:val="004C6CF9"/>
    <w:rsid w:val="004C7621"/>
    <w:rsid w:val="004C7E2A"/>
    <w:rsid w:val="004D024A"/>
    <w:rsid w:val="004D1757"/>
    <w:rsid w:val="004D1908"/>
    <w:rsid w:val="004D1A61"/>
    <w:rsid w:val="004D2616"/>
    <w:rsid w:val="004D2C1F"/>
    <w:rsid w:val="004D3972"/>
    <w:rsid w:val="004D40A1"/>
    <w:rsid w:val="004D4435"/>
    <w:rsid w:val="004D4725"/>
    <w:rsid w:val="004D47C1"/>
    <w:rsid w:val="004D4AB7"/>
    <w:rsid w:val="004D5236"/>
    <w:rsid w:val="004D545D"/>
    <w:rsid w:val="004D590E"/>
    <w:rsid w:val="004D6AAF"/>
    <w:rsid w:val="004D6E7B"/>
    <w:rsid w:val="004D709A"/>
    <w:rsid w:val="004E04D6"/>
    <w:rsid w:val="004E0645"/>
    <w:rsid w:val="004E07EF"/>
    <w:rsid w:val="004E0AEB"/>
    <w:rsid w:val="004E14F9"/>
    <w:rsid w:val="004E1633"/>
    <w:rsid w:val="004E1902"/>
    <w:rsid w:val="004E19B5"/>
    <w:rsid w:val="004E20A1"/>
    <w:rsid w:val="004E278F"/>
    <w:rsid w:val="004E2AAC"/>
    <w:rsid w:val="004E3ABD"/>
    <w:rsid w:val="004E3E85"/>
    <w:rsid w:val="004E40D4"/>
    <w:rsid w:val="004E440D"/>
    <w:rsid w:val="004E46E5"/>
    <w:rsid w:val="004E474A"/>
    <w:rsid w:val="004E47F8"/>
    <w:rsid w:val="004E49AA"/>
    <w:rsid w:val="004E4B43"/>
    <w:rsid w:val="004E5823"/>
    <w:rsid w:val="004E58F9"/>
    <w:rsid w:val="004E5D17"/>
    <w:rsid w:val="004E6067"/>
    <w:rsid w:val="004E635E"/>
    <w:rsid w:val="004E66CD"/>
    <w:rsid w:val="004E6C8F"/>
    <w:rsid w:val="004E6DCA"/>
    <w:rsid w:val="004E6F9E"/>
    <w:rsid w:val="004E71A2"/>
    <w:rsid w:val="004E7F0F"/>
    <w:rsid w:val="004F0EEA"/>
    <w:rsid w:val="004F0FD5"/>
    <w:rsid w:val="004F16BB"/>
    <w:rsid w:val="004F1A78"/>
    <w:rsid w:val="004F1F25"/>
    <w:rsid w:val="004F2003"/>
    <w:rsid w:val="004F27DD"/>
    <w:rsid w:val="004F3AD7"/>
    <w:rsid w:val="004F43DC"/>
    <w:rsid w:val="004F46C5"/>
    <w:rsid w:val="005002DC"/>
    <w:rsid w:val="00500A18"/>
    <w:rsid w:val="0050181B"/>
    <w:rsid w:val="00501D18"/>
    <w:rsid w:val="0050218F"/>
    <w:rsid w:val="0050269C"/>
    <w:rsid w:val="00502A11"/>
    <w:rsid w:val="00503669"/>
    <w:rsid w:val="00503BD5"/>
    <w:rsid w:val="00503E80"/>
    <w:rsid w:val="00505CBE"/>
    <w:rsid w:val="005061ED"/>
    <w:rsid w:val="00506661"/>
    <w:rsid w:val="00506B2D"/>
    <w:rsid w:val="00506D75"/>
    <w:rsid w:val="00510159"/>
    <w:rsid w:val="00510211"/>
    <w:rsid w:val="0051057B"/>
    <w:rsid w:val="005121FD"/>
    <w:rsid w:val="005124E0"/>
    <w:rsid w:val="00513295"/>
    <w:rsid w:val="00513387"/>
    <w:rsid w:val="0051348B"/>
    <w:rsid w:val="005134EB"/>
    <w:rsid w:val="005136D4"/>
    <w:rsid w:val="00514291"/>
    <w:rsid w:val="005143DB"/>
    <w:rsid w:val="005145C3"/>
    <w:rsid w:val="00514644"/>
    <w:rsid w:val="005154ED"/>
    <w:rsid w:val="0051551D"/>
    <w:rsid w:val="00515662"/>
    <w:rsid w:val="00515845"/>
    <w:rsid w:val="00515A06"/>
    <w:rsid w:val="005174E3"/>
    <w:rsid w:val="005175D1"/>
    <w:rsid w:val="005179E2"/>
    <w:rsid w:val="005201D5"/>
    <w:rsid w:val="0052081B"/>
    <w:rsid w:val="005209AE"/>
    <w:rsid w:val="00520FED"/>
    <w:rsid w:val="005220D6"/>
    <w:rsid w:val="00522251"/>
    <w:rsid w:val="0052235F"/>
    <w:rsid w:val="00522C81"/>
    <w:rsid w:val="005237E2"/>
    <w:rsid w:val="00523B0B"/>
    <w:rsid w:val="0052426E"/>
    <w:rsid w:val="00524335"/>
    <w:rsid w:val="0052441F"/>
    <w:rsid w:val="005249C7"/>
    <w:rsid w:val="005252AC"/>
    <w:rsid w:val="0052584A"/>
    <w:rsid w:val="00525D01"/>
    <w:rsid w:val="005260F3"/>
    <w:rsid w:val="00526EA4"/>
    <w:rsid w:val="00527260"/>
    <w:rsid w:val="005275B8"/>
    <w:rsid w:val="00527615"/>
    <w:rsid w:val="00530125"/>
    <w:rsid w:val="005321F8"/>
    <w:rsid w:val="00532D78"/>
    <w:rsid w:val="00533ABF"/>
    <w:rsid w:val="00534400"/>
    <w:rsid w:val="00534593"/>
    <w:rsid w:val="005345B7"/>
    <w:rsid w:val="00535063"/>
    <w:rsid w:val="00535984"/>
    <w:rsid w:val="005359C7"/>
    <w:rsid w:val="00536AEC"/>
    <w:rsid w:val="00537023"/>
    <w:rsid w:val="00537A9D"/>
    <w:rsid w:val="00537DC2"/>
    <w:rsid w:val="0054087C"/>
    <w:rsid w:val="0054101E"/>
    <w:rsid w:val="00541071"/>
    <w:rsid w:val="00541E60"/>
    <w:rsid w:val="005421BE"/>
    <w:rsid w:val="005422E6"/>
    <w:rsid w:val="005423B2"/>
    <w:rsid w:val="0054255F"/>
    <w:rsid w:val="005430CA"/>
    <w:rsid w:val="005431B8"/>
    <w:rsid w:val="00543248"/>
    <w:rsid w:val="00543A8A"/>
    <w:rsid w:val="00543AF6"/>
    <w:rsid w:val="00543E65"/>
    <w:rsid w:val="0054428A"/>
    <w:rsid w:val="0054462A"/>
    <w:rsid w:val="005447E7"/>
    <w:rsid w:val="00546772"/>
    <w:rsid w:val="00547119"/>
    <w:rsid w:val="0054751A"/>
    <w:rsid w:val="005477D2"/>
    <w:rsid w:val="005507D2"/>
    <w:rsid w:val="00551992"/>
    <w:rsid w:val="00551D87"/>
    <w:rsid w:val="00552272"/>
    <w:rsid w:val="005529B5"/>
    <w:rsid w:val="00552D8C"/>
    <w:rsid w:val="00553718"/>
    <w:rsid w:val="0055373A"/>
    <w:rsid w:val="0055419A"/>
    <w:rsid w:val="0055429B"/>
    <w:rsid w:val="0055532A"/>
    <w:rsid w:val="0055571C"/>
    <w:rsid w:val="00555F41"/>
    <w:rsid w:val="0055657D"/>
    <w:rsid w:val="00556FD5"/>
    <w:rsid w:val="0055701F"/>
    <w:rsid w:val="005575E6"/>
    <w:rsid w:val="00557B59"/>
    <w:rsid w:val="00557DFA"/>
    <w:rsid w:val="005600DA"/>
    <w:rsid w:val="0056060F"/>
    <w:rsid w:val="00560700"/>
    <w:rsid w:val="00560822"/>
    <w:rsid w:val="00560AEB"/>
    <w:rsid w:val="00560CFB"/>
    <w:rsid w:val="00561DB0"/>
    <w:rsid w:val="00561FF7"/>
    <w:rsid w:val="005628A5"/>
    <w:rsid w:val="00562E54"/>
    <w:rsid w:val="005638BB"/>
    <w:rsid w:val="005639A0"/>
    <w:rsid w:val="005639C5"/>
    <w:rsid w:val="00563B53"/>
    <w:rsid w:val="005652D2"/>
    <w:rsid w:val="00565DC7"/>
    <w:rsid w:val="005661CB"/>
    <w:rsid w:val="00566727"/>
    <w:rsid w:val="00566CFD"/>
    <w:rsid w:val="00567258"/>
    <w:rsid w:val="00570A37"/>
    <w:rsid w:val="0057160B"/>
    <w:rsid w:val="00571F9C"/>
    <w:rsid w:val="00572054"/>
    <w:rsid w:val="00572064"/>
    <w:rsid w:val="005725AD"/>
    <w:rsid w:val="0057350C"/>
    <w:rsid w:val="00574210"/>
    <w:rsid w:val="00574266"/>
    <w:rsid w:val="00574B83"/>
    <w:rsid w:val="0057500C"/>
    <w:rsid w:val="005762CE"/>
    <w:rsid w:val="005765C9"/>
    <w:rsid w:val="00576EA5"/>
    <w:rsid w:val="00576F67"/>
    <w:rsid w:val="00577922"/>
    <w:rsid w:val="00577D08"/>
    <w:rsid w:val="0058005C"/>
    <w:rsid w:val="005807B1"/>
    <w:rsid w:val="00580C3E"/>
    <w:rsid w:val="00581394"/>
    <w:rsid w:val="00581586"/>
    <w:rsid w:val="00581F46"/>
    <w:rsid w:val="0058267C"/>
    <w:rsid w:val="0058280D"/>
    <w:rsid w:val="00582DA2"/>
    <w:rsid w:val="00583182"/>
    <w:rsid w:val="005836F0"/>
    <w:rsid w:val="005839E6"/>
    <w:rsid w:val="00583AA2"/>
    <w:rsid w:val="00583FFF"/>
    <w:rsid w:val="005844C2"/>
    <w:rsid w:val="005849AD"/>
    <w:rsid w:val="00584B83"/>
    <w:rsid w:val="00584C34"/>
    <w:rsid w:val="00584D62"/>
    <w:rsid w:val="00584DD8"/>
    <w:rsid w:val="0058530C"/>
    <w:rsid w:val="00585500"/>
    <w:rsid w:val="00585C61"/>
    <w:rsid w:val="00586272"/>
    <w:rsid w:val="00586274"/>
    <w:rsid w:val="00586F91"/>
    <w:rsid w:val="00587297"/>
    <w:rsid w:val="005872DD"/>
    <w:rsid w:val="005876C5"/>
    <w:rsid w:val="00587D5A"/>
    <w:rsid w:val="00587E16"/>
    <w:rsid w:val="00587F6D"/>
    <w:rsid w:val="005901EE"/>
    <w:rsid w:val="00590360"/>
    <w:rsid w:val="005904DF"/>
    <w:rsid w:val="0059058B"/>
    <w:rsid w:val="00590F98"/>
    <w:rsid w:val="0059118A"/>
    <w:rsid w:val="00591BE6"/>
    <w:rsid w:val="00591C76"/>
    <w:rsid w:val="00592807"/>
    <w:rsid w:val="00593290"/>
    <w:rsid w:val="0059332F"/>
    <w:rsid w:val="00593C3D"/>
    <w:rsid w:val="00594550"/>
    <w:rsid w:val="0059599D"/>
    <w:rsid w:val="005959E3"/>
    <w:rsid w:val="005961DC"/>
    <w:rsid w:val="00596D07"/>
    <w:rsid w:val="00597527"/>
    <w:rsid w:val="005A0039"/>
    <w:rsid w:val="005A0416"/>
    <w:rsid w:val="005A05A0"/>
    <w:rsid w:val="005A095B"/>
    <w:rsid w:val="005A0C71"/>
    <w:rsid w:val="005A0CA8"/>
    <w:rsid w:val="005A2943"/>
    <w:rsid w:val="005A2B2D"/>
    <w:rsid w:val="005A3365"/>
    <w:rsid w:val="005A3681"/>
    <w:rsid w:val="005A4450"/>
    <w:rsid w:val="005A4645"/>
    <w:rsid w:val="005A46E7"/>
    <w:rsid w:val="005A4801"/>
    <w:rsid w:val="005A496C"/>
    <w:rsid w:val="005A5428"/>
    <w:rsid w:val="005A54D9"/>
    <w:rsid w:val="005A62EB"/>
    <w:rsid w:val="005A63D9"/>
    <w:rsid w:val="005A644D"/>
    <w:rsid w:val="005A64E4"/>
    <w:rsid w:val="005A6EFD"/>
    <w:rsid w:val="005A723B"/>
    <w:rsid w:val="005A76C0"/>
    <w:rsid w:val="005A76F5"/>
    <w:rsid w:val="005B10D9"/>
    <w:rsid w:val="005B11EE"/>
    <w:rsid w:val="005B14C2"/>
    <w:rsid w:val="005B17BB"/>
    <w:rsid w:val="005B19BC"/>
    <w:rsid w:val="005B1AAA"/>
    <w:rsid w:val="005B1D8E"/>
    <w:rsid w:val="005B2509"/>
    <w:rsid w:val="005B2BED"/>
    <w:rsid w:val="005B2F78"/>
    <w:rsid w:val="005B3716"/>
    <w:rsid w:val="005B37E5"/>
    <w:rsid w:val="005B3F1E"/>
    <w:rsid w:val="005B430A"/>
    <w:rsid w:val="005B447F"/>
    <w:rsid w:val="005B5638"/>
    <w:rsid w:val="005B576E"/>
    <w:rsid w:val="005B5FF8"/>
    <w:rsid w:val="005B639E"/>
    <w:rsid w:val="005C0506"/>
    <w:rsid w:val="005C0A23"/>
    <w:rsid w:val="005C0C11"/>
    <w:rsid w:val="005C0DDC"/>
    <w:rsid w:val="005C0EB1"/>
    <w:rsid w:val="005C115A"/>
    <w:rsid w:val="005C139E"/>
    <w:rsid w:val="005C19E3"/>
    <w:rsid w:val="005C1B14"/>
    <w:rsid w:val="005C1E86"/>
    <w:rsid w:val="005C1FAB"/>
    <w:rsid w:val="005C274E"/>
    <w:rsid w:val="005C323A"/>
    <w:rsid w:val="005C3903"/>
    <w:rsid w:val="005C3994"/>
    <w:rsid w:val="005C3FEC"/>
    <w:rsid w:val="005C43A2"/>
    <w:rsid w:val="005C4E28"/>
    <w:rsid w:val="005C539B"/>
    <w:rsid w:val="005C53D9"/>
    <w:rsid w:val="005C7056"/>
    <w:rsid w:val="005C742C"/>
    <w:rsid w:val="005C7590"/>
    <w:rsid w:val="005C77BB"/>
    <w:rsid w:val="005C7A51"/>
    <w:rsid w:val="005D040B"/>
    <w:rsid w:val="005D04C0"/>
    <w:rsid w:val="005D0613"/>
    <w:rsid w:val="005D06B5"/>
    <w:rsid w:val="005D0ABA"/>
    <w:rsid w:val="005D0B27"/>
    <w:rsid w:val="005D0BDA"/>
    <w:rsid w:val="005D0E99"/>
    <w:rsid w:val="005D0F68"/>
    <w:rsid w:val="005D13FA"/>
    <w:rsid w:val="005D1728"/>
    <w:rsid w:val="005D23F1"/>
    <w:rsid w:val="005D242F"/>
    <w:rsid w:val="005D24FB"/>
    <w:rsid w:val="005D27F7"/>
    <w:rsid w:val="005D2D96"/>
    <w:rsid w:val="005D2DD0"/>
    <w:rsid w:val="005D2EDD"/>
    <w:rsid w:val="005D301C"/>
    <w:rsid w:val="005D3104"/>
    <w:rsid w:val="005D3105"/>
    <w:rsid w:val="005D39D8"/>
    <w:rsid w:val="005D3A58"/>
    <w:rsid w:val="005D3AC5"/>
    <w:rsid w:val="005D45CA"/>
    <w:rsid w:val="005D478C"/>
    <w:rsid w:val="005D4FDE"/>
    <w:rsid w:val="005D5D4A"/>
    <w:rsid w:val="005D6925"/>
    <w:rsid w:val="005D69A6"/>
    <w:rsid w:val="005D70D2"/>
    <w:rsid w:val="005D7922"/>
    <w:rsid w:val="005D7F1B"/>
    <w:rsid w:val="005E0309"/>
    <w:rsid w:val="005E07BC"/>
    <w:rsid w:val="005E0929"/>
    <w:rsid w:val="005E0D9B"/>
    <w:rsid w:val="005E0E10"/>
    <w:rsid w:val="005E1035"/>
    <w:rsid w:val="005E11A4"/>
    <w:rsid w:val="005E1BA0"/>
    <w:rsid w:val="005E1D29"/>
    <w:rsid w:val="005E1F17"/>
    <w:rsid w:val="005E251B"/>
    <w:rsid w:val="005E25D0"/>
    <w:rsid w:val="005E2CD8"/>
    <w:rsid w:val="005E3B68"/>
    <w:rsid w:val="005E4F80"/>
    <w:rsid w:val="005E6049"/>
    <w:rsid w:val="005E614C"/>
    <w:rsid w:val="005E6C90"/>
    <w:rsid w:val="005E789F"/>
    <w:rsid w:val="005E7F7B"/>
    <w:rsid w:val="005F058F"/>
    <w:rsid w:val="005F0AE1"/>
    <w:rsid w:val="005F0FB4"/>
    <w:rsid w:val="005F10F9"/>
    <w:rsid w:val="005F1595"/>
    <w:rsid w:val="005F1920"/>
    <w:rsid w:val="005F1D8E"/>
    <w:rsid w:val="005F287B"/>
    <w:rsid w:val="005F2AE7"/>
    <w:rsid w:val="005F3510"/>
    <w:rsid w:val="005F4102"/>
    <w:rsid w:val="005F42F6"/>
    <w:rsid w:val="005F4343"/>
    <w:rsid w:val="005F5F93"/>
    <w:rsid w:val="005F6713"/>
    <w:rsid w:val="005F6BB1"/>
    <w:rsid w:val="005F6FC1"/>
    <w:rsid w:val="005F7256"/>
    <w:rsid w:val="005F73F0"/>
    <w:rsid w:val="005F7DAF"/>
    <w:rsid w:val="005F7F07"/>
    <w:rsid w:val="0060039B"/>
    <w:rsid w:val="00600E59"/>
    <w:rsid w:val="00600FA8"/>
    <w:rsid w:val="00601512"/>
    <w:rsid w:val="00601AF5"/>
    <w:rsid w:val="00601E29"/>
    <w:rsid w:val="00602669"/>
    <w:rsid w:val="00602696"/>
    <w:rsid w:val="00602841"/>
    <w:rsid w:val="006029DF"/>
    <w:rsid w:val="006030AB"/>
    <w:rsid w:val="006038B6"/>
    <w:rsid w:val="00604182"/>
    <w:rsid w:val="0060431F"/>
    <w:rsid w:val="0060457F"/>
    <w:rsid w:val="00604818"/>
    <w:rsid w:val="006049D6"/>
    <w:rsid w:val="00605D11"/>
    <w:rsid w:val="006067BA"/>
    <w:rsid w:val="0060684F"/>
    <w:rsid w:val="00606BE4"/>
    <w:rsid w:val="006079E9"/>
    <w:rsid w:val="00610044"/>
    <w:rsid w:val="00610319"/>
    <w:rsid w:val="00610DBC"/>
    <w:rsid w:val="00611647"/>
    <w:rsid w:val="006119E7"/>
    <w:rsid w:val="00611EAD"/>
    <w:rsid w:val="006127B2"/>
    <w:rsid w:val="00612AEA"/>
    <w:rsid w:val="00612B43"/>
    <w:rsid w:val="00612E52"/>
    <w:rsid w:val="00613DF8"/>
    <w:rsid w:val="0061499C"/>
    <w:rsid w:val="00614C3E"/>
    <w:rsid w:val="00616344"/>
    <w:rsid w:val="0061654E"/>
    <w:rsid w:val="00616A56"/>
    <w:rsid w:val="00616AB8"/>
    <w:rsid w:val="00617301"/>
    <w:rsid w:val="00617809"/>
    <w:rsid w:val="00617F41"/>
    <w:rsid w:val="00621596"/>
    <w:rsid w:val="00622073"/>
    <w:rsid w:val="0062214B"/>
    <w:rsid w:val="00623963"/>
    <w:rsid w:val="0062435C"/>
    <w:rsid w:val="00624780"/>
    <w:rsid w:val="006251EE"/>
    <w:rsid w:val="0062534C"/>
    <w:rsid w:val="006256E0"/>
    <w:rsid w:val="00627422"/>
    <w:rsid w:val="00630460"/>
    <w:rsid w:val="0063049B"/>
    <w:rsid w:val="00630709"/>
    <w:rsid w:val="00630C85"/>
    <w:rsid w:val="00631F7D"/>
    <w:rsid w:val="00632CC9"/>
    <w:rsid w:val="006338D4"/>
    <w:rsid w:val="00634032"/>
    <w:rsid w:val="00634415"/>
    <w:rsid w:val="00634D71"/>
    <w:rsid w:val="0063539F"/>
    <w:rsid w:val="0063543D"/>
    <w:rsid w:val="0063575F"/>
    <w:rsid w:val="00635F6B"/>
    <w:rsid w:val="00636947"/>
    <w:rsid w:val="00636AAF"/>
    <w:rsid w:val="00636DBA"/>
    <w:rsid w:val="00637408"/>
    <w:rsid w:val="006376E9"/>
    <w:rsid w:val="00640708"/>
    <w:rsid w:val="00641301"/>
    <w:rsid w:val="006414E1"/>
    <w:rsid w:val="00642618"/>
    <w:rsid w:val="006435BC"/>
    <w:rsid w:val="00643CAC"/>
    <w:rsid w:val="00643F86"/>
    <w:rsid w:val="00643FBB"/>
    <w:rsid w:val="00643FFD"/>
    <w:rsid w:val="0064420B"/>
    <w:rsid w:val="0064599C"/>
    <w:rsid w:val="00645F4E"/>
    <w:rsid w:val="00645F79"/>
    <w:rsid w:val="00645FD9"/>
    <w:rsid w:val="006460BC"/>
    <w:rsid w:val="00646784"/>
    <w:rsid w:val="00646BB2"/>
    <w:rsid w:val="006473ED"/>
    <w:rsid w:val="00650E3D"/>
    <w:rsid w:val="0065169B"/>
    <w:rsid w:val="006521C3"/>
    <w:rsid w:val="0065269A"/>
    <w:rsid w:val="006534E5"/>
    <w:rsid w:val="00653598"/>
    <w:rsid w:val="00653656"/>
    <w:rsid w:val="0065417F"/>
    <w:rsid w:val="006546D3"/>
    <w:rsid w:val="00654723"/>
    <w:rsid w:val="0065473D"/>
    <w:rsid w:val="006554E4"/>
    <w:rsid w:val="00655508"/>
    <w:rsid w:val="00655C14"/>
    <w:rsid w:val="00655EAB"/>
    <w:rsid w:val="00660892"/>
    <w:rsid w:val="0066095C"/>
    <w:rsid w:val="00660968"/>
    <w:rsid w:val="00660B6E"/>
    <w:rsid w:val="00660BA2"/>
    <w:rsid w:val="00660D2B"/>
    <w:rsid w:val="00660FAD"/>
    <w:rsid w:val="00661454"/>
    <w:rsid w:val="0066153F"/>
    <w:rsid w:val="00661806"/>
    <w:rsid w:val="00661D28"/>
    <w:rsid w:val="0066212A"/>
    <w:rsid w:val="00662531"/>
    <w:rsid w:val="00662823"/>
    <w:rsid w:val="00662B10"/>
    <w:rsid w:val="00662C52"/>
    <w:rsid w:val="00663195"/>
    <w:rsid w:val="006632B5"/>
    <w:rsid w:val="006634C6"/>
    <w:rsid w:val="00663666"/>
    <w:rsid w:val="00663FBB"/>
    <w:rsid w:val="0066453B"/>
    <w:rsid w:val="0066538F"/>
    <w:rsid w:val="006659B3"/>
    <w:rsid w:val="00665B10"/>
    <w:rsid w:val="00665EB3"/>
    <w:rsid w:val="0066687F"/>
    <w:rsid w:val="00666C2C"/>
    <w:rsid w:val="00666CD1"/>
    <w:rsid w:val="00666E88"/>
    <w:rsid w:val="00667054"/>
    <w:rsid w:val="0066717B"/>
    <w:rsid w:val="006676ED"/>
    <w:rsid w:val="00667EB4"/>
    <w:rsid w:val="00670631"/>
    <w:rsid w:val="006709B7"/>
    <w:rsid w:val="00670DBC"/>
    <w:rsid w:val="00670F81"/>
    <w:rsid w:val="00671C1E"/>
    <w:rsid w:val="00671D5C"/>
    <w:rsid w:val="0067247B"/>
    <w:rsid w:val="00672EF2"/>
    <w:rsid w:val="00672F0A"/>
    <w:rsid w:val="0067321B"/>
    <w:rsid w:val="006733CC"/>
    <w:rsid w:val="006737F7"/>
    <w:rsid w:val="0067382A"/>
    <w:rsid w:val="00673DF3"/>
    <w:rsid w:val="00673DFB"/>
    <w:rsid w:val="00674388"/>
    <w:rsid w:val="00674C2B"/>
    <w:rsid w:val="00674D3F"/>
    <w:rsid w:val="00674F9F"/>
    <w:rsid w:val="006753B6"/>
    <w:rsid w:val="0067545E"/>
    <w:rsid w:val="00675531"/>
    <w:rsid w:val="00675D96"/>
    <w:rsid w:val="00675E48"/>
    <w:rsid w:val="006761E5"/>
    <w:rsid w:val="00676222"/>
    <w:rsid w:val="0067645D"/>
    <w:rsid w:val="00676B86"/>
    <w:rsid w:val="00676FAD"/>
    <w:rsid w:val="006777F8"/>
    <w:rsid w:val="00677988"/>
    <w:rsid w:val="00677B73"/>
    <w:rsid w:val="00677EFE"/>
    <w:rsid w:val="006804F9"/>
    <w:rsid w:val="00680AA4"/>
    <w:rsid w:val="006814E1"/>
    <w:rsid w:val="006814EC"/>
    <w:rsid w:val="00683233"/>
    <w:rsid w:val="00683412"/>
    <w:rsid w:val="006835F7"/>
    <w:rsid w:val="00684472"/>
    <w:rsid w:val="0068491D"/>
    <w:rsid w:val="00684B37"/>
    <w:rsid w:val="006850C1"/>
    <w:rsid w:val="006854D0"/>
    <w:rsid w:val="00685664"/>
    <w:rsid w:val="00685A0C"/>
    <w:rsid w:val="0068653A"/>
    <w:rsid w:val="0068682F"/>
    <w:rsid w:val="00686C97"/>
    <w:rsid w:val="00690102"/>
    <w:rsid w:val="0069023A"/>
    <w:rsid w:val="00690BDD"/>
    <w:rsid w:val="00690C49"/>
    <w:rsid w:val="006916E5"/>
    <w:rsid w:val="006918F9"/>
    <w:rsid w:val="00691CC3"/>
    <w:rsid w:val="00692CCE"/>
    <w:rsid w:val="00692EFA"/>
    <w:rsid w:val="00692F08"/>
    <w:rsid w:val="00692FEF"/>
    <w:rsid w:val="006933A7"/>
    <w:rsid w:val="0069403A"/>
    <w:rsid w:val="0069413F"/>
    <w:rsid w:val="006945BA"/>
    <w:rsid w:val="006947A9"/>
    <w:rsid w:val="006947DB"/>
    <w:rsid w:val="006948BD"/>
    <w:rsid w:val="00694ABE"/>
    <w:rsid w:val="00694B2C"/>
    <w:rsid w:val="00695CF6"/>
    <w:rsid w:val="0069622D"/>
    <w:rsid w:val="00696B1C"/>
    <w:rsid w:val="00697056"/>
    <w:rsid w:val="006A0324"/>
    <w:rsid w:val="006A0329"/>
    <w:rsid w:val="006A0CBE"/>
    <w:rsid w:val="006A194C"/>
    <w:rsid w:val="006A29A9"/>
    <w:rsid w:val="006A359D"/>
    <w:rsid w:val="006A3E1E"/>
    <w:rsid w:val="006A46DE"/>
    <w:rsid w:val="006A549F"/>
    <w:rsid w:val="006A5911"/>
    <w:rsid w:val="006A63DB"/>
    <w:rsid w:val="006A65EE"/>
    <w:rsid w:val="006A69DC"/>
    <w:rsid w:val="006A6E1A"/>
    <w:rsid w:val="006A70E7"/>
    <w:rsid w:val="006A779E"/>
    <w:rsid w:val="006A7AD5"/>
    <w:rsid w:val="006A7DF9"/>
    <w:rsid w:val="006B0231"/>
    <w:rsid w:val="006B0C12"/>
    <w:rsid w:val="006B0CCA"/>
    <w:rsid w:val="006B10A4"/>
    <w:rsid w:val="006B10E5"/>
    <w:rsid w:val="006B2542"/>
    <w:rsid w:val="006B3CE2"/>
    <w:rsid w:val="006B429B"/>
    <w:rsid w:val="006B4461"/>
    <w:rsid w:val="006B52D0"/>
    <w:rsid w:val="006B5E1B"/>
    <w:rsid w:val="006B67D1"/>
    <w:rsid w:val="006B67E2"/>
    <w:rsid w:val="006B6C10"/>
    <w:rsid w:val="006B73A4"/>
    <w:rsid w:val="006B7858"/>
    <w:rsid w:val="006B7890"/>
    <w:rsid w:val="006B79C8"/>
    <w:rsid w:val="006C059A"/>
    <w:rsid w:val="006C05DA"/>
    <w:rsid w:val="006C24F7"/>
    <w:rsid w:val="006C3028"/>
    <w:rsid w:val="006C3338"/>
    <w:rsid w:val="006C442A"/>
    <w:rsid w:val="006C48E1"/>
    <w:rsid w:val="006C4955"/>
    <w:rsid w:val="006C49A1"/>
    <w:rsid w:val="006C4E71"/>
    <w:rsid w:val="006C5257"/>
    <w:rsid w:val="006C53BE"/>
    <w:rsid w:val="006C5486"/>
    <w:rsid w:val="006C56F9"/>
    <w:rsid w:val="006C6CD8"/>
    <w:rsid w:val="006C7D99"/>
    <w:rsid w:val="006D0517"/>
    <w:rsid w:val="006D0B42"/>
    <w:rsid w:val="006D0EBD"/>
    <w:rsid w:val="006D21B7"/>
    <w:rsid w:val="006D27BD"/>
    <w:rsid w:val="006D290E"/>
    <w:rsid w:val="006D2E40"/>
    <w:rsid w:val="006D2F84"/>
    <w:rsid w:val="006D369F"/>
    <w:rsid w:val="006D438C"/>
    <w:rsid w:val="006D4617"/>
    <w:rsid w:val="006D4838"/>
    <w:rsid w:val="006D511A"/>
    <w:rsid w:val="006D51AD"/>
    <w:rsid w:val="006D556D"/>
    <w:rsid w:val="006D5D41"/>
    <w:rsid w:val="006D6DB1"/>
    <w:rsid w:val="006D6E3D"/>
    <w:rsid w:val="006D6EAF"/>
    <w:rsid w:val="006D7633"/>
    <w:rsid w:val="006D7A09"/>
    <w:rsid w:val="006E0431"/>
    <w:rsid w:val="006E0884"/>
    <w:rsid w:val="006E0CEF"/>
    <w:rsid w:val="006E0EC5"/>
    <w:rsid w:val="006E135F"/>
    <w:rsid w:val="006E18DE"/>
    <w:rsid w:val="006E1B2C"/>
    <w:rsid w:val="006E1D9F"/>
    <w:rsid w:val="006E1E5B"/>
    <w:rsid w:val="006E278E"/>
    <w:rsid w:val="006E289F"/>
    <w:rsid w:val="006E2E42"/>
    <w:rsid w:val="006E3DE7"/>
    <w:rsid w:val="006E41F7"/>
    <w:rsid w:val="006E4A23"/>
    <w:rsid w:val="006E4E78"/>
    <w:rsid w:val="006E50D9"/>
    <w:rsid w:val="006E7432"/>
    <w:rsid w:val="006E7652"/>
    <w:rsid w:val="006E7A41"/>
    <w:rsid w:val="006E7F11"/>
    <w:rsid w:val="006F0647"/>
    <w:rsid w:val="006F13E7"/>
    <w:rsid w:val="006F174B"/>
    <w:rsid w:val="006F1A76"/>
    <w:rsid w:val="006F1B4A"/>
    <w:rsid w:val="006F1CAF"/>
    <w:rsid w:val="006F2074"/>
    <w:rsid w:val="006F2527"/>
    <w:rsid w:val="006F2925"/>
    <w:rsid w:val="006F2A42"/>
    <w:rsid w:val="006F2EF4"/>
    <w:rsid w:val="006F32EA"/>
    <w:rsid w:val="006F4377"/>
    <w:rsid w:val="006F4ABF"/>
    <w:rsid w:val="006F4FAC"/>
    <w:rsid w:val="006F51BF"/>
    <w:rsid w:val="006F533C"/>
    <w:rsid w:val="006F593B"/>
    <w:rsid w:val="006F6A9A"/>
    <w:rsid w:val="006F6C8F"/>
    <w:rsid w:val="006F7245"/>
    <w:rsid w:val="00701369"/>
    <w:rsid w:val="00701977"/>
    <w:rsid w:val="00701AF5"/>
    <w:rsid w:val="00701D84"/>
    <w:rsid w:val="007023D8"/>
    <w:rsid w:val="00702C09"/>
    <w:rsid w:val="00702CD6"/>
    <w:rsid w:val="00702E2F"/>
    <w:rsid w:val="0070384E"/>
    <w:rsid w:val="00703B1B"/>
    <w:rsid w:val="00703B93"/>
    <w:rsid w:val="00703E43"/>
    <w:rsid w:val="0070439F"/>
    <w:rsid w:val="00704F1B"/>
    <w:rsid w:val="0070507B"/>
    <w:rsid w:val="00705553"/>
    <w:rsid w:val="0070561F"/>
    <w:rsid w:val="00705A73"/>
    <w:rsid w:val="00706654"/>
    <w:rsid w:val="00706FA0"/>
    <w:rsid w:val="00707C12"/>
    <w:rsid w:val="00707C6F"/>
    <w:rsid w:val="00707FFD"/>
    <w:rsid w:val="00710273"/>
    <w:rsid w:val="007108E3"/>
    <w:rsid w:val="007114B6"/>
    <w:rsid w:val="00712458"/>
    <w:rsid w:val="0071388E"/>
    <w:rsid w:val="00713BC4"/>
    <w:rsid w:val="00713DCF"/>
    <w:rsid w:val="0071437C"/>
    <w:rsid w:val="007144B8"/>
    <w:rsid w:val="007144F9"/>
    <w:rsid w:val="00714546"/>
    <w:rsid w:val="00714853"/>
    <w:rsid w:val="00714A09"/>
    <w:rsid w:val="007156FA"/>
    <w:rsid w:val="00716C20"/>
    <w:rsid w:val="00716EA1"/>
    <w:rsid w:val="00717722"/>
    <w:rsid w:val="00717905"/>
    <w:rsid w:val="0072026B"/>
    <w:rsid w:val="007203B5"/>
    <w:rsid w:val="00721440"/>
    <w:rsid w:val="00721454"/>
    <w:rsid w:val="00722CBC"/>
    <w:rsid w:val="00722D7F"/>
    <w:rsid w:val="00723AB2"/>
    <w:rsid w:val="00723AFF"/>
    <w:rsid w:val="007242DB"/>
    <w:rsid w:val="00724847"/>
    <w:rsid w:val="00725B1F"/>
    <w:rsid w:val="007262B1"/>
    <w:rsid w:val="007262FE"/>
    <w:rsid w:val="007263F4"/>
    <w:rsid w:val="007266B8"/>
    <w:rsid w:val="00726A1E"/>
    <w:rsid w:val="00726DA1"/>
    <w:rsid w:val="00726DA7"/>
    <w:rsid w:val="00727230"/>
    <w:rsid w:val="00727428"/>
    <w:rsid w:val="007277C4"/>
    <w:rsid w:val="007302BF"/>
    <w:rsid w:val="007313A9"/>
    <w:rsid w:val="0073151D"/>
    <w:rsid w:val="00732327"/>
    <w:rsid w:val="0073258A"/>
    <w:rsid w:val="00733519"/>
    <w:rsid w:val="00735981"/>
    <w:rsid w:val="00735F49"/>
    <w:rsid w:val="007366BA"/>
    <w:rsid w:val="00736733"/>
    <w:rsid w:val="007368AA"/>
    <w:rsid w:val="00736F23"/>
    <w:rsid w:val="007371A0"/>
    <w:rsid w:val="00737A8C"/>
    <w:rsid w:val="00737C7E"/>
    <w:rsid w:val="007401DB"/>
    <w:rsid w:val="00740587"/>
    <w:rsid w:val="0074087B"/>
    <w:rsid w:val="007416E4"/>
    <w:rsid w:val="00741823"/>
    <w:rsid w:val="00741B7E"/>
    <w:rsid w:val="00742080"/>
    <w:rsid w:val="00742D6B"/>
    <w:rsid w:val="0074336A"/>
    <w:rsid w:val="0074341B"/>
    <w:rsid w:val="0074361A"/>
    <w:rsid w:val="00743A00"/>
    <w:rsid w:val="00743F6F"/>
    <w:rsid w:val="00744274"/>
    <w:rsid w:val="00744938"/>
    <w:rsid w:val="0074539F"/>
    <w:rsid w:val="00745866"/>
    <w:rsid w:val="00745BD5"/>
    <w:rsid w:val="00746CA4"/>
    <w:rsid w:val="00746D6D"/>
    <w:rsid w:val="00747694"/>
    <w:rsid w:val="00750369"/>
    <w:rsid w:val="007505CB"/>
    <w:rsid w:val="00750D48"/>
    <w:rsid w:val="00750F6F"/>
    <w:rsid w:val="00751087"/>
    <w:rsid w:val="00751283"/>
    <w:rsid w:val="0075211F"/>
    <w:rsid w:val="0075222C"/>
    <w:rsid w:val="007522B1"/>
    <w:rsid w:val="007523B9"/>
    <w:rsid w:val="007525E4"/>
    <w:rsid w:val="007526E6"/>
    <w:rsid w:val="007528E9"/>
    <w:rsid w:val="00752D29"/>
    <w:rsid w:val="0075342D"/>
    <w:rsid w:val="0075444E"/>
    <w:rsid w:val="007544F0"/>
    <w:rsid w:val="00754F42"/>
    <w:rsid w:val="0075528E"/>
    <w:rsid w:val="007558CC"/>
    <w:rsid w:val="007566F0"/>
    <w:rsid w:val="007570DB"/>
    <w:rsid w:val="0075714B"/>
    <w:rsid w:val="0075756F"/>
    <w:rsid w:val="0076045C"/>
    <w:rsid w:val="007608B5"/>
    <w:rsid w:val="007608FD"/>
    <w:rsid w:val="00760D6B"/>
    <w:rsid w:val="0076125B"/>
    <w:rsid w:val="0076178E"/>
    <w:rsid w:val="00761D11"/>
    <w:rsid w:val="00761D3F"/>
    <w:rsid w:val="00762479"/>
    <w:rsid w:val="007626A0"/>
    <w:rsid w:val="007636D9"/>
    <w:rsid w:val="00763932"/>
    <w:rsid w:val="0076426E"/>
    <w:rsid w:val="00764A0E"/>
    <w:rsid w:val="00766696"/>
    <w:rsid w:val="0076688F"/>
    <w:rsid w:val="007700A2"/>
    <w:rsid w:val="00770758"/>
    <w:rsid w:val="00771E92"/>
    <w:rsid w:val="00771FC9"/>
    <w:rsid w:val="00772004"/>
    <w:rsid w:val="00772693"/>
    <w:rsid w:val="00772B64"/>
    <w:rsid w:val="00773932"/>
    <w:rsid w:val="00773CD3"/>
    <w:rsid w:val="00773EE8"/>
    <w:rsid w:val="007746E5"/>
    <w:rsid w:val="00774B09"/>
    <w:rsid w:val="00774D20"/>
    <w:rsid w:val="00775069"/>
    <w:rsid w:val="007757DF"/>
    <w:rsid w:val="00775853"/>
    <w:rsid w:val="00776425"/>
    <w:rsid w:val="0077679E"/>
    <w:rsid w:val="00776C40"/>
    <w:rsid w:val="00776E86"/>
    <w:rsid w:val="007773CC"/>
    <w:rsid w:val="00777840"/>
    <w:rsid w:val="00777F4C"/>
    <w:rsid w:val="00777FFB"/>
    <w:rsid w:val="007802A3"/>
    <w:rsid w:val="00780457"/>
    <w:rsid w:val="00780E65"/>
    <w:rsid w:val="00781007"/>
    <w:rsid w:val="00781145"/>
    <w:rsid w:val="007815E7"/>
    <w:rsid w:val="00781638"/>
    <w:rsid w:val="00781A81"/>
    <w:rsid w:val="00781B36"/>
    <w:rsid w:val="00782847"/>
    <w:rsid w:val="00782857"/>
    <w:rsid w:val="00783512"/>
    <w:rsid w:val="00783EF4"/>
    <w:rsid w:val="00784335"/>
    <w:rsid w:val="00784C10"/>
    <w:rsid w:val="00784F9A"/>
    <w:rsid w:val="007851C7"/>
    <w:rsid w:val="007856C2"/>
    <w:rsid w:val="00786022"/>
    <w:rsid w:val="007871D0"/>
    <w:rsid w:val="007872A9"/>
    <w:rsid w:val="007902FE"/>
    <w:rsid w:val="00790847"/>
    <w:rsid w:val="0079125F"/>
    <w:rsid w:val="0079178D"/>
    <w:rsid w:val="00791D05"/>
    <w:rsid w:val="00791E25"/>
    <w:rsid w:val="0079232D"/>
    <w:rsid w:val="00793506"/>
    <w:rsid w:val="00793D2B"/>
    <w:rsid w:val="007946E1"/>
    <w:rsid w:val="0079485C"/>
    <w:rsid w:val="007958FA"/>
    <w:rsid w:val="00795930"/>
    <w:rsid w:val="007960E1"/>
    <w:rsid w:val="007963E7"/>
    <w:rsid w:val="0079665F"/>
    <w:rsid w:val="00796C5E"/>
    <w:rsid w:val="00797A09"/>
    <w:rsid w:val="007A024A"/>
    <w:rsid w:val="007A082E"/>
    <w:rsid w:val="007A1153"/>
    <w:rsid w:val="007A1399"/>
    <w:rsid w:val="007A1661"/>
    <w:rsid w:val="007A1942"/>
    <w:rsid w:val="007A1CBE"/>
    <w:rsid w:val="007A2841"/>
    <w:rsid w:val="007A2B58"/>
    <w:rsid w:val="007A2BA9"/>
    <w:rsid w:val="007A3C4C"/>
    <w:rsid w:val="007A4486"/>
    <w:rsid w:val="007A57A8"/>
    <w:rsid w:val="007A59AA"/>
    <w:rsid w:val="007A61FB"/>
    <w:rsid w:val="007A66A7"/>
    <w:rsid w:val="007A67EE"/>
    <w:rsid w:val="007A69CB"/>
    <w:rsid w:val="007A6B1B"/>
    <w:rsid w:val="007A6C2B"/>
    <w:rsid w:val="007B0C46"/>
    <w:rsid w:val="007B0C9B"/>
    <w:rsid w:val="007B0D74"/>
    <w:rsid w:val="007B1711"/>
    <w:rsid w:val="007B1B63"/>
    <w:rsid w:val="007B1E9C"/>
    <w:rsid w:val="007B20D5"/>
    <w:rsid w:val="007B3B57"/>
    <w:rsid w:val="007B41A6"/>
    <w:rsid w:val="007B4636"/>
    <w:rsid w:val="007B4668"/>
    <w:rsid w:val="007B4794"/>
    <w:rsid w:val="007B4905"/>
    <w:rsid w:val="007B6BF0"/>
    <w:rsid w:val="007B6E76"/>
    <w:rsid w:val="007B7945"/>
    <w:rsid w:val="007B7F27"/>
    <w:rsid w:val="007C0150"/>
    <w:rsid w:val="007C0819"/>
    <w:rsid w:val="007C08B3"/>
    <w:rsid w:val="007C0CE5"/>
    <w:rsid w:val="007C177A"/>
    <w:rsid w:val="007C1D9D"/>
    <w:rsid w:val="007C3670"/>
    <w:rsid w:val="007C3FEA"/>
    <w:rsid w:val="007C42C2"/>
    <w:rsid w:val="007C534A"/>
    <w:rsid w:val="007C53AC"/>
    <w:rsid w:val="007C54F4"/>
    <w:rsid w:val="007C5560"/>
    <w:rsid w:val="007C5F7A"/>
    <w:rsid w:val="007C728B"/>
    <w:rsid w:val="007C7302"/>
    <w:rsid w:val="007D01AA"/>
    <w:rsid w:val="007D0700"/>
    <w:rsid w:val="007D2286"/>
    <w:rsid w:val="007D2E4C"/>
    <w:rsid w:val="007D31AD"/>
    <w:rsid w:val="007D3E3F"/>
    <w:rsid w:val="007D3ED3"/>
    <w:rsid w:val="007D45CC"/>
    <w:rsid w:val="007D5C3A"/>
    <w:rsid w:val="007D5E39"/>
    <w:rsid w:val="007D5EF6"/>
    <w:rsid w:val="007D6215"/>
    <w:rsid w:val="007D6D59"/>
    <w:rsid w:val="007D6EFD"/>
    <w:rsid w:val="007D7022"/>
    <w:rsid w:val="007D7602"/>
    <w:rsid w:val="007D7ED6"/>
    <w:rsid w:val="007E0AC9"/>
    <w:rsid w:val="007E1592"/>
    <w:rsid w:val="007E1D97"/>
    <w:rsid w:val="007E30C6"/>
    <w:rsid w:val="007E380D"/>
    <w:rsid w:val="007E394F"/>
    <w:rsid w:val="007E3974"/>
    <w:rsid w:val="007E464A"/>
    <w:rsid w:val="007E58BB"/>
    <w:rsid w:val="007E717D"/>
    <w:rsid w:val="007E7347"/>
    <w:rsid w:val="007E73A6"/>
    <w:rsid w:val="007E75E5"/>
    <w:rsid w:val="007E78D7"/>
    <w:rsid w:val="007E7D2C"/>
    <w:rsid w:val="007F01F3"/>
    <w:rsid w:val="007F0299"/>
    <w:rsid w:val="007F0640"/>
    <w:rsid w:val="007F1248"/>
    <w:rsid w:val="007F2B8B"/>
    <w:rsid w:val="007F2EE3"/>
    <w:rsid w:val="007F38AF"/>
    <w:rsid w:val="007F3FA9"/>
    <w:rsid w:val="007F480B"/>
    <w:rsid w:val="007F50F1"/>
    <w:rsid w:val="007F5B14"/>
    <w:rsid w:val="007F5F76"/>
    <w:rsid w:val="007F65AA"/>
    <w:rsid w:val="007F6680"/>
    <w:rsid w:val="007F727A"/>
    <w:rsid w:val="007F7506"/>
    <w:rsid w:val="007F795D"/>
    <w:rsid w:val="007F7D5C"/>
    <w:rsid w:val="008007FF"/>
    <w:rsid w:val="00800826"/>
    <w:rsid w:val="00800AA8"/>
    <w:rsid w:val="008011C2"/>
    <w:rsid w:val="00801787"/>
    <w:rsid w:val="00802048"/>
    <w:rsid w:val="0080296B"/>
    <w:rsid w:val="00802A84"/>
    <w:rsid w:val="008031A7"/>
    <w:rsid w:val="00804011"/>
    <w:rsid w:val="008041DB"/>
    <w:rsid w:val="008049FA"/>
    <w:rsid w:val="00804A59"/>
    <w:rsid w:val="00804D5B"/>
    <w:rsid w:val="00805336"/>
    <w:rsid w:val="008056DB"/>
    <w:rsid w:val="00805767"/>
    <w:rsid w:val="00805A1E"/>
    <w:rsid w:val="00805B85"/>
    <w:rsid w:val="00805CD4"/>
    <w:rsid w:val="00806C63"/>
    <w:rsid w:val="008073EA"/>
    <w:rsid w:val="00807DCB"/>
    <w:rsid w:val="00807DF1"/>
    <w:rsid w:val="0081055A"/>
    <w:rsid w:val="00810663"/>
    <w:rsid w:val="008110ED"/>
    <w:rsid w:val="008112F5"/>
    <w:rsid w:val="0081155F"/>
    <w:rsid w:val="00811E27"/>
    <w:rsid w:val="00812330"/>
    <w:rsid w:val="00812BEC"/>
    <w:rsid w:val="0081325C"/>
    <w:rsid w:val="008134B0"/>
    <w:rsid w:val="00813705"/>
    <w:rsid w:val="008139CC"/>
    <w:rsid w:val="00814E28"/>
    <w:rsid w:val="00815264"/>
    <w:rsid w:val="008154D8"/>
    <w:rsid w:val="0081561F"/>
    <w:rsid w:val="00816EAF"/>
    <w:rsid w:val="00817119"/>
    <w:rsid w:val="0081716C"/>
    <w:rsid w:val="008172C3"/>
    <w:rsid w:val="00817C5D"/>
    <w:rsid w:val="008207D6"/>
    <w:rsid w:val="0082199A"/>
    <w:rsid w:val="00821ACE"/>
    <w:rsid w:val="00821CBA"/>
    <w:rsid w:val="0082273E"/>
    <w:rsid w:val="0082355B"/>
    <w:rsid w:val="00823AC0"/>
    <w:rsid w:val="00824061"/>
    <w:rsid w:val="00824D7A"/>
    <w:rsid w:val="0082576C"/>
    <w:rsid w:val="0082595A"/>
    <w:rsid w:val="00826A14"/>
    <w:rsid w:val="00826B6F"/>
    <w:rsid w:val="0083088A"/>
    <w:rsid w:val="008309F0"/>
    <w:rsid w:val="00830D5A"/>
    <w:rsid w:val="00831AC4"/>
    <w:rsid w:val="008320D2"/>
    <w:rsid w:val="008321DF"/>
    <w:rsid w:val="00832265"/>
    <w:rsid w:val="00832607"/>
    <w:rsid w:val="008327A6"/>
    <w:rsid w:val="00833C03"/>
    <w:rsid w:val="00833CC8"/>
    <w:rsid w:val="0083426F"/>
    <w:rsid w:val="0083446E"/>
    <w:rsid w:val="00834684"/>
    <w:rsid w:val="00834692"/>
    <w:rsid w:val="008346B7"/>
    <w:rsid w:val="00834A8C"/>
    <w:rsid w:val="00834EE1"/>
    <w:rsid w:val="00835E5B"/>
    <w:rsid w:val="00836317"/>
    <w:rsid w:val="0083664A"/>
    <w:rsid w:val="00836B7E"/>
    <w:rsid w:val="00837219"/>
    <w:rsid w:val="00837273"/>
    <w:rsid w:val="0083773C"/>
    <w:rsid w:val="00837D51"/>
    <w:rsid w:val="00837FD5"/>
    <w:rsid w:val="008403A0"/>
    <w:rsid w:val="00840419"/>
    <w:rsid w:val="00840689"/>
    <w:rsid w:val="0084083B"/>
    <w:rsid w:val="0084189F"/>
    <w:rsid w:val="00841B55"/>
    <w:rsid w:val="00842436"/>
    <w:rsid w:val="00842966"/>
    <w:rsid w:val="00842A0C"/>
    <w:rsid w:val="00843CFB"/>
    <w:rsid w:val="0084461E"/>
    <w:rsid w:val="00845659"/>
    <w:rsid w:val="00845B97"/>
    <w:rsid w:val="00845DA8"/>
    <w:rsid w:val="00845E79"/>
    <w:rsid w:val="0084682B"/>
    <w:rsid w:val="00846DCE"/>
    <w:rsid w:val="00846E3F"/>
    <w:rsid w:val="008479F2"/>
    <w:rsid w:val="0085046F"/>
    <w:rsid w:val="008508B4"/>
    <w:rsid w:val="008508F2"/>
    <w:rsid w:val="00851D64"/>
    <w:rsid w:val="00852052"/>
    <w:rsid w:val="008521E4"/>
    <w:rsid w:val="00852583"/>
    <w:rsid w:val="008529AC"/>
    <w:rsid w:val="008533A8"/>
    <w:rsid w:val="00853BF2"/>
    <w:rsid w:val="00854E89"/>
    <w:rsid w:val="00854FAF"/>
    <w:rsid w:val="0085513A"/>
    <w:rsid w:val="00855257"/>
    <w:rsid w:val="0085529E"/>
    <w:rsid w:val="0085610A"/>
    <w:rsid w:val="00856441"/>
    <w:rsid w:val="00856821"/>
    <w:rsid w:val="00856FD7"/>
    <w:rsid w:val="00857DDF"/>
    <w:rsid w:val="00860292"/>
    <w:rsid w:val="008606F3"/>
    <w:rsid w:val="00860E0B"/>
    <w:rsid w:val="00862646"/>
    <w:rsid w:val="008627AF"/>
    <w:rsid w:val="0086293B"/>
    <w:rsid w:val="00862D6E"/>
    <w:rsid w:val="00862DFD"/>
    <w:rsid w:val="0086309F"/>
    <w:rsid w:val="008635D7"/>
    <w:rsid w:val="008643C8"/>
    <w:rsid w:val="00864965"/>
    <w:rsid w:val="00864CE4"/>
    <w:rsid w:val="00864D40"/>
    <w:rsid w:val="00864F43"/>
    <w:rsid w:val="00865728"/>
    <w:rsid w:val="0086759C"/>
    <w:rsid w:val="00867928"/>
    <w:rsid w:val="00867F48"/>
    <w:rsid w:val="00870D55"/>
    <w:rsid w:val="00871169"/>
    <w:rsid w:val="0087119B"/>
    <w:rsid w:val="00872580"/>
    <w:rsid w:val="0087284C"/>
    <w:rsid w:val="008729D4"/>
    <w:rsid w:val="00872D6A"/>
    <w:rsid w:val="00873DEA"/>
    <w:rsid w:val="00874BCF"/>
    <w:rsid w:val="00875904"/>
    <w:rsid w:val="00876481"/>
    <w:rsid w:val="0087660A"/>
    <w:rsid w:val="00876B45"/>
    <w:rsid w:val="0087711C"/>
    <w:rsid w:val="00877FB8"/>
    <w:rsid w:val="0088074D"/>
    <w:rsid w:val="008808C9"/>
    <w:rsid w:val="008810A7"/>
    <w:rsid w:val="008811FC"/>
    <w:rsid w:val="00882439"/>
    <w:rsid w:val="008829D4"/>
    <w:rsid w:val="0088301C"/>
    <w:rsid w:val="0088375F"/>
    <w:rsid w:val="008837FB"/>
    <w:rsid w:val="008838FD"/>
    <w:rsid w:val="00883AA8"/>
    <w:rsid w:val="00883E6B"/>
    <w:rsid w:val="008840FC"/>
    <w:rsid w:val="008842A1"/>
    <w:rsid w:val="00885017"/>
    <w:rsid w:val="008852E8"/>
    <w:rsid w:val="008854F1"/>
    <w:rsid w:val="008855EA"/>
    <w:rsid w:val="00885898"/>
    <w:rsid w:val="00886176"/>
    <w:rsid w:val="00886B0D"/>
    <w:rsid w:val="00890BEA"/>
    <w:rsid w:val="00890C9B"/>
    <w:rsid w:val="00890CD2"/>
    <w:rsid w:val="00891D46"/>
    <w:rsid w:val="00891D68"/>
    <w:rsid w:val="00891EA5"/>
    <w:rsid w:val="0089283C"/>
    <w:rsid w:val="008928A3"/>
    <w:rsid w:val="00892AC5"/>
    <w:rsid w:val="008933AB"/>
    <w:rsid w:val="00893941"/>
    <w:rsid w:val="00894012"/>
    <w:rsid w:val="008941AF"/>
    <w:rsid w:val="00894831"/>
    <w:rsid w:val="0089487A"/>
    <w:rsid w:val="00894E73"/>
    <w:rsid w:val="00894F87"/>
    <w:rsid w:val="00895568"/>
    <w:rsid w:val="00895A60"/>
    <w:rsid w:val="00896439"/>
    <w:rsid w:val="0089735F"/>
    <w:rsid w:val="0089788E"/>
    <w:rsid w:val="00897EFF"/>
    <w:rsid w:val="00897F5B"/>
    <w:rsid w:val="008A03E5"/>
    <w:rsid w:val="008A0FA2"/>
    <w:rsid w:val="008A18CC"/>
    <w:rsid w:val="008A1BE5"/>
    <w:rsid w:val="008A2913"/>
    <w:rsid w:val="008A3241"/>
    <w:rsid w:val="008A3B81"/>
    <w:rsid w:val="008A3BAE"/>
    <w:rsid w:val="008A4836"/>
    <w:rsid w:val="008A4ED0"/>
    <w:rsid w:val="008A5441"/>
    <w:rsid w:val="008A5473"/>
    <w:rsid w:val="008A54C7"/>
    <w:rsid w:val="008A54E7"/>
    <w:rsid w:val="008A59CF"/>
    <w:rsid w:val="008A5E35"/>
    <w:rsid w:val="008A5E42"/>
    <w:rsid w:val="008A67D4"/>
    <w:rsid w:val="008A716F"/>
    <w:rsid w:val="008B0339"/>
    <w:rsid w:val="008B218A"/>
    <w:rsid w:val="008B29A6"/>
    <w:rsid w:val="008B329C"/>
    <w:rsid w:val="008B3BE5"/>
    <w:rsid w:val="008B404E"/>
    <w:rsid w:val="008B4341"/>
    <w:rsid w:val="008B507A"/>
    <w:rsid w:val="008B6032"/>
    <w:rsid w:val="008B617F"/>
    <w:rsid w:val="008B6324"/>
    <w:rsid w:val="008B6406"/>
    <w:rsid w:val="008B64E7"/>
    <w:rsid w:val="008B6898"/>
    <w:rsid w:val="008B6E07"/>
    <w:rsid w:val="008B74B1"/>
    <w:rsid w:val="008B7586"/>
    <w:rsid w:val="008C0435"/>
    <w:rsid w:val="008C09A1"/>
    <w:rsid w:val="008C0A24"/>
    <w:rsid w:val="008C0F70"/>
    <w:rsid w:val="008C1107"/>
    <w:rsid w:val="008C1229"/>
    <w:rsid w:val="008C2B4E"/>
    <w:rsid w:val="008C32FC"/>
    <w:rsid w:val="008C4001"/>
    <w:rsid w:val="008C4AB9"/>
    <w:rsid w:val="008C5077"/>
    <w:rsid w:val="008C5A35"/>
    <w:rsid w:val="008C616C"/>
    <w:rsid w:val="008C63E1"/>
    <w:rsid w:val="008C6A6E"/>
    <w:rsid w:val="008C6F31"/>
    <w:rsid w:val="008C7734"/>
    <w:rsid w:val="008C7776"/>
    <w:rsid w:val="008D08A0"/>
    <w:rsid w:val="008D0ACA"/>
    <w:rsid w:val="008D0E36"/>
    <w:rsid w:val="008D0E91"/>
    <w:rsid w:val="008D0F1F"/>
    <w:rsid w:val="008D1266"/>
    <w:rsid w:val="008D12DE"/>
    <w:rsid w:val="008D1925"/>
    <w:rsid w:val="008D294A"/>
    <w:rsid w:val="008D2D96"/>
    <w:rsid w:val="008D3671"/>
    <w:rsid w:val="008D3BB6"/>
    <w:rsid w:val="008D4377"/>
    <w:rsid w:val="008D44DD"/>
    <w:rsid w:val="008D488B"/>
    <w:rsid w:val="008D4D4F"/>
    <w:rsid w:val="008D4F9D"/>
    <w:rsid w:val="008D510A"/>
    <w:rsid w:val="008D5ABE"/>
    <w:rsid w:val="008D5FDF"/>
    <w:rsid w:val="008D7E5F"/>
    <w:rsid w:val="008E016F"/>
    <w:rsid w:val="008E0407"/>
    <w:rsid w:val="008E0507"/>
    <w:rsid w:val="008E083B"/>
    <w:rsid w:val="008E0EBC"/>
    <w:rsid w:val="008E1115"/>
    <w:rsid w:val="008E13A1"/>
    <w:rsid w:val="008E1817"/>
    <w:rsid w:val="008E2A3A"/>
    <w:rsid w:val="008E3375"/>
    <w:rsid w:val="008E3F5C"/>
    <w:rsid w:val="008E437F"/>
    <w:rsid w:val="008E44B0"/>
    <w:rsid w:val="008E4A3A"/>
    <w:rsid w:val="008E50BA"/>
    <w:rsid w:val="008E57A9"/>
    <w:rsid w:val="008E591C"/>
    <w:rsid w:val="008E6E9E"/>
    <w:rsid w:val="008E736A"/>
    <w:rsid w:val="008E7DFE"/>
    <w:rsid w:val="008E7F9F"/>
    <w:rsid w:val="008F0FC8"/>
    <w:rsid w:val="008F1B05"/>
    <w:rsid w:val="008F20B5"/>
    <w:rsid w:val="008F241A"/>
    <w:rsid w:val="008F276F"/>
    <w:rsid w:val="008F27F4"/>
    <w:rsid w:val="008F349F"/>
    <w:rsid w:val="008F3866"/>
    <w:rsid w:val="008F3F04"/>
    <w:rsid w:val="008F4B72"/>
    <w:rsid w:val="008F4BC5"/>
    <w:rsid w:val="008F615D"/>
    <w:rsid w:val="008F6CBF"/>
    <w:rsid w:val="008F6E63"/>
    <w:rsid w:val="008F6F1F"/>
    <w:rsid w:val="008F729F"/>
    <w:rsid w:val="008F7491"/>
    <w:rsid w:val="008F7819"/>
    <w:rsid w:val="00900781"/>
    <w:rsid w:val="00901023"/>
    <w:rsid w:val="009014FB"/>
    <w:rsid w:val="00901FFF"/>
    <w:rsid w:val="00902859"/>
    <w:rsid w:val="00902C72"/>
    <w:rsid w:val="00902E51"/>
    <w:rsid w:val="00902EC4"/>
    <w:rsid w:val="009030F4"/>
    <w:rsid w:val="009038AE"/>
    <w:rsid w:val="0090390E"/>
    <w:rsid w:val="0090399C"/>
    <w:rsid w:val="009045B2"/>
    <w:rsid w:val="0090568A"/>
    <w:rsid w:val="0090588D"/>
    <w:rsid w:val="00905F1F"/>
    <w:rsid w:val="00905FAF"/>
    <w:rsid w:val="00906A6D"/>
    <w:rsid w:val="009071AD"/>
    <w:rsid w:val="00907245"/>
    <w:rsid w:val="00907792"/>
    <w:rsid w:val="00910070"/>
    <w:rsid w:val="00910092"/>
    <w:rsid w:val="0091028F"/>
    <w:rsid w:val="00910407"/>
    <w:rsid w:val="00910458"/>
    <w:rsid w:val="009104BF"/>
    <w:rsid w:val="00910578"/>
    <w:rsid w:val="00910D4B"/>
    <w:rsid w:val="00911CE5"/>
    <w:rsid w:val="00911FA2"/>
    <w:rsid w:val="009128F2"/>
    <w:rsid w:val="009132DC"/>
    <w:rsid w:val="00914143"/>
    <w:rsid w:val="00914A71"/>
    <w:rsid w:val="0091502D"/>
    <w:rsid w:val="00915C03"/>
    <w:rsid w:val="00916029"/>
    <w:rsid w:val="009162BE"/>
    <w:rsid w:val="009163EC"/>
    <w:rsid w:val="0091679C"/>
    <w:rsid w:val="00917147"/>
    <w:rsid w:val="009173B6"/>
    <w:rsid w:val="0091765B"/>
    <w:rsid w:val="009178A0"/>
    <w:rsid w:val="00917A74"/>
    <w:rsid w:val="00917FF2"/>
    <w:rsid w:val="00920637"/>
    <w:rsid w:val="00920B0B"/>
    <w:rsid w:val="00920BAB"/>
    <w:rsid w:val="009215B0"/>
    <w:rsid w:val="00921876"/>
    <w:rsid w:val="009229E4"/>
    <w:rsid w:val="00922A15"/>
    <w:rsid w:val="00925597"/>
    <w:rsid w:val="00925C7E"/>
    <w:rsid w:val="00925E46"/>
    <w:rsid w:val="00926678"/>
    <w:rsid w:val="009266F3"/>
    <w:rsid w:val="00926E63"/>
    <w:rsid w:val="00926F93"/>
    <w:rsid w:val="00926FD5"/>
    <w:rsid w:val="0092721E"/>
    <w:rsid w:val="00927263"/>
    <w:rsid w:val="009300CE"/>
    <w:rsid w:val="009304A1"/>
    <w:rsid w:val="009307EB"/>
    <w:rsid w:val="00930BA2"/>
    <w:rsid w:val="00931212"/>
    <w:rsid w:val="00931298"/>
    <w:rsid w:val="00931426"/>
    <w:rsid w:val="009314D1"/>
    <w:rsid w:val="009326A2"/>
    <w:rsid w:val="00932723"/>
    <w:rsid w:val="00933120"/>
    <w:rsid w:val="00933ED2"/>
    <w:rsid w:val="00934507"/>
    <w:rsid w:val="00934656"/>
    <w:rsid w:val="00934C6C"/>
    <w:rsid w:val="00935393"/>
    <w:rsid w:val="00935A18"/>
    <w:rsid w:val="00935DE4"/>
    <w:rsid w:val="00936705"/>
    <w:rsid w:val="0094071B"/>
    <w:rsid w:val="0094082B"/>
    <w:rsid w:val="009408B2"/>
    <w:rsid w:val="009410A6"/>
    <w:rsid w:val="00941B3C"/>
    <w:rsid w:val="00941E15"/>
    <w:rsid w:val="009420BD"/>
    <w:rsid w:val="009428CE"/>
    <w:rsid w:val="00942C2B"/>
    <w:rsid w:val="00942CD4"/>
    <w:rsid w:val="00943230"/>
    <w:rsid w:val="009435FD"/>
    <w:rsid w:val="0094390C"/>
    <w:rsid w:val="00943B80"/>
    <w:rsid w:val="00943F7C"/>
    <w:rsid w:val="00944B1A"/>
    <w:rsid w:val="00944B9E"/>
    <w:rsid w:val="00944C5E"/>
    <w:rsid w:val="009459D4"/>
    <w:rsid w:val="00945C47"/>
    <w:rsid w:val="0094687E"/>
    <w:rsid w:val="00946FCE"/>
    <w:rsid w:val="0094759E"/>
    <w:rsid w:val="009476AA"/>
    <w:rsid w:val="0094776E"/>
    <w:rsid w:val="009477B7"/>
    <w:rsid w:val="00947995"/>
    <w:rsid w:val="00947C31"/>
    <w:rsid w:val="00950014"/>
    <w:rsid w:val="0095071D"/>
    <w:rsid w:val="00951540"/>
    <w:rsid w:val="009524B4"/>
    <w:rsid w:val="00952EF9"/>
    <w:rsid w:val="0095397E"/>
    <w:rsid w:val="00953C4E"/>
    <w:rsid w:val="00953DA5"/>
    <w:rsid w:val="00953F4E"/>
    <w:rsid w:val="00954B5F"/>
    <w:rsid w:val="009554F8"/>
    <w:rsid w:val="009555ED"/>
    <w:rsid w:val="00955AC8"/>
    <w:rsid w:val="00955C97"/>
    <w:rsid w:val="009563FB"/>
    <w:rsid w:val="009566DD"/>
    <w:rsid w:val="00956B98"/>
    <w:rsid w:val="00956DFF"/>
    <w:rsid w:val="00957205"/>
    <w:rsid w:val="00957612"/>
    <w:rsid w:val="00957D11"/>
    <w:rsid w:val="00960DA9"/>
    <w:rsid w:val="00960DB2"/>
    <w:rsid w:val="00961C31"/>
    <w:rsid w:val="00962257"/>
    <w:rsid w:val="0096288C"/>
    <w:rsid w:val="009629CE"/>
    <w:rsid w:val="009630F7"/>
    <w:rsid w:val="00963120"/>
    <w:rsid w:val="00963424"/>
    <w:rsid w:val="0096398C"/>
    <w:rsid w:val="00963993"/>
    <w:rsid w:val="009644C3"/>
    <w:rsid w:val="0096478A"/>
    <w:rsid w:val="00965D84"/>
    <w:rsid w:val="00965EC4"/>
    <w:rsid w:val="00966702"/>
    <w:rsid w:val="00966D01"/>
    <w:rsid w:val="009672C9"/>
    <w:rsid w:val="009677BE"/>
    <w:rsid w:val="00967E8A"/>
    <w:rsid w:val="009705DE"/>
    <w:rsid w:val="00970787"/>
    <w:rsid w:val="00970CD0"/>
    <w:rsid w:val="00970E69"/>
    <w:rsid w:val="00971513"/>
    <w:rsid w:val="0097180C"/>
    <w:rsid w:val="00971E33"/>
    <w:rsid w:val="009720AA"/>
    <w:rsid w:val="0097287B"/>
    <w:rsid w:val="00972937"/>
    <w:rsid w:val="0097305B"/>
    <w:rsid w:val="00973599"/>
    <w:rsid w:val="00974947"/>
    <w:rsid w:val="00974A59"/>
    <w:rsid w:val="00974BBB"/>
    <w:rsid w:val="009753FD"/>
    <w:rsid w:val="00975747"/>
    <w:rsid w:val="0097651B"/>
    <w:rsid w:val="009766D1"/>
    <w:rsid w:val="00976AEB"/>
    <w:rsid w:val="00977148"/>
    <w:rsid w:val="009773CB"/>
    <w:rsid w:val="009778E9"/>
    <w:rsid w:val="009778EB"/>
    <w:rsid w:val="00977FA4"/>
    <w:rsid w:val="009804CB"/>
    <w:rsid w:val="0098076F"/>
    <w:rsid w:val="00980908"/>
    <w:rsid w:val="0098146E"/>
    <w:rsid w:val="00982A62"/>
    <w:rsid w:val="0098307C"/>
    <w:rsid w:val="0098314C"/>
    <w:rsid w:val="00984986"/>
    <w:rsid w:val="00984ABF"/>
    <w:rsid w:val="00984AE4"/>
    <w:rsid w:val="009851D9"/>
    <w:rsid w:val="0098549D"/>
    <w:rsid w:val="0098630C"/>
    <w:rsid w:val="00987E01"/>
    <w:rsid w:val="00987EF6"/>
    <w:rsid w:val="0099002F"/>
    <w:rsid w:val="0099121A"/>
    <w:rsid w:val="00992132"/>
    <w:rsid w:val="00992FED"/>
    <w:rsid w:val="0099332B"/>
    <w:rsid w:val="009933D8"/>
    <w:rsid w:val="00993509"/>
    <w:rsid w:val="00993B82"/>
    <w:rsid w:val="00993C1C"/>
    <w:rsid w:val="00995D3F"/>
    <w:rsid w:val="00995F73"/>
    <w:rsid w:val="00996608"/>
    <w:rsid w:val="009969ED"/>
    <w:rsid w:val="00997CBA"/>
    <w:rsid w:val="009A0192"/>
    <w:rsid w:val="009A02BC"/>
    <w:rsid w:val="009A0355"/>
    <w:rsid w:val="009A06CF"/>
    <w:rsid w:val="009A0859"/>
    <w:rsid w:val="009A0EDF"/>
    <w:rsid w:val="009A14AC"/>
    <w:rsid w:val="009A17C0"/>
    <w:rsid w:val="009A187E"/>
    <w:rsid w:val="009A1A75"/>
    <w:rsid w:val="009A3250"/>
    <w:rsid w:val="009A36E1"/>
    <w:rsid w:val="009A3741"/>
    <w:rsid w:val="009A47D1"/>
    <w:rsid w:val="009A4F46"/>
    <w:rsid w:val="009A53AA"/>
    <w:rsid w:val="009A736C"/>
    <w:rsid w:val="009A7AC4"/>
    <w:rsid w:val="009A7C0C"/>
    <w:rsid w:val="009B0B14"/>
    <w:rsid w:val="009B1CE8"/>
    <w:rsid w:val="009B23DA"/>
    <w:rsid w:val="009B2FEA"/>
    <w:rsid w:val="009B3199"/>
    <w:rsid w:val="009B32D0"/>
    <w:rsid w:val="009B4B4B"/>
    <w:rsid w:val="009B4FBC"/>
    <w:rsid w:val="009B53BE"/>
    <w:rsid w:val="009B540D"/>
    <w:rsid w:val="009B58AC"/>
    <w:rsid w:val="009B5B28"/>
    <w:rsid w:val="009B5BD5"/>
    <w:rsid w:val="009B5F26"/>
    <w:rsid w:val="009B6C1B"/>
    <w:rsid w:val="009B73BF"/>
    <w:rsid w:val="009B7578"/>
    <w:rsid w:val="009B76AC"/>
    <w:rsid w:val="009B7954"/>
    <w:rsid w:val="009B7EC8"/>
    <w:rsid w:val="009C11A0"/>
    <w:rsid w:val="009C160F"/>
    <w:rsid w:val="009C16B4"/>
    <w:rsid w:val="009C1AE7"/>
    <w:rsid w:val="009C1D5B"/>
    <w:rsid w:val="009C2A07"/>
    <w:rsid w:val="009C3190"/>
    <w:rsid w:val="009C3445"/>
    <w:rsid w:val="009C3DA0"/>
    <w:rsid w:val="009C4017"/>
    <w:rsid w:val="009C406B"/>
    <w:rsid w:val="009C4BC4"/>
    <w:rsid w:val="009C4E07"/>
    <w:rsid w:val="009C5751"/>
    <w:rsid w:val="009C5A4C"/>
    <w:rsid w:val="009C5C87"/>
    <w:rsid w:val="009C6E0B"/>
    <w:rsid w:val="009C714A"/>
    <w:rsid w:val="009C7EEC"/>
    <w:rsid w:val="009D156D"/>
    <w:rsid w:val="009D1978"/>
    <w:rsid w:val="009D19A3"/>
    <w:rsid w:val="009D1B1D"/>
    <w:rsid w:val="009D22E5"/>
    <w:rsid w:val="009D281F"/>
    <w:rsid w:val="009D2A78"/>
    <w:rsid w:val="009D30E2"/>
    <w:rsid w:val="009D3605"/>
    <w:rsid w:val="009D3830"/>
    <w:rsid w:val="009D3C00"/>
    <w:rsid w:val="009D3FEA"/>
    <w:rsid w:val="009D43E3"/>
    <w:rsid w:val="009D4653"/>
    <w:rsid w:val="009D50C7"/>
    <w:rsid w:val="009D524E"/>
    <w:rsid w:val="009D550F"/>
    <w:rsid w:val="009D5560"/>
    <w:rsid w:val="009D588B"/>
    <w:rsid w:val="009D58C2"/>
    <w:rsid w:val="009D649A"/>
    <w:rsid w:val="009D75DF"/>
    <w:rsid w:val="009D79C1"/>
    <w:rsid w:val="009D7F8A"/>
    <w:rsid w:val="009E0278"/>
    <w:rsid w:val="009E0569"/>
    <w:rsid w:val="009E07D8"/>
    <w:rsid w:val="009E1739"/>
    <w:rsid w:val="009E1AA7"/>
    <w:rsid w:val="009E25D5"/>
    <w:rsid w:val="009E3A96"/>
    <w:rsid w:val="009E5283"/>
    <w:rsid w:val="009E63FC"/>
    <w:rsid w:val="009E74B2"/>
    <w:rsid w:val="009E7D77"/>
    <w:rsid w:val="009F099A"/>
    <w:rsid w:val="009F0AA0"/>
    <w:rsid w:val="009F0FF1"/>
    <w:rsid w:val="009F1121"/>
    <w:rsid w:val="009F13DD"/>
    <w:rsid w:val="009F24DA"/>
    <w:rsid w:val="009F27A1"/>
    <w:rsid w:val="009F2CFB"/>
    <w:rsid w:val="009F30F5"/>
    <w:rsid w:val="009F31E7"/>
    <w:rsid w:val="009F33BA"/>
    <w:rsid w:val="009F3EF8"/>
    <w:rsid w:val="009F409C"/>
    <w:rsid w:val="009F44BE"/>
    <w:rsid w:val="009F5040"/>
    <w:rsid w:val="009F5640"/>
    <w:rsid w:val="009F56BE"/>
    <w:rsid w:val="009F6AD3"/>
    <w:rsid w:val="009F7454"/>
    <w:rsid w:val="009F7556"/>
    <w:rsid w:val="009F7871"/>
    <w:rsid w:val="009F7B4E"/>
    <w:rsid w:val="009F7F0D"/>
    <w:rsid w:val="009F7F5A"/>
    <w:rsid w:val="00A00B64"/>
    <w:rsid w:val="00A00EAA"/>
    <w:rsid w:val="00A0239A"/>
    <w:rsid w:val="00A02530"/>
    <w:rsid w:val="00A03AF7"/>
    <w:rsid w:val="00A040CB"/>
    <w:rsid w:val="00A055BF"/>
    <w:rsid w:val="00A06218"/>
    <w:rsid w:val="00A0622A"/>
    <w:rsid w:val="00A066A8"/>
    <w:rsid w:val="00A069A6"/>
    <w:rsid w:val="00A06EAD"/>
    <w:rsid w:val="00A0708A"/>
    <w:rsid w:val="00A07095"/>
    <w:rsid w:val="00A0783E"/>
    <w:rsid w:val="00A078B7"/>
    <w:rsid w:val="00A07C82"/>
    <w:rsid w:val="00A10031"/>
    <w:rsid w:val="00A10522"/>
    <w:rsid w:val="00A10CB3"/>
    <w:rsid w:val="00A12455"/>
    <w:rsid w:val="00A12C18"/>
    <w:rsid w:val="00A15537"/>
    <w:rsid w:val="00A15917"/>
    <w:rsid w:val="00A15BF1"/>
    <w:rsid w:val="00A1662C"/>
    <w:rsid w:val="00A16788"/>
    <w:rsid w:val="00A16DD1"/>
    <w:rsid w:val="00A17526"/>
    <w:rsid w:val="00A200D8"/>
    <w:rsid w:val="00A20C96"/>
    <w:rsid w:val="00A20F53"/>
    <w:rsid w:val="00A21470"/>
    <w:rsid w:val="00A22998"/>
    <w:rsid w:val="00A22A5D"/>
    <w:rsid w:val="00A22BBB"/>
    <w:rsid w:val="00A23AAA"/>
    <w:rsid w:val="00A23C62"/>
    <w:rsid w:val="00A23CAD"/>
    <w:rsid w:val="00A24724"/>
    <w:rsid w:val="00A24B51"/>
    <w:rsid w:val="00A256A8"/>
    <w:rsid w:val="00A2595F"/>
    <w:rsid w:val="00A25A2F"/>
    <w:rsid w:val="00A25E38"/>
    <w:rsid w:val="00A26072"/>
    <w:rsid w:val="00A264D5"/>
    <w:rsid w:val="00A26876"/>
    <w:rsid w:val="00A26BC2"/>
    <w:rsid w:val="00A26C69"/>
    <w:rsid w:val="00A26D7F"/>
    <w:rsid w:val="00A276FF"/>
    <w:rsid w:val="00A2799A"/>
    <w:rsid w:val="00A27A53"/>
    <w:rsid w:val="00A27EA4"/>
    <w:rsid w:val="00A300EF"/>
    <w:rsid w:val="00A30114"/>
    <w:rsid w:val="00A308A5"/>
    <w:rsid w:val="00A30A39"/>
    <w:rsid w:val="00A31D89"/>
    <w:rsid w:val="00A31E8E"/>
    <w:rsid w:val="00A31FB0"/>
    <w:rsid w:val="00A32A39"/>
    <w:rsid w:val="00A333A0"/>
    <w:rsid w:val="00A33473"/>
    <w:rsid w:val="00A336FB"/>
    <w:rsid w:val="00A339E5"/>
    <w:rsid w:val="00A33B38"/>
    <w:rsid w:val="00A34157"/>
    <w:rsid w:val="00A344BD"/>
    <w:rsid w:val="00A34F90"/>
    <w:rsid w:val="00A352DE"/>
    <w:rsid w:val="00A35440"/>
    <w:rsid w:val="00A35C73"/>
    <w:rsid w:val="00A35DF5"/>
    <w:rsid w:val="00A35F66"/>
    <w:rsid w:val="00A37024"/>
    <w:rsid w:val="00A37459"/>
    <w:rsid w:val="00A37EF8"/>
    <w:rsid w:val="00A4064E"/>
    <w:rsid w:val="00A406CE"/>
    <w:rsid w:val="00A40C51"/>
    <w:rsid w:val="00A410E0"/>
    <w:rsid w:val="00A41DF5"/>
    <w:rsid w:val="00A41F42"/>
    <w:rsid w:val="00A41FA9"/>
    <w:rsid w:val="00A42A36"/>
    <w:rsid w:val="00A43A2F"/>
    <w:rsid w:val="00A43F23"/>
    <w:rsid w:val="00A44027"/>
    <w:rsid w:val="00A44801"/>
    <w:rsid w:val="00A449E1"/>
    <w:rsid w:val="00A44ABE"/>
    <w:rsid w:val="00A4526F"/>
    <w:rsid w:val="00A45475"/>
    <w:rsid w:val="00A466E0"/>
    <w:rsid w:val="00A475BC"/>
    <w:rsid w:val="00A47645"/>
    <w:rsid w:val="00A500CC"/>
    <w:rsid w:val="00A50132"/>
    <w:rsid w:val="00A507F0"/>
    <w:rsid w:val="00A5169D"/>
    <w:rsid w:val="00A51714"/>
    <w:rsid w:val="00A52421"/>
    <w:rsid w:val="00A5314B"/>
    <w:rsid w:val="00A53988"/>
    <w:rsid w:val="00A53C0F"/>
    <w:rsid w:val="00A53DE5"/>
    <w:rsid w:val="00A541E3"/>
    <w:rsid w:val="00A541F9"/>
    <w:rsid w:val="00A5467B"/>
    <w:rsid w:val="00A546A2"/>
    <w:rsid w:val="00A5483E"/>
    <w:rsid w:val="00A548B3"/>
    <w:rsid w:val="00A54A6B"/>
    <w:rsid w:val="00A54A88"/>
    <w:rsid w:val="00A54C07"/>
    <w:rsid w:val="00A54F26"/>
    <w:rsid w:val="00A54F9D"/>
    <w:rsid w:val="00A55618"/>
    <w:rsid w:val="00A5653B"/>
    <w:rsid w:val="00A565EE"/>
    <w:rsid w:val="00A575BC"/>
    <w:rsid w:val="00A57837"/>
    <w:rsid w:val="00A606DE"/>
    <w:rsid w:val="00A607F6"/>
    <w:rsid w:val="00A61371"/>
    <w:rsid w:val="00A620C7"/>
    <w:rsid w:val="00A62D1E"/>
    <w:rsid w:val="00A63C8E"/>
    <w:rsid w:val="00A64401"/>
    <w:rsid w:val="00A65C63"/>
    <w:rsid w:val="00A65EB3"/>
    <w:rsid w:val="00A66B78"/>
    <w:rsid w:val="00A66BDF"/>
    <w:rsid w:val="00A6713A"/>
    <w:rsid w:val="00A671E7"/>
    <w:rsid w:val="00A6734C"/>
    <w:rsid w:val="00A67A9F"/>
    <w:rsid w:val="00A700B2"/>
    <w:rsid w:val="00A7076A"/>
    <w:rsid w:val="00A711E8"/>
    <w:rsid w:val="00A716F3"/>
    <w:rsid w:val="00A7179C"/>
    <w:rsid w:val="00A71B52"/>
    <w:rsid w:val="00A72793"/>
    <w:rsid w:val="00A72E9B"/>
    <w:rsid w:val="00A72FC1"/>
    <w:rsid w:val="00A7349D"/>
    <w:rsid w:val="00A7383A"/>
    <w:rsid w:val="00A73871"/>
    <w:rsid w:val="00A73E6B"/>
    <w:rsid w:val="00A747C2"/>
    <w:rsid w:val="00A74AC4"/>
    <w:rsid w:val="00A7742C"/>
    <w:rsid w:val="00A7780B"/>
    <w:rsid w:val="00A779B0"/>
    <w:rsid w:val="00A77C4D"/>
    <w:rsid w:val="00A77C7E"/>
    <w:rsid w:val="00A77D48"/>
    <w:rsid w:val="00A77E91"/>
    <w:rsid w:val="00A80292"/>
    <w:rsid w:val="00A802B4"/>
    <w:rsid w:val="00A80607"/>
    <w:rsid w:val="00A80696"/>
    <w:rsid w:val="00A80973"/>
    <w:rsid w:val="00A80E8D"/>
    <w:rsid w:val="00A8121A"/>
    <w:rsid w:val="00A81635"/>
    <w:rsid w:val="00A81F34"/>
    <w:rsid w:val="00A821F3"/>
    <w:rsid w:val="00A82730"/>
    <w:rsid w:val="00A82CA2"/>
    <w:rsid w:val="00A8320A"/>
    <w:rsid w:val="00A83564"/>
    <w:rsid w:val="00A83C09"/>
    <w:rsid w:val="00A83C7F"/>
    <w:rsid w:val="00A83D5C"/>
    <w:rsid w:val="00A84058"/>
    <w:rsid w:val="00A841AA"/>
    <w:rsid w:val="00A84578"/>
    <w:rsid w:val="00A84E99"/>
    <w:rsid w:val="00A85311"/>
    <w:rsid w:val="00A8576D"/>
    <w:rsid w:val="00A8713B"/>
    <w:rsid w:val="00A874F1"/>
    <w:rsid w:val="00A90882"/>
    <w:rsid w:val="00A90BAF"/>
    <w:rsid w:val="00A9111F"/>
    <w:rsid w:val="00A91B5E"/>
    <w:rsid w:val="00A92A86"/>
    <w:rsid w:val="00A934C2"/>
    <w:rsid w:val="00A95401"/>
    <w:rsid w:val="00A95CDE"/>
    <w:rsid w:val="00A96A3B"/>
    <w:rsid w:val="00A96A9F"/>
    <w:rsid w:val="00A96DEE"/>
    <w:rsid w:val="00A97311"/>
    <w:rsid w:val="00A97777"/>
    <w:rsid w:val="00A97F1E"/>
    <w:rsid w:val="00AA0DAF"/>
    <w:rsid w:val="00AA10E0"/>
    <w:rsid w:val="00AA1889"/>
    <w:rsid w:val="00AA19EC"/>
    <w:rsid w:val="00AA1C8F"/>
    <w:rsid w:val="00AA22CD"/>
    <w:rsid w:val="00AA26FE"/>
    <w:rsid w:val="00AA2D76"/>
    <w:rsid w:val="00AA32CC"/>
    <w:rsid w:val="00AA3E47"/>
    <w:rsid w:val="00AA4726"/>
    <w:rsid w:val="00AA4C16"/>
    <w:rsid w:val="00AA4D88"/>
    <w:rsid w:val="00AA4F9C"/>
    <w:rsid w:val="00AA581E"/>
    <w:rsid w:val="00AA5BF1"/>
    <w:rsid w:val="00AA7021"/>
    <w:rsid w:val="00AA76E0"/>
    <w:rsid w:val="00AA793B"/>
    <w:rsid w:val="00AA7F0F"/>
    <w:rsid w:val="00AA7FAB"/>
    <w:rsid w:val="00AB0318"/>
    <w:rsid w:val="00AB0CF0"/>
    <w:rsid w:val="00AB1463"/>
    <w:rsid w:val="00AB1809"/>
    <w:rsid w:val="00AB1E81"/>
    <w:rsid w:val="00AB2C3A"/>
    <w:rsid w:val="00AB343A"/>
    <w:rsid w:val="00AB3CBA"/>
    <w:rsid w:val="00AB4EC2"/>
    <w:rsid w:val="00AB596B"/>
    <w:rsid w:val="00AB5CA5"/>
    <w:rsid w:val="00AB5EF9"/>
    <w:rsid w:val="00AB6350"/>
    <w:rsid w:val="00AB6E58"/>
    <w:rsid w:val="00AB6E75"/>
    <w:rsid w:val="00AB6FE8"/>
    <w:rsid w:val="00AB7015"/>
    <w:rsid w:val="00AB70FC"/>
    <w:rsid w:val="00AB7359"/>
    <w:rsid w:val="00AB7935"/>
    <w:rsid w:val="00AC0EB8"/>
    <w:rsid w:val="00AC14CD"/>
    <w:rsid w:val="00AC15D4"/>
    <w:rsid w:val="00AC166D"/>
    <w:rsid w:val="00AC181C"/>
    <w:rsid w:val="00AC1E13"/>
    <w:rsid w:val="00AC2041"/>
    <w:rsid w:val="00AC24F8"/>
    <w:rsid w:val="00AC2638"/>
    <w:rsid w:val="00AC29C8"/>
    <w:rsid w:val="00AC2A17"/>
    <w:rsid w:val="00AC2DCE"/>
    <w:rsid w:val="00AC3598"/>
    <w:rsid w:val="00AC393E"/>
    <w:rsid w:val="00AC43AB"/>
    <w:rsid w:val="00AC49FB"/>
    <w:rsid w:val="00AC5793"/>
    <w:rsid w:val="00AC6519"/>
    <w:rsid w:val="00AC676B"/>
    <w:rsid w:val="00AD062F"/>
    <w:rsid w:val="00AD088A"/>
    <w:rsid w:val="00AD08A2"/>
    <w:rsid w:val="00AD0A37"/>
    <w:rsid w:val="00AD0E23"/>
    <w:rsid w:val="00AD1CB8"/>
    <w:rsid w:val="00AD29E7"/>
    <w:rsid w:val="00AD2D17"/>
    <w:rsid w:val="00AD32E8"/>
    <w:rsid w:val="00AD3F76"/>
    <w:rsid w:val="00AD40EA"/>
    <w:rsid w:val="00AD4101"/>
    <w:rsid w:val="00AD5209"/>
    <w:rsid w:val="00AD53E7"/>
    <w:rsid w:val="00AD5845"/>
    <w:rsid w:val="00AD5DB4"/>
    <w:rsid w:val="00AD5EBA"/>
    <w:rsid w:val="00AD66B3"/>
    <w:rsid w:val="00AD6AA7"/>
    <w:rsid w:val="00AD6C0D"/>
    <w:rsid w:val="00AD6F43"/>
    <w:rsid w:val="00AD7649"/>
    <w:rsid w:val="00AD7675"/>
    <w:rsid w:val="00AD7A1B"/>
    <w:rsid w:val="00AD7A71"/>
    <w:rsid w:val="00AD7BCB"/>
    <w:rsid w:val="00AE05A3"/>
    <w:rsid w:val="00AE0BC0"/>
    <w:rsid w:val="00AE11F4"/>
    <w:rsid w:val="00AE170F"/>
    <w:rsid w:val="00AE1713"/>
    <w:rsid w:val="00AE25F6"/>
    <w:rsid w:val="00AE3CBA"/>
    <w:rsid w:val="00AE3D17"/>
    <w:rsid w:val="00AE42FE"/>
    <w:rsid w:val="00AE51CE"/>
    <w:rsid w:val="00AE5A40"/>
    <w:rsid w:val="00AE6443"/>
    <w:rsid w:val="00AE6998"/>
    <w:rsid w:val="00AE76B8"/>
    <w:rsid w:val="00AE7EFD"/>
    <w:rsid w:val="00AE7FC0"/>
    <w:rsid w:val="00AF0483"/>
    <w:rsid w:val="00AF0CF4"/>
    <w:rsid w:val="00AF1169"/>
    <w:rsid w:val="00AF15F1"/>
    <w:rsid w:val="00AF184A"/>
    <w:rsid w:val="00AF1B17"/>
    <w:rsid w:val="00AF210F"/>
    <w:rsid w:val="00AF238B"/>
    <w:rsid w:val="00AF2A84"/>
    <w:rsid w:val="00AF2D5D"/>
    <w:rsid w:val="00AF2EFB"/>
    <w:rsid w:val="00AF3640"/>
    <w:rsid w:val="00AF3914"/>
    <w:rsid w:val="00AF3B3F"/>
    <w:rsid w:val="00AF3DA1"/>
    <w:rsid w:val="00AF4632"/>
    <w:rsid w:val="00AF4874"/>
    <w:rsid w:val="00AF4FE4"/>
    <w:rsid w:val="00AF57D6"/>
    <w:rsid w:val="00AF5FA5"/>
    <w:rsid w:val="00AF62F3"/>
    <w:rsid w:val="00AF632C"/>
    <w:rsid w:val="00AF64AC"/>
    <w:rsid w:val="00AF68B5"/>
    <w:rsid w:val="00AF6FC2"/>
    <w:rsid w:val="00AF6FC8"/>
    <w:rsid w:val="00AF7008"/>
    <w:rsid w:val="00AF72FB"/>
    <w:rsid w:val="00AF7B24"/>
    <w:rsid w:val="00AF7BC7"/>
    <w:rsid w:val="00B00FE3"/>
    <w:rsid w:val="00B01D73"/>
    <w:rsid w:val="00B0259D"/>
    <w:rsid w:val="00B026E4"/>
    <w:rsid w:val="00B039D9"/>
    <w:rsid w:val="00B040A8"/>
    <w:rsid w:val="00B04622"/>
    <w:rsid w:val="00B046C1"/>
    <w:rsid w:val="00B05343"/>
    <w:rsid w:val="00B05756"/>
    <w:rsid w:val="00B064C0"/>
    <w:rsid w:val="00B06704"/>
    <w:rsid w:val="00B06C91"/>
    <w:rsid w:val="00B07052"/>
    <w:rsid w:val="00B1021D"/>
    <w:rsid w:val="00B106BB"/>
    <w:rsid w:val="00B10DF6"/>
    <w:rsid w:val="00B112DC"/>
    <w:rsid w:val="00B114F1"/>
    <w:rsid w:val="00B1174C"/>
    <w:rsid w:val="00B117AC"/>
    <w:rsid w:val="00B1186B"/>
    <w:rsid w:val="00B11DD5"/>
    <w:rsid w:val="00B11EE7"/>
    <w:rsid w:val="00B138CD"/>
    <w:rsid w:val="00B14459"/>
    <w:rsid w:val="00B15281"/>
    <w:rsid w:val="00B1554C"/>
    <w:rsid w:val="00B1565F"/>
    <w:rsid w:val="00B16CD5"/>
    <w:rsid w:val="00B16F80"/>
    <w:rsid w:val="00B170F7"/>
    <w:rsid w:val="00B17232"/>
    <w:rsid w:val="00B1753A"/>
    <w:rsid w:val="00B176AA"/>
    <w:rsid w:val="00B179A4"/>
    <w:rsid w:val="00B17A88"/>
    <w:rsid w:val="00B17E93"/>
    <w:rsid w:val="00B20CC4"/>
    <w:rsid w:val="00B20EC4"/>
    <w:rsid w:val="00B20F72"/>
    <w:rsid w:val="00B21B8A"/>
    <w:rsid w:val="00B2220F"/>
    <w:rsid w:val="00B2222E"/>
    <w:rsid w:val="00B22318"/>
    <w:rsid w:val="00B229F7"/>
    <w:rsid w:val="00B2302C"/>
    <w:rsid w:val="00B234E0"/>
    <w:rsid w:val="00B239D1"/>
    <w:rsid w:val="00B23AAD"/>
    <w:rsid w:val="00B23AB1"/>
    <w:rsid w:val="00B24721"/>
    <w:rsid w:val="00B24968"/>
    <w:rsid w:val="00B24A1D"/>
    <w:rsid w:val="00B24C8D"/>
    <w:rsid w:val="00B24E9C"/>
    <w:rsid w:val="00B259CD"/>
    <w:rsid w:val="00B259EF"/>
    <w:rsid w:val="00B25EC0"/>
    <w:rsid w:val="00B260E8"/>
    <w:rsid w:val="00B26136"/>
    <w:rsid w:val="00B26A61"/>
    <w:rsid w:val="00B27987"/>
    <w:rsid w:val="00B3072C"/>
    <w:rsid w:val="00B30AB9"/>
    <w:rsid w:val="00B30FD1"/>
    <w:rsid w:val="00B311C1"/>
    <w:rsid w:val="00B31223"/>
    <w:rsid w:val="00B3163F"/>
    <w:rsid w:val="00B31743"/>
    <w:rsid w:val="00B31983"/>
    <w:rsid w:val="00B31F16"/>
    <w:rsid w:val="00B32048"/>
    <w:rsid w:val="00B32266"/>
    <w:rsid w:val="00B32397"/>
    <w:rsid w:val="00B32A4B"/>
    <w:rsid w:val="00B331FD"/>
    <w:rsid w:val="00B33386"/>
    <w:rsid w:val="00B33AD2"/>
    <w:rsid w:val="00B34C1A"/>
    <w:rsid w:val="00B350D2"/>
    <w:rsid w:val="00B36D71"/>
    <w:rsid w:val="00B373C5"/>
    <w:rsid w:val="00B37417"/>
    <w:rsid w:val="00B3786B"/>
    <w:rsid w:val="00B37879"/>
    <w:rsid w:val="00B37D6B"/>
    <w:rsid w:val="00B40F25"/>
    <w:rsid w:val="00B41D51"/>
    <w:rsid w:val="00B41E37"/>
    <w:rsid w:val="00B42D83"/>
    <w:rsid w:val="00B431E7"/>
    <w:rsid w:val="00B43335"/>
    <w:rsid w:val="00B433B6"/>
    <w:rsid w:val="00B43A34"/>
    <w:rsid w:val="00B443FC"/>
    <w:rsid w:val="00B44A58"/>
    <w:rsid w:val="00B44AFB"/>
    <w:rsid w:val="00B4504B"/>
    <w:rsid w:val="00B45EB2"/>
    <w:rsid w:val="00B47188"/>
    <w:rsid w:val="00B474EA"/>
    <w:rsid w:val="00B47937"/>
    <w:rsid w:val="00B47F32"/>
    <w:rsid w:val="00B504A0"/>
    <w:rsid w:val="00B50771"/>
    <w:rsid w:val="00B50CD8"/>
    <w:rsid w:val="00B50D8D"/>
    <w:rsid w:val="00B51083"/>
    <w:rsid w:val="00B52508"/>
    <w:rsid w:val="00B52B13"/>
    <w:rsid w:val="00B53088"/>
    <w:rsid w:val="00B53138"/>
    <w:rsid w:val="00B534FA"/>
    <w:rsid w:val="00B53E14"/>
    <w:rsid w:val="00B53EFE"/>
    <w:rsid w:val="00B54055"/>
    <w:rsid w:val="00B5519D"/>
    <w:rsid w:val="00B5565F"/>
    <w:rsid w:val="00B55961"/>
    <w:rsid w:val="00B55ADA"/>
    <w:rsid w:val="00B55FCE"/>
    <w:rsid w:val="00B56158"/>
    <w:rsid w:val="00B568F8"/>
    <w:rsid w:val="00B56C30"/>
    <w:rsid w:val="00B574FC"/>
    <w:rsid w:val="00B6012C"/>
    <w:rsid w:val="00B6036C"/>
    <w:rsid w:val="00B60543"/>
    <w:rsid w:val="00B60B84"/>
    <w:rsid w:val="00B611E3"/>
    <w:rsid w:val="00B61AE1"/>
    <w:rsid w:val="00B62233"/>
    <w:rsid w:val="00B6238C"/>
    <w:rsid w:val="00B62554"/>
    <w:rsid w:val="00B633CE"/>
    <w:rsid w:val="00B6388B"/>
    <w:rsid w:val="00B63A7A"/>
    <w:rsid w:val="00B652D4"/>
    <w:rsid w:val="00B656C8"/>
    <w:rsid w:val="00B657B4"/>
    <w:rsid w:val="00B65ED1"/>
    <w:rsid w:val="00B66E39"/>
    <w:rsid w:val="00B66FE1"/>
    <w:rsid w:val="00B674A9"/>
    <w:rsid w:val="00B67783"/>
    <w:rsid w:val="00B67AAC"/>
    <w:rsid w:val="00B70176"/>
    <w:rsid w:val="00B70527"/>
    <w:rsid w:val="00B70791"/>
    <w:rsid w:val="00B710D8"/>
    <w:rsid w:val="00B713B3"/>
    <w:rsid w:val="00B72193"/>
    <w:rsid w:val="00B7270E"/>
    <w:rsid w:val="00B73C5E"/>
    <w:rsid w:val="00B74447"/>
    <w:rsid w:val="00B746E1"/>
    <w:rsid w:val="00B75268"/>
    <w:rsid w:val="00B75296"/>
    <w:rsid w:val="00B75E50"/>
    <w:rsid w:val="00B75F67"/>
    <w:rsid w:val="00B764A5"/>
    <w:rsid w:val="00B76591"/>
    <w:rsid w:val="00B76731"/>
    <w:rsid w:val="00B76B90"/>
    <w:rsid w:val="00B76CC1"/>
    <w:rsid w:val="00B7719B"/>
    <w:rsid w:val="00B7780B"/>
    <w:rsid w:val="00B77FDC"/>
    <w:rsid w:val="00B80957"/>
    <w:rsid w:val="00B80CA9"/>
    <w:rsid w:val="00B80FFF"/>
    <w:rsid w:val="00B813F1"/>
    <w:rsid w:val="00B829CE"/>
    <w:rsid w:val="00B82A69"/>
    <w:rsid w:val="00B8306E"/>
    <w:rsid w:val="00B83303"/>
    <w:rsid w:val="00B8341D"/>
    <w:rsid w:val="00B83C4A"/>
    <w:rsid w:val="00B83DBA"/>
    <w:rsid w:val="00B843CC"/>
    <w:rsid w:val="00B843F6"/>
    <w:rsid w:val="00B8472C"/>
    <w:rsid w:val="00B8496D"/>
    <w:rsid w:val="00B849BE"/>
    <w:rsid w:val="00B84C4B"/>
    <w:rsid w:val="00B85155"/>
    <w:rsid w:val="00B860FE"/>
    <w:rsid w:val="00B868A4"/>
    <w:rsid w:val="00B86D58"/>
    <w:rsid w:val="00B86F83"/>
    <w:rsid w:val="00B878D2"/>
    <w:rsid w:val="00B8796F"/>
    <w:rsid w:val="00B907AF"/>
    <w:rsid w:val="00B909E2"/>
    <w:rsid w:val="00B90C8D"/>
    <w:rsid w:val="00B91C5E"/>
    <w:rsid w:val="00B91D3C"/>
    <w:rsid w:val="00B91E3D"/>
    <w:rsid w:val="00B92665"/>
    <w:rsid w:val="00B92839"/>
    <w:rsid w:val="00B92AA3"/>
    <w:rsid w:val="00B9340F"/>
    <w:rsid w:val="00B936FD"/>
    <w:rsid w:val="00B94AA7"/>
    <w:rsid w:val="00B94B75"/>
    <w:rsid w:val="00B94E9D"/>
    <w:rsid w:val="00B953F5"/>
    <w:rsid w:val="00B954B7"/>
    <w:rsid w:val="00B95899"/>
    <w:rsid w:val="00B958B8"/>
    <w:rsid w:val="00B959E7"/>
    <w:rsid w:val="00B95D51"/>
    <w:rsid w:val="00B963B1"/>
    <w:rsid w:val="00B97E88"/>
    <w:rsid w:val="00B97F96"/>
    <w:rsid w:val="00BA09B2"/>
    <w:rsid w:val="00BA115A"/>
    <w:rsid w:val="00BA149A"/>
    <w:rsid w:val="00BA198C"/>
    <w:rsid w:val="00BA1D99"/>
    <w:rsid w:val="00BA21D7"/>
    <w:rsid w:val="00BA2646"/>
    <w:rsid w:val="00BA3893"/>
    <w:rsid w:val="00BA3C87"/>
    <w:rsid w:val="00BA4052"/>
    <w:rsid w:val="00BA44CA"/>
    <w:rsid w:val="00BA47EF"/>
    <w:rsid w:val="00BA4CBB"/>
    <w:rsid w:val="00BA52FB"/>
    <w:rsid w:val="00BA546C"/>
    <w:rsid w:val="00BA62BB"/>
    <w:rsid w:val="00BA7192"/>
    <w:rsid w:val="00BA731A"/>
    <w:rsid w:val="00BA762E"/>
    <w:rsid w:val="00BA7D9D"/>
    <w:rsid w:val="00BA7F87"/>
    <w:rsid w:val="00BB07A4"/>
    <w:rsid w:val="00BB1074"/>
    <w:rsid w:val="00BB1D4F"/>
    <w:rsid w:val="00BB1FE9"/>
    <w:rsid w:val="00BB220C"/>
    <w:rsid w:val="00BB2490"/>
    <w:rsid w:val="00BB24C7"/>
    <w:rsid w:val="00BB2893"/>
    <w:rsid w:val="00BB2BB2"/>
    <w:rsid w:val="00BB34B7"/>
    <w:rsid w:val="00BB371E"/>
    <w:rsid w:val="00BB3C7B"/>
    <w:rsid w:val="00BB40D2"/>
    <w:rsid w:val="00BB447C"/>
    <w:rsid w:val="00BB4B4B"/>
    <w:rsid w:val="00BB4D2D"/>
    <w:rsid w:val="00BB5017"/>
    <w:rsid w:val="00BB503D"/>
    <w:rsid w:val="00BB5382"/>
    <w:rsid w:val="00BB683F"/>
    <w:rsid w:val="00BB6998"/>
    <w:rsid w:val="00BB73D1"/>
    <w:rsid w:val="00BB7658"/>
    <w:rsid w:val="00BB7769"/>
    <w:rsid w:val="00BB7E91"/>
    <w:rsid w:val="00BC0027"/>
    <w:rsid w:val="00BC1391"/>
    <w:rsid w:val="00BC1601"/>
    <w:rsid w:val="00BC187B"/>
    <w:rsid w:val="00BC1C8E"/>
    <w:rsid w:val="00BC1E3B"/>
    <w:rsid w:val="00BC2160"/>
    <w:rsid w:val="00BC2EB0"/>
    <w:rsid w:val="00BC31E6"/>
    <w:rsid w:val="00BC3225"/>
    <w:rsid w:val="00BC3585"/>
    <w:rsid w:val="00BC3727"/>
    <w:rsid w:val="00BC3C34"/>
    <w:rsid w:val="00BC3CE5"/>
    <w:rsid w:val="00BC405F"/>
    <w:rsid w:val="00BC4069"/>
    <w:rsid w:val="00BC4B6A"/>
    <w:rsid w:val="00BC4D37"/>
    <w:rsid w:val="00BC4F3E"/>
    <w:rsid w:val="00BC51EB"/>
    <w:rsid w:val="00BC5BF9"/>
    <w:rsid w:val="00BC5F72"/>
    <w:rsid w:val="00BC7169"/>
    <w:rsid w:val="00BC7909"/>
    <w:rsid w:val="00BC7C65"/>
    <w:rsid w:val="00BC7EC2"/>
    <w:rsid w:val="00BD0382"/>
    <w:rsid w:val="00BD06D4"/>
    <w:rsid w:val="00BD0CC7"/>
    <w:rsid w:val="00BD1478"/>
    <w:rsid w:val="00BD2BA9"/>
    <w:rsid w:val="00BD3109"/>
    <w:rsid w:val="00BD38BD"/>
    <w:rsid w:val="00BD3B44"/>
    <w:rsid w:val="00BD41A6"/>
    <w:rsid w:val="00BD50FA"/>
    <w:rsid w:val="00BD5979"/>
    <w:rsid w:val="00BD647B"/>
    <w:rsid w:val="00BD789D"/>
    <w:rsid w:val="00BD7F49"/>
    <w:rsid w:val="00BE0686"/>
    <w:rsid w:val="00BE07BC"/>
    <w:rsid w:val="00BE0802"/>
    <w:rsid w:val="00BE081A"/>
    <w:rsid w:val="00BE0CC5"/>
    <w:rsid w:val="00BE11C7"/>
    <w:rsid w:val="00BE150D"/>
    <w:rsid w:val="00BE15C4"/>
    <w:rsid w:val="00BE17C6"/>
    <w:rsid w:val="00BE1A95"/>
    <w:rsid w:val="00BE27FA"/>
    <w:rsid w:val="00BE2A64"/>
    <w:rsid w:val="00BE3330"/>
    <w:rsid w:val="00BE3AE9"/>
    <w:rsid w:val="00BE5038"/>
    <w:rsid w:val="00BE563D"/>
    <w:rsid w:val="00BE58AF"/>
    <w:rsid w:val="00BE5ADA"/>
    <w:rsid w:val="00BE5D49"/>
    <w:rsid w:val="00BE611E"/>
    <w:rsid w:val="00BE6E7A"/>
    <w:rsid w:val="00BE7226"/>
    <w:rsid w:val="00BE7287"/>
    <w:rsid w:val="00BE7340"/>
    <w:rsid w:val="00BE77BD"/>
    <w:rsid w:val="00BE7960"/>
    <w:rsid w:val="00BF109C"/>
    <w:rsid w:val="00BF16DD"/>
    <w:rsid w:val="00BF1FC1"/>
    <w:rsid w:val="00BF247E"/>
    <w:rsid w:val="00BF25F0"/>
    <w:rsid w:val="00BF2A70"/>
    <w:rsid w:val="00BF306E"/>
    <w:rsid w:val="00BF37A6"/>
    <w:rsid w:val="00BF37CD"/>
    <w:rsid w:val="00BF3E96"/>
    <w:rsid w:val="00BF4113"/>
    <w:rsid w:val="00BF47E5"/>
    <w:rsid w:val="00BF4C4A"/>
    <w:rsid w:val="00BF4F87"/>
    <w:rsid w:val="00BF5A4F"/>
    <w:rsid w:val="00BF5BEB"/>
    <w:rsid w:val="00BF5F5A"/>
    <w:rsid w:val="00BF6B87"/>
    <w:rsid w:val="00BF71DB"/>
    <w:rsid w:val="00BF74B4"/>
    <w:rsid w:val="00BF7E0A"/>
    <w:rsid w:val="00BF7EF3"/>
    <w:rsid w:val="00C002AF"/>
    <w:rsid w:val="00C01C4C"/>
    <w:rsid w:val="00C0215E"/>
    <w:rsid w:val="00C022D9"/>
    <w:rsid w:val="00C02671"/>
    <w:rsid w:val="00C0318A"/>
    <w:rsid w:val="00C0380E"/>
    <w:rsid w:val="00C04B8A"/>
    <w:rsid w:val="00C05A8F"/>
    <w:rsid w:val="00C05B91"/>
    <w:rsid w:val="00C0604B"/>
    <w:rsid w:val="00C062E9"/>
    <w:rsid w:val="00C06362"/>
    <w:rsid w:val="00C07011"/>
    <w:rsid w:val="00C0721B"/>
    <w:rsid w:val="00C0747D"/>
    <w:rsid w:val="00C07491"/>
    <w:rsid w:val="00C077E2"/>
    <w:rsid w:val="00C079D4"/>
    <w:rsid w:val="00C07BE7"/>
    <w:rsid w:val="00C07BEC"/>
    <w:rsid w:val="00C1038F"/>
    <w:rsid w:val="00C105C4"/>
    <w:rsid w:val="00C10B5A"/>
    <w:rsid w:val="00C11440"/>
    <w:rsid w:val="00C118D4"/>
    <w:rsid w:val="00C11B1B"/>
    <w:rsid w:val="00C1215A"/>
    <w:rsid w:val="00C13098"/>
    <w:rsid w:val="00C1324F"/>
    <w:rsid w:val="00C1348C"/>
    <w:rsid w:val="00C136B2"/>
    <w:rsid w:val="00C13932"/>
    <w:rsid w:val="00C1436F"/>
    <w:rsid w:val="00C14582"/>
    <w:rsid w:val="00C146AE"/>
    <w:rsid w:val="00C14969"/>
    <w:rsid w:val="00C1778A"/>
    <w:rsid w:val="00C17DC4"/>
    <w:rsid w:val="00C201C7"/>
    <w:rsid w:val="00C20558"/>
    <w:rsid w:val="00C2064B"/>
    <w:rsid w:val="00C20709"/>
    <w:rsid w:val="00C211A0"/>
    <w:rsid w:val="00C214FF"/>
    <w:rsid w:val="00C21F37"/>
    <w:rsid w:val="00C22AC4"/>
    <w:rsid w:val="00C230F3"/>
    <w:rsid w:val="00C2321C"/>
    <w:rsid w:val="00C237BB"/>
    <w:rsid w:val="00C23E48"/>
    <w:rsid w:val="00C243A7"/>
    <w:rsid w:val="00C247B7"/>
    <w:rsid w:val="00C247EF"/>
    <w:rsid w:val="00C24BEF"/>
    <w:rsid w:val="00C24E33"/>
    <w:rsid w:val="00C25917"/>
    <w:rsid w:val="00C25A02"/>
    <w:rsid w:val="00C26BE9"/>
    <w:rsid w:val="00C274B6"/>
    <w:rsid w:val="00C275BA"/>
    <w:rsid w:val="00C27688"/>
    <w:rsid w:val="00C27B06"/>
    <w:rsid w:val="00C27D7E"/>
    <w:rsid w:val="00C30C02"/>
    <w:rsid w:val="00C30F69"/>
    <w:rsid w:val="00C3131A"/>
    <w:rsid w:val="00C32078"/>
    <w:rsid w:val="00C32533"/>
    <w:rsid w:val="00C32B0B"/>
    <w:rsid w:val="00C330EC"/>
    <w:rsid w:val="00C334D3"/>
    <w:rsid w:val="00C33D61"/>
    <w:rsid w:val="00C35B9F"/>
    <w:rsid w:val="00C35ED2"/>
    <w:rsid w:val="00C3629F"/>
    <w:rsid w:val="00C362FB"/>
    <w:rsid w:val="00C36853"/>
    <w:rsid w:val="00C36BE2"/>
    <w:rsid w:val="00C37313"/>
    <w:rsid w:val="00C37439"/>
    <w:rsid w:val="00C3784E"/>
    <w:rsid w:val="00C4048D"/>
    <w:rsid w:val="00C40995"/>
    <w:rsid w:val="00C40BA8"/>
    <w:rsid w:val="00C40DF8"/>
    <w:rsid w:val="00C42ED3"/>
    <w:rsid w:val="00C43801"/>
    <w:rsid w:val="00C43AC2"/>
    <w:rsid w:val="00C43B43"/>
    <w:rsid w:val="00C4529C"/>
    <w:rsid w:val="00C460CE"/>
    <w:rsid w:val="00C460EE"/>
    <w:rsid w:val="00C462A4"/>
    <w:rsid w:val="00C464AE"/>
    <w:rsid w:val="00C465A5"/>
    <w:rsid w:val="00C46673"/>
    <w:rsid w:val="00C468A0"/>
    <w:rsid w:val="00C470EE"/>
    <w:rsid w:val="00C47610"/>
    <w:rsid w:val="00C47682"/>
    <w:rsid w:val="00C5014B"/>
    <w:rsid w:val="00C503A0"/>
    <w:rsid w:val="00C5061F"/>
    <w:rsid w:val="00C506D5"/>
    <w:rsid w:val="00C5080B"/>
    <w:rsid w:val="00C50CE7"/>
    <w:rsid w:val="00C50FDD"/>
    <w:rsid w:val="00C5162F"/>
    <w:rsid w:val="00C5198E"/>
    <w:rsid w:val="00C51BE5"/>
    <w:rsid w:val="00C51FD4"/>
    <w:rsid w:val="00C52445"/>
    <w:rsid w:val="00C526A3"/>
    <w:rsid w:val="00C52BB7"/>
    <w:rsid w:val="00C52C92"/>
    <w:rsid w:val="00C53081"/>
    <w:rsid w:val="00C5330D"/>
    <w:rsid w:val="00C53AC4"/>
    <w:rsid w:val="00C53AF8"/>
    <w:rsid w:val="00C542DC"/>
    <w:rsid w:val="00C54A52"/>
    <w:rsid w:val="00C54F99"/>
    <w:rsid w:val="00C56451"/>
    <w:rsid w:val="00C56780"/>
    <w:rsid w:val="00C5682A"/>
    <w:rsid w:val="00C56851"/>
    <w:rsid w:val="00C56C58"/>
    <w:rsid w:val="00C573D4"/>
    <w:rsid w:val="00C57984"/>
    <w:rsid w:val="00C60345"/>
    <w:rsid w:val="00C60589"/>
    <w:rsid w:val="00C60A56"/>
    <w:rsid w:val="00C60F22"/>
    <w:rsid w:val="00C61F30"/>
    <w:rsid w:val="00C6213C"/>
    <w:rsid w:val="00C629DC"/>
    <w:rsid w:val="00C63203"/>
    <w:rsid w:val="00C63D1F"/>
    <w:rsid w:val="00C63D72"/>
    <w:rsid w:val="00C63EDD"/>
    <w:rsid w:val="00C6475F"/>
    <w:rsid w:val="00C64C89"/>
    <w:rsid w:val="00C64E0A"/>
    <w:rsid w:val="00C65068"/>
    <w:rsid w:val="00C65745"/>
    <w:rsid w:val="00C661E1"/>
    <w:rsid w:val="00C661F7"/>
    <w:rsid w:val="00C6646E"/>
    <w:rsid w:val="00C669A7"/>
    <w:rsid w:val="00C66D17"/>
    <w:rsid w:val="00C66E00"/>
    <w:rsid w:val="00C66E18"/>
    <w:rsid w:val="00C6769D"/>
    <w:rsid w:val="00C67887"/>
    <w:rsid w:val="00C7004D"/>
    <w:rsid w:val="00C70E9D"/>
    <w:rsid w:val="00C710A0"/>
    <w:rsid w:val="00C71D52"/>
    <w:rsid w:val="00C71DC7"/>
    <w:rsid w:val="00C71E9B"/>
    <w:rsid w:val="00C72889"/>
    <w:rsid w:val="00C7288F"/>
    <w:rsid w:val="00C72B2D"/>
    <w:rsid w:val="00C72CE6"/>
    <w:rsid w:val="00C72EB6"/>
    <w:rsid w:val="00C73FCF"/>
    <w:rsid w:val="00C741D4"/>
    <w:rsid w:val="00C7495D"/>
    <w:rsid w:val="00C7577B"/>
    <w:rsid w:val="00C75816"/>
    <w:rsid w:val="00C75A12"/>
    <w:rsid w:val="00C76061"/>
    <w:rsid w:val="00C76933"/>
    <w:rsid w:val="00C7779B"/>
    <w:rsid w:val="00C80168"/>
    <w:rsid w:val="00C80441"/>
    <w:rsid w:val="00C8199E"/>
    <w:rsid w:val="00C81AB4"/>
    <w:rsid w:val="00C81B4F"/>
    <w:rsid w:val="00C81BEF"/>
    <w:rsid w:val="00C8223D"/>
    <w:rsid w:val="00C836AB"/>
    <w:rsid w:val="00C8399F"/>
    <w:rsid w:val="00C83D6E"/>
    <w:rsid w:val="00C84D1A"/>
    <w:rsid w:val="00C854FF"/>
    <w:rsid w:val="00C858F2"/>
    <w:rsid w:val="00C8604A"/>
    <w:rsid w:val="00C86211"/>
    <w:rsid w:val="00C865CA"/>
    <w:rsid w:val="00C86CDD"/>
    <w:rsid w:val="00C86DAB"/>
    <w:rsid w:val="00C87C4A"/>
    <w:rsid w:val="00C9122F"/>
    <w:rsid w:val="00C91999"/>
    <w:rsid w:val="00C91DCE"/>
    <w:rsid w:val="00C91DF4"/>
    <w:rsid w:val="00C92590"/>
    <w:rsid w:val="00C928EB"/>
    <w:rsid w:val="00C93565"/>
    <w:rsid w:val="00C93EA8"/>
    <w:rsid w:val="00C94017"/>
    <w:rsid w:val="00C9462B"/>
    <w:rsid w:val="00C94852"/>
    <w:rsid w:val="00C94893"/>
    <w:rsid w:val="00C955C0"/>
    <w:rsid w:val="00C96461"/>
    <w:rsid w:val="00C96974"/>
    <w:rsid w:val="00C97708"/>
    <w:rsid w:val="00C9774A"/>
    <w:rsid w:val="00CA066E"/>
    <w:rsid w:val="00CA06B7"/>
    <w:rsid w:val="00CA07D0"/>
    <w:rsid w:val="00CA150B"/>
    <w:rsid w:val="00CA1631"/>
    <w:rsid w:val="00CA1BD0"/>
    <w:rsid w:val="00CA1E64"/>
    <w:rsid w:val="00CA3761"/>
    <w:rsid w:val="00CA384E"/>
    <w:rsid w:val="00CA3BAE"/>
    <w:rsid w:val="00CA3BEE"/>
    <w:rsid w:val="00CA4103"/>
    <w:rsid w:val="00CA4854"/>
    <w:rsid w:val="00CA54B9"/>
    <w:rsid w:val="00CA5826"/>
    <w:rsid w:val="00CA5988"/>
    <w:rsid w:val="00CA642A"/>
    <w:rsid w:val="00CA6434"/>
    <w:rsid w:val="00CA68E3"/>
    <w:rsid w:val="00CA6D96"/>
    <w:rsid w:val="00CA786C"/>
    <w:rsid w:val="00CA7DB2"/>
    <w:rsid w:val="00CB013B"/>
    <w:rsid w:val="00CB0211"/>
    <w:rsid w:val="00CB0402"/>
    <w:rsid w:val="00CB06AD"/>
    <w:rsid w:val="00CB08E6"/>
    <w:rsid w:val="00CB0B0D"/>
    <w:rsid w:val="00CB133E"/>
    <w:rsid w:val="00CB2670"/>
    <w:rsid w:val="00CB26FF"/>
    <w:rsid w:val="00CB2994"/>
    <w:rsid w:val="00CB38AE"/>
    <w:rsid w:val="00CB3BBB"/>
    <w:rsid w:val="00CB3F04"/>
    <w:rsid w:val="00CB472E"/>
    <w:rsid w:val="00CB4DA8"/>
    <w:rsid w:val="00CB4E04"/>
    <w:rsid w:val="00CB58B3"/>
    <w:rsid w:val="00CB5E02"/>
    <w:rsid w:val="00CB62ED"/>
    <w:rsid w:val="00CB6587"/>
    <w:rsid w:val="00CB673C"/>
    <w:rsid w:val="00CB724E"/>
    <w:rsid w:val="00CB73AB"/>
    <w:rsid w:val="00CB782B"/>
    <w:rsid w:val="00CB7855"/>
    <w:rsid w:val="00CB798E"/>
    <w:rsid w:val="00CB7C0A"/>
    <w:rsid w:val="00CB7F4E"/>
    <w:rsid w:val="00CC02C4"/>
    <w:rsid w:val="00CC1162"/>
    <w:rsid w:val="00CC1527"/>
    <w:rsid w:val="00CC1976"/>
    <w:rsid w:val="00CC1A05"/>
    <w:rsid w:val="00CC20B1"/>
    <w:rsid w:val="00CC232B"/>
    <w:rsid w:val="00CC3D85"/>
    <w:rsid w:val="00CC4180"/>
    <w:rsid w:val="00CC43FC"/>
    <w:rsid w:val="00CC5C77"/>
    <w:rsid w:val="00CC6689"/>
    <w:rsid w:val="00CC7190"/>
    <w:rsid w:val="00CC7417"/>
    <w:rsid w:val="00CC7793"/>
    <w:rsid w:val="00CC7A68"/>
    <w:rsid w:val="00CC7DA8"/>
    <w:rsid w:val="00CD0030"/>
    <w:rsid w:val="00CD012A"/>
    <w:rsid w:val="00CD06C6"/>
    <w:rsid w:val="00CD074C"/>
    <w:rsid w:val="00CD0C29"/>
    <w:rsid w:val="00CD139D"/>
    <w:rsid w:val="00CD1CB6"/>
    <w:rsid w:val="00CD294D"/>
    <w:rsid w:val="00CD2D06"/>
    <w:rsid w:val="00CD33B6"/>
    <w:rsid w:val="00CD4C59"/>
    <w:rsid w:val="00CD5246"/>
    <w:rsid w:val="00CD5490"/>
    <w:rsid w:val="00CD5CB4"/>
    <w:rsid w:val="00CD6161"/>
    <w:rsid w:val="00CD65FF"/>
    <w:rsid w:val="00CD68DD"/>
    <w:rsid w:val="00CD6CC7"/>
    <w:rsid w:val="00CD6D3F"/>
    <w:rsid w:val="00CD6DDC"/>
    <w:rsid w:val="00CD7615"/>
    <w:rsid w:val="00CD7880"/>
    <w:rsid w:val="00CE08AB"/>
    <w:rsid w:val="00CE0A89"/>
    <w:rsid w:val="00CE1A75"/>
    <w:rsid w:val="00CE1B84"/>
    <w:rsid w:val="00CE211E"/>
    <w:rsid w:val="00CE41CD"/>
    <w:rsid w:val="00CE4341"/>
    <w:rsid w:val="00CE45B2"/>
    <w:rsid w:val="00CE486C"/>
    <w:rsid w:val="00CE4EF1"/>
    <w:rsid w:val="00CE5194"/>
    <w:rsid w:val="00CE570A"/>
    <w:rsid w:val="00CE589B"/>
    <w:rsid w:val="00CE6834"/>
    <w:rsid w:val="00CE698A"/>
    <w:rsid w:val="00CE732E"/>
    <w:rsid w:val="00CE7C02"/>
    <w:rsid w:val="00CF003B"/>
    <w:rsid w:val="00CF047D"/>
    <w:rsid w:val="00CF04C9"/>
    <w:rsid w:val="00CF0F59"/>
    <w:rsid w:val="00CF108B"/>
    <w:rsid w:val="00CF1107"/>
    <w:rsid w:val="00CF1958"/>
    <w:rsid w:val="00CF2580"/>
    <w:rsid w:val="00CF29CE"/>
    <w:rsid w:val="00CF2BAB"/>
    <w:rsid w:val="00CF3515"/>
    <w:rsid w:val="00CF3E61"/>
    <w:rsid w:val="00CF41F4"/>
    <w:rsid w:val="00CF4D8A"/>
    <w:rsid w:val="00CF572E"/>
    <w:rsid w:val="00CF5831"/>
    <w:rsid w:val="00CF58F1"/>
    <w:rsid w:val="00CF61D3"/>
    <w:rsid w:val="00CF6C06"/>
    <w:rsid w:val="00CF6F46"/>
    <w:rsid w:val="00CF7267"/>
    <w:rsid w:val="00CF7602"/>
    <w:rsid w:val="00CF7A34"/>
    <w:rsid w:val="00D004B7"/>
    <w:rsid w:val="00D00571"/>
    <w:rsid w:val="00D0118C"/>
    <w:rsid w:val="00D0165F"/>
    <w:rsid w:val="00D01735"/>
    <w:rsid w:val="00D01876"/>
    <w:rsid w:val="00D01DAB"/>
    <w:rsid w:val="00D02C85"/>
    <w:rsid w:val="00D03210"/>
    <w:rsid w:val="00D032D3"/>
    <w:rsid w:val="00D057A8"/>
    <w:rsid w:val="00D060EE"/>
    <w:rsid w:val="00D0689F"/>
    <w:rsid w:val="00D06D68"/>
    <w:rsid w:val="00D077C2"/>
    <w:rsid w:val="00D07967"/>
    <w:rsid w:val="00D1030B"/>
    <w:rsid w:val="00D10CD3"/>
    <w:rsid w:val="00D11555"/>
    <w:rsid w:val="00D11AA1"/>
    <w:rsid w:val="00D122B8"/>
    <w:rsid w:val="00D12403"/>
    <w:rsid w:val="00D127B4"/>
    <w:rsid w:val="00D12803"/>
    <w:rsid w:val="00D12BAE"/>
    <w:rsid w:val="00D12EA5"/>
    <w:rsid w:val="00D133BF"/>
    <w:rsid w:val="00D13977"/>
    <w:rsid w:val="00D13C6F"/>
    <w:rsid w:val="00D14171"/>
    <w:rsid w:val="00D1453B"/>
    <w:rsid w:val="00D14D3B"/>
    <w:rsid w:val="00D152CD"/>
    <w:rsid w:val="00D15A07"/>
    <w:rsid w:val="00D16B0A"/>
    <w:rsid w:val="00D1738D"/>
    <w:rsid w:val="00D17508"/>
    <w:rsid w:val="00D202DA"/>
    <w:rsid w:val="00D20530"/>
    <w:rsid w:val="00D2069C"/>
    <w:rsid w:val="00D209E0"/>
    <w:rsid w:val="00D20A94"/>
    <w:rsid w:val="00D2140A"/>
    <w:rsid w:val="00D215DF"/>
    <w:rsid w:val="00D21891"/>
    <w:rsid w:val="00D23144"/>
    <w:rsid w:val="00D232CB"/>
    <w:rsid w:val="00D23823"/>
    <w:rsid w:val="00D24232"/>
    <w:rsid w:val="00D247E2"/>
    <w:rsid w:val="00D258DC"/>
    <w:rsid w:val="00D25917"/>
    <w:rsid w:val="00D25BC2"/>
    <w:rsid w:val="00D267C2"/>
    <w:rsid w:val="00D26CA8"/>
    <w:rsid w:val="00D27040"/>
    <w:rsid w:val="00D27370"/>
    <w:rsid w:val="00D2776F"/>
    <w:rsid w:val="00D30155"/>
    <w:rsid w:val="00D305BC"/>
    <w:rsid w:val="00D30625"/>
    <w:rsid w:val="00D30B6B"/>
    <w:rsid w:val="00D3287E"/>
    <w:rsid w:val="00D3381C"/>
    <w:rsid w:val="00D33A85"/>
    <w:rsid w:val="00D33BCB"/>
    <w:rsid w:val="00D33D59"/>
    <w:rsid w:val="00D34092"/>
    <w:rsid w:val="00D34255"/>
    <w:rsid w:val="00D34673"/>
    <w:rsid w:val="00D3472B"/>
    <w:rsid w:val="00D34BB2"/>
    <w:rsid w:val="00D353B2"/>
    <w:rsid w:val="00D35576"/>
    <w:rsid w:val="00D36391"/>
    <w:rsid w:val="00D37C49"/>
    <w:rsid w:val="00D40620"/>
    <w:rsid w:val="00D408DD"/>
    <w:rsid w:val="00D40992"/>
    <w:rsid w:val="00D417D8"/>
    <w:rsid w:val="00D41F74"/>
    <w:rsid w:val="00D420DE"/>
    <w:rsid w:val="00D42A8F"/>
    <w:rsid w:val="00D43394"/>
    <w:rsid w:val="00D439C0"/>
    <w:rsid w:val="00D44A13"/>
    <w:rsid w:val="00D45207"/>
    <w:rsid w:val="00D4527C"/>
    <w:rsid w:val="00D456D4"/>
    <w:rsid w:val="00D459A2"/>
    <w:rsid w:val="00D45DDE"/>
    <w:rsid w:val="00D474CB"/>
    <w:rsid w:val="00D475B5"/>
    <w:rsid w:val="00D47D88"/>
    <w:rsid w:val="00D47F30"/>
    <w:rsid w:val="00D501B8"/>
    <w:rsid w:val="00D50E32"/>
    <w:rsid w:val="00D5148D"/>
    <w:rsid w:val="00D51B47"/>
    <w:rsid w:val="00D5204F"/>
    <w:rsid w:val="00D52429"/>
    <w:rsid w:val="00D530E7"/>
    <w:rsid w:val="00D53B44"/>
    <w:rsid w:val="00D53CE0"/>
    <w:rsid w:val="00D542A2"/>
    <w:rsid w:val="00D54D76"/>
    <w:rsid w:val="00D54E5D"/>
    <w:rsid w:val="00D55AC4"/>
    <w:rsid w:val="00D55EF1"/>
    <w:rsid w:val="00D55FDA"/>
    <w:rsid w:val="00D5629E"/>
    <w:rsid w:val="00D573B0"/>
    <w:rsid w:val="00D577CF"/>
    <w:rsid w:val="00D57F79"/>
    <w:rsid w:val="00D6052D"/>
    <w:rsid w:val="00D60593"/>
    <w:rsid w:val="00D607BB"/>
    <w:rsid w:val="00D60886"/>
    <w:rsid w:val="00D6089F"/>
    <w:rsid w:val="00D610F1"/>
    <w:rsid w:val="00D61E2E"/>
    <w:rsid w:val="00D61F01"/>
    <w:rsid w:val="00D621D3"/>
    <w:rsid w:val="00D62672"/>
    <w:rsid w:val="00D62929"/>
    <w:rsid w:val="00D62D68"/>
    <w:rsid w:val="00D638F1"/>
    <w:rsid w:val="00D642BC"/>
    <w:rsid w:val="00D642EF"/>
    <w:rsid w:val="00D64C98"/>
    <w:rsid w:val="00D652F5"/>
    <w:rsid w:val="00D65318"/>
    <w:rsid w:val="00D65B01"/>
    <w:rsid w:val="00D65D5C"/>
    <w:rsid w:val="00D66561"/>
    <w:rsid w:val="00D66CC1"/>
    <w:rsid w:val="00D670BF"/>
    <w:rsid w:val="00D670F2"/>
    <w:rsid w:val="00D672C8"/>
    <w:rsid w:val="00D6781A"/>
    <w:rsid w:val="00D70338"/>
    <w:rsid w:val="00D72377"/>
    <w:rsid w:val="00D72655"/>
    <w:rsid w:val="00D727D8"/>
    <w:rsid w:val="00D72D9B"/>
    <w:rsid w:val="00D746AD"/>
    <w:rsid w:val="00D74B69"/>
    <w:rsid w:val="00D7501A"/>
    <w:rsid w:val="00D75133"/>
    <w:rsid w:val="00D751AA"/>
    <w:rsid w:val="00D7543A"/>
    <w:rsid w:val="00D75931"/>
    <w:rsid w:val="00D75B91"/>
    <w:rsid w:val="00D766B3"/>
    <w:rsid w:val="00D76944"/>
    <w:rsid w:val="00D76DD7"/>
    <w:rsid w:val="00D76E30"/>
    <w:rsid w:val="00D776C7"/>
    <w:rsid w:val="00D77A0C"/>
    <w:rsid w:val="00D77D15"/>
    <w:rsid w:val="00D80D93"/>
    <w:rsid w:val="00D80DEB"/>
    <w:rsid w:val="00D82688"/>
    <w:rsid w:val="00D82A8E"/>
    <w:rsid w:val="00D82F31"/>
    <w:rsid w:val="00D8304D"/>
    <w:rsid w:val="00D830F6"/>
    <w:rsid w:val="00D83691"/>
    <w:rsid w:val="00D839CA"/>
    <w:rsid w:val="00D83CB5"/>
    <w:rsid w:val="00D8426F"/>
    <w:rsid w:val="00D85F11"/>
    <w:rsid w:val="00D86219"/>
    <w:rsid w:val="00D86423"/>
    <w:rsid w:val="00D866EE"/>
    <w:rsid w:val="00D869A5"/>
    <w:rsid w:val="00D86A02"/>
    <w:rsid w:val="00D8727A"/>
    <w:rsid w:val="00D87764"/>
    <w:rsid w:val="00D87B96"/>
    <w:rsid w:val="00D91615"/>
    <w:rsid w:val="00D925E5"/>
    <w:rsid w:val="00D92B43"/>
    <w:rsid w:val="00D93A2A"/>
    <w:rsid w:val="00D945F7"/>
    <w:rsid w:val="00D94724"/>
    <w:rsid w:val="00D949B9"/>
    <w:rsid w:val="00D94C94"/>
    <w:rsid w:val="00D94EC2"/>
    <w:rsid w:val="00D9560E"/>
    <w:rsid w:val="00D95902"/>
    <w:rsid w:val="00D962E7"/>
    <w:rsid w:val="00D9633C"/>
    <w:rsid w:val="00D96AEA"/>
    <w:rsid w:val="00DA0F1D"/>
    <w:rsid w:val="00DA14C5"/>
    <w:rsid w:val="00DA1EB1"/>
    <w:rsid w:val="00DA230E"/>
    <w:rsid w:val="00DA2732"/>
    <w:rsid w:val="00DA29DD"/>
    <w:rsid w:val="00DA2E13"/>
    <w:rsid w:val="00DA36D3"/>
    <w:rsid w:val="00DA3D0E"/>
    <w:rsid w:val="00DA40F3"/>
    <w:rsid w:val="00DA48FC"/>
    <w:rsid w:val="00DA5002"/>
    <w:rsid w:val="00DA609E"/>
    <w:rsid w:val="00DA60AD"/>
    <w:rsid w:val="00DA67C0"/>
    <w:rsid w:val="00DA77BD"/>
    <w:rsid w:val="00DB0D54"/>
    <w:rsid w:val="00DB0D9B"/>
    <w:rsid w:val="00DB1034"/>
    <w:rsid w:val="00DB2AF3"/>
    <w:rsid w:val="00DB303B"/>
    <w:rsid w:val="00DB3051"/>
    <w:rsid w:val="00DB322C"/>
    <w:rsid w:val="00DB3892"/>
    <w:rsid w:val="00DB3931"/>
    <w:rsid w:val="00DB3AD7"/>
    <w:rsid w:val="00DB3E33"/>
    <w:rsid w:val="00DB4356"/>
    <w:rsid w:val="00DB4C1B"/>
    <w:rsid w:val="00DB4DF1"/>
    <w:rsid w:val="00DB512F"/>
    <w:rsid w:val="00DB5831"/>
    <w:rsid w:val="00DB5E9B"/>
    <w:rsid w:val="00DB6973"/>
    <w:rsid w:val="00DC00A5"/>
    <w:rsid w:val="00DC00A8"/>
    <w:rsid w:val="00DC0FE6"/>
    <w:rsid w:val="00DC1097"/>
    <w:rsid w:val="00DC113D"/>
    <w:rsid w:val="00DC2C06"/>
    <w:rsid w:val="00DC37C6"/>
    <w:rsid w:val="00DC39F2"/>
    <w:rsid w:val="00DC3D8C"/>
    <w:rsid w:val="00DC429A"/>
    <w:rsid w:val="00DC463F"/>
    <w:rsid w:val="00DC47FD"/>
    <w:rsid w:val="00DC4D7A"/>
    <w:rsid w:val="00DC5176"/>
    <w:rsid w:val="00DC5335"/>
    <w:rsid w:val="00DC544C"/>
    <w:rsid w:val="00DC5D76"/>
    <w:rsid w:val="00DC5DD7"/>
    <w:rsid w:val="00DC616B"/>
    <w:rsid w:val="00DC6677"/>
    <w:rsid w:val="00DC6A88"/>
    <w:rsid w:val="00DC6B6A"/>
    <w:rsid w:val="00DC6E62"/>
    <w:rsid w:val="00DC7067"/>
    <w:rsid w:val="00DC70D6"/>
    <w:rsid w:val="00DC736F"/>
    <w:rsid w:val="00DD02A8"/>
    <w:rsid w:val="00DD0507"/>
    <w:rsid w:val="00DD11A9"/>
    <w:rsid w:val="00DD11D0"/>
    <w:rsid w:val="00DD12C5"/>
    <w:rsid w:val="00DD143E"/>
    <w:rsid w:val="00DD300B"/>
    <w:rsid w:val="00DD3214"/>
    <w:rsid w:val="00DD37E9"/>
    <w:rsid w:val="00DD3839"/>
    <w:rsid w:val="00DD4B16"/>
    <w:rsid w:val="00DD58A3"/>
    <w:rsid w:val="00DD5918"/>
    <w:rsid w:val="00DD6334"/>
    <w:rsid w:val="00DD6FD8"/>
    <w:rsid w:val="00DD70FF"/>
    <w:rsid w:val="00DD7531"/>
    <w:rsid w:val="00DD76E3"/>
    <w:rsid w:val="00DD7787"/>
    <w:rsid w:val="00DE096B"/>
    <w:rsid w:val="00DE0D94"/>
    <w:rsid w:val="00DE114F"/>
    <w:rsid w:val="00DE15C7"/>
    <w:rsid w:val="00DE2CF1"/>
    <w:rsid w:val="00DE3004"/>
    <w:rsid w:val="00DE3EA5"/>
    <w:rsid w:val="00DE4091"/>
    <w:rsid w:val="00DE419C"/>
    <w:rsid w:val="00DE49C4"/>
    <w:rsid w:val="00DE4E3E"/>
    <w:rsid w:val="00DE5A05"/>
    <w:rsid w:val="00DF028E"/>
    <w:rsid w:val="00DF0410"/>
    <w:rsid w:val="00DF0FC5"/>
    <w:rsid w:val="00DF14B2"/>
    <w:rsid w:val="00DF19A0"/>
    <w:rsid w:val="00DF1F4A"/>
    <w:rsid w:val="00DF1F50"/>
    <w:rsid w:val="00DF200D"/>
    <w:rsid w:val="00DF2697"/>
    <w:rsid w:val="00DF2934"/>
    <w:rsid w:val="00DF298B"/>
    <w:rsid w:val="00DF2FE7"/>
    <w:rsid w:val="00DF360F"/>
    <w:rsid w:val="00DF5013"/>
    <w:rsid w:val="00DF5FDE"/>
    <w:rsid w:val="00DF6835"/>
    <w:rsid w:val="00DF6D77"/>
    <w:rsid w:val="00DF72FE"/>
    <w:rsid w:val="00DF76BD"/>
    <w:rsid w:val="00DF7753"/>
    <w:rsid w:val="00DF7AC6"/>
    <w:rsid w:val="00DF7ECC"/>
    <w:rsid w:val="00E01071"/>
    <w:rsid w:val="00E011BC"/>
    <w:rsid w:val="00E01F8D"/>
    <w:rsid w:val="00E027D8"/>
    <w:rsid w:val="00E02B92"/>
    <w:rsid w:val="00E03640"/>
    <w:rsid w:val="00E0474F"/>
    <w:rsid w:val="00E04886"/>
    <w:rsid w:val="00E048F3"/>
    <w:rsid w:val="00E04C9D"/>
    <w:rsid w:val="00E04CD7"/>
    <w:rsid w:val="00E04F20"/>
    <w:rsid w:val="00E050C3"/>
    <w:rsid w:val="00E05674"/>
    <w:rsid w:val="00E059AF"/>
    <w:rsid w:val="00E05F11"/>
    <w:rsid w:val="00E05F33"/>
    <w:rsid w:val="00E06004"/>
    <w:rsid w:val="00E061BA"/>
    <w:rsid w:val="00E0635F"/>
    <w:rsid w:val="00E06C34"/>
    <w:rsid w:val="00E06D0F"/>
    <w:rsid w:val="00E06DBD"/>
    <w:rsid w:val="00E073DA"/>
    <w:rsid w:val="00E07971"/>
    <w:rsid w:val="00E104D0"/>
    <w:rsid w:val="00E10F7C"/>
    <w:rsid w:val="00E11342"/>
    <w:rsid w:val="00E11606"/>
    <w:rsid w:val="00E117EA"/>
    <w:rsid w:val="00E12A78"/>
    <w:rsid w:val="00E130A1"/>
    <w:rsid w:val="00E137F7"/>
    <w:rsid w:val="00E13ABA"/>
    <w:rsid w:val="00E14511"/>
    <w:rsid w:val="00E15070"/>
    <w:rsid w:val="00E1624D"/>
    <w:rsid w:val="00E16BB2"/>
    <w:rsid w:val="00E16BD5"/>
    <w:rsid w:val="00E1750D"/>
    <w:rsid w:val="00E17636"/>
    <w:rsid w:val="00E17CD9"/>
    <w:rsid w:val="00E210D3"/>
    <w:rsid w:val="00E21E85"/>
    <w:rsid w:val="00E22433"/>
    <w:rsid w:val="00E22A32"/>
    <w:rsid w:val="00E234F6"/>
    <w:rsid w:val="00E23763"/>
    <w:rsid w:val="00E237FE"/>
    <w:rsid w:val="00E2386B"/>
    <w:rsid w:val="00E24BF5"/>
    <w:rsid w:val="00E25347"/>
    <w:rsid w:val="00E25CC4"/>
    <w:rsid w:val="00E25F8D"/>
    <w:rsid w:val="00E27340"/>
    <w:rsid w:val="00E279D5"/>
    <w:rsid w:val="00E27C8E"/>
    <w:rsid w:val="00E30284"/>
    <w:rsid w:val="00E30BF5"/>
    <w:rsid w:val="00E31150"/>
    <w:rsid w:val="00E315A5"/>
    <w:rsid w:val="00E31ACF"/>
    <w:rsid w:val="00E31B3B"/>
    <w:rsid w:val="00E31C88"/>
    <w:rsid w:val="00E31F66"/>
    <w:rsid w:val="00E323BC"/>
    <w:rsid w:val="00E327B7"/>
    <w:rsid w:val="00E32CED"/>
    <w:rsid w:val="00E34DD6"/>
    <w:rsid w:val="00E35324"/>
    <w:rsid w:val="00E35A9B"/>
    <w:rsid w:val="00E35F4A"/>
    <w:rsid w:val="00E35F9F"/>
    <w:rsid w:val="00E36651"/>
    <w:rsid w:val="00E3781C"/>
    <w:rsid w:val="00E37956"/>
    <w:rsid w:val="00E37ABA"/>
    <w:rsid w:val="00E37BFB"/>
    <w:rsid w:val="00E400CF"/>
    <w:rsid w:val="00E40E56"/>
    <w:rsid w:val="00E4118B"/>
    <w:rsid w:val="00E41264"/>
    <w:rsid w:val="00E42627"/>
    <w:rsid w:val="00E427BE"/>
    <w:rsid w:val="00E43542"/>
    <w:rsid w:val="00E43845"/>
    <w:rsid w:val="00E43CF9"/>
    <w:rsid w:val="00E43D36"/>
    <w:rsid w:val="00E444CB"/>
    <w:rsid w:val="00E447DE"/>
    <w:rsid w:val="00E44A5F"/>
    <w:rsid w:val="00E44B6E"/>
    <w:rsid w:val="00E44C10"/>
    <w:rsid w:val="00E45C12"/>
    <w:rsid w:val="00E463AE"/>
    <w:rsid w:val="00E46C0D"/>
    <w:rsid w:val="00E47050"/>
    <w:rsid w:val="00E47510"/>
    <w:rsid w:val="00E47720"/>
    <w:rsid w:val="00E47C11"/>
    <w:rsid w:val="00E47D07"/>
    <w:rsid w:val="00E47D80"/>
    <w:rsid w:val="00E50A4A"/>
    <w:rsid w:val="00E50CAF"/>
    <w:rsid w:val="00E50CC0"/>
    <w:rsid w:val="00E51067"/>
    <w:rsid w:val="00E518E3"/>
    <w:rsid w:val="00E51C9E"/>
    <w:rsid w:val="00E52112"/>
    <w:rsid w:val="00E52450"/>
    <w:rsid w:val="00E52DC4"/>
    <w:rsid w:val="00E52E3F"/>
    <w:rsid w:val="00E548D3"/>
    <w:rsid w:val="00E554D6"/>
    <w:rsid w:val="00E55660"/>
    <w:rsid w:val="00E56101"/>
    <w:rsid w:val="00E561CB"/>
    <w:rsid w:val="00E56897"/>
    <w:rsid w:val="00E56B6B"/>
    <w:rsid w:val="00E56C58"/>
    <w:rsid w:val="00E56C63"/>
    <w:rsid w:val="00E56C90"/>
    <w:rsid w:val="00E578B7"/>
    <w:rsid w:val="00E57EAC"/>
    <w:rsid w:val="00E60BBE"/>
    <w:rsid w:val="00E60FED"/>
    <w:rsid w:val="00E61557"/>
    <w:rsid w:val="00E61AC4"/>
    <w:rsid w:val="00E62534"/>
    <w:rsid w:val="00E62D10"/>
    <w:rsid w:val="00E632BD"/>
    <w:rsid w:val="00E63397"/>
    <w:rsid w:val="00E63480"/>
    <w:rsid w:val="00E6394D"/>
    <w:rsid w:val="00E63972"/>
    <w:rsid w:val="00E64432"/>
    <w:rsid w:val="00E6443D"/>
    <w:rsid w:val="00E65ADC"/>
    <w:rsid w:val="00E66963"/>
    <w:rsid w:val="00E6762F"/>
    <w:rsid w:val="00E704A1"/>
    <w:rsid w:val="00E70A02"/>
    <w:rsid w:val="00E71170"/>
    <w:rsid w:val="00E7127C"/>
    <w:rsid w:val="00E72447"/>
    <w:rsid w:val="00E72BBC"/>
    <w:rsid w:val="00E73258"/>
    <w:rsid w:val="00E73845"/>
    <w:rsid w:val="00E73E76"/>
    <w:rsid w:val="00E74FC5"/>
    <w:rsid w:val="00E75116"/>
    <w:rsid w:val="00E75976"/>
    <w:rsid w:val="00E76931"/>
    <w:rsid w:val="00E7774C"/>
    <w:rsid w:val="00E77C7B"/>
    <w:rsid w:val="00E801CB"/>
    <w:rsid w:val="00E80255"/>
    <w:rsid w:val="00E802A9"/>
    <w:rsid w:val="00E80CF0"/>
    <w:rsid w:val="00E80D97"/>
    <w:rsid w:val="00E81B54"/>
    <w:rsid w:val="00E81E86"/>
    <w:rsid w:val="00E82135"/>
    <w:rsid w:val="00E82AD7"/>
    <w:rsid w:val="00E83D4D"/>
    <w:rsid w:val="00E8473B"/>
    <w:rsid w:val="00E84924"/>
    <w:rsid w:val="00E84B40"/>
    <w:rsid w:val="00E84CE6"/>
    <w:rsid w:val="00E84DAA"/>
    <w:rsid w:val="00E8576E"/>
    <w:rsid w:val="00E85BB0"/>
    <w:rsid w:val="00E868BA"/>
    <w:rsid w:val="00E86A5D"/>
    <w:rsid w:val="00E86C68"/>
    <w:rsid w:val="00E86F04"/>
    <w:rsid w:val="00E871A6"/>
    <w:rsid w:val="00E90B2F"/>
    <w:rsid w:val="00E90B61"/>
    <w:rsid w:val="00E913ED"/>
    <w:rsid w:val="00E917F0"/>
    <w:rsid w:val="00E91E62"/>
    <w:rsid w:val="00E928D1"/>
    <w:rsid w:val="00E928FE"/>
    <w:rsid w:val="00E92AED"/>
    <w:rsid w:val="00E92E36"/>
    <w:rsid w:val="00E94766"/>
    <w:rsid w:val="00E94A70"/>
    <w:rsid w:val="00E94CF1"/>
    <w:rsid w:val="00E95434"/>
    <w:rsid w:val="00E957E6"/>
    <w:rsid w:val="00E95A3B"/>
    <w:rsid w:val="00E96A3C"/>
    <w:rsid w:val="00E96C91"/>
    <w:rsid w:val="00E96D7B"/>
    <w:rsid w:val="00E9708B"/>
    <w:rsid w:val="00EA010D"/>
    <w:rsid w:val="00EA038E"/>
    <w:rsid w:val="00EA0DC5"/>
    <w:rsid w:val="00EA1140"/>
    <w:rsid w:val="00EA127F"/>
    <w:rsid w:val="00EA12B5"/>
    <w:rsid w:val="00EA2CA2"/>
    <w:rsid w:val="00EA3347"/>
    <w:rsid w:val="00EA3E89"/>
    <w:rsid w:val="00EA4897"/>
    <w:rsid w:val="00EA4B86"/>
    <w:rsid w:val="00EA52BE"/>
    <w:rsid w:val="00EA56F4"/>
    <w:rsid w:val="00EA5706"/>
    <w:rsid w:val="00EA5C42"/>
    <w:rsid w:val="00EA6E06"/>
    <w:rsid w:val="00EA7879"/>
    <w:rsid w:val="00EA7A27"/>
    <w:rsid w:val="00EA7CA0"/>
    <w:rsid w:val="00EB0333"/>
    <w:rsid w:val="00EB041F"/>
    <w:rsid w:val="00EB0AC1"/>
    <w:rsid w:val="00EB0E11"/>
    <w:rsid w:val="00EB0EB1"/>
    <w:rsid w:val="00EB1883"/>
    <w:rsid w:val="00EB1F73"/>
    <w:rsid w:val="00EB1FDD"/>
    <w:rsid w:val="00EB1FF4"/>
    <w:rsid w:val="00EB2089"/>
    <w:rsid w:val="00EB29BB"/>
    <w:rsid w:val="00EB2B0D"/>
    <w:rsid w:val="00EB2C71"/>
    <w:rsid w:val="00EB2D41"/>
    <w:rsid w:val="00EB3972"/>
    <w:rsid w:val="00EB39F3"/>
    <w:rsid w:val="00EB3B5A"/>
    <w:rsid w:val="00EB40DD"/>
    <w:rsid w:val="00EB5114"/>
    <w:rsid w:val="00EB5622"/>
    <w:rsid w:val="00EB5D7D"/>
    <w:rsid w:val="00EB686E"/>
    <w:rsid w:val="00EB6933"/>
    <w:rsid w:val="00EB6FB2"/>
    <w:rsid w:val="00EB7018"/>
    <w:rsid w:val="00EB7058"/>
    <w:rsid w:val="00EB7097"/>
    <w:rsid w:val="00EB7222"/>
    <w:rsid w:val="00EB7304"/>
    <w:rsid w:val="00EB76DC"/>
    <w:rsid w:val="00EB7B2E"/>
    <w:rsid w:val="00EB7B4B"/>
    <w:rsid w:val="00EC03E2"/>
    <w:rsid w:val="00EC114D"/>
    <w:rsid w:val="00EC11B6"/>
    <w:rsid w:val="00EC16BD"/>
    <w:rsid w:val="00EC26D5"/>
    <w:rsid w:val="00EC2E11"/>
    <w:rsid w:val="00EC37EA"/>
    <w:rsid w:val="00EC398D"/>
    <w:rsid w:val="00EC4641"/>
    <w:rsid w:val="00EC47E7"/>
    <w:rsid w:val="00EC5D2B"/>
    <w:rsid w:val="00EC6320"/>
    <w:rsid w:val="00EC633C"/>
    <w:rsid w:val="00EC6D75"/>
    <w:rsid w:val="00EC7163"/>
    <w:rsid w:val="00EC748F"/>
    <w:rsid w:val="00EC77EA"/>
    <w:rsid w:val="00EC78C7"/>
    <w:rsid w:val="00ED01A6"/>
    <w:rsid w:val="00ED04F9"/>
    <w:rsid w:val="00ED064A"/>
    <w:rsid w:val="00ED08DE"/>
    <w:rsid w:val="00ED0A2C"/>
    <w:rsid w:val="00ED1680"/>
    <w:rsid w:val="00ED1AD4"/>
    <w:rsid w:val="00ED22EE"/>
    <w:rsid w:val="00ED23DF"/>
    <w:rsid w:val="00ED4650"/>
    <w:rsid w:val="00ED4906"/>
    <w:rsid w:val="00ED49AD"/>
    <w:rsid w:val="00ED530B"/>
    <w:rsid w:val="00ED5417"/>
    <w:rsid w:val="00ED5FFD"/>
    <w:rsid w:val="00ED627E"/>
    <w:rsid w:val="00ED6E33"/>
    <w:rsid w:val="00ED7482"/>
    <w:rsid w:val="00ED7D57"/>
    <w:rsid w:val="00EE0426"/>
    <w:rsid w:val="00EE1CE5"/>
    <w:rsid w:val="00EE1FA7"/>
    <w:rsid w:val="00EE1FC6"/>
    <w:rsid w:val="00EE21A9"/>
    <w:rsid w:val="00EE2D50"/>
    <w:rsid w:val="00EE301A"/>
    <w:rsid w:val="00EE323C"/>
    <w:rsid w:val="00EE3675"/>
    <w:rsid w:val="00EE3D25"/>
    <w:rsid w:val="00EE3DE7"/>
    <w:rsid w:val="00EE409D"/>
    <w:rsid w:val="00EE4B4B"/>
    <w:rsid w:val="00EE4C55"/>
    <w:rsid w:val="00EE6809"/>
    <w:rsid w:val="00EE6DA6"/>
    <w:rsid w:val="00EE7592"/>
    <w:rsid w:val="00EE7C87"/>
    <w:rsid w:val="00EF05D9"/>
    <w:rsid w:val="00EF0751"/>
    <w:rsid w:val="00EF0A95"/>
    <w:rsid w:val="00EF14B6"/>
    <w:rsid w:val="00EF15FE"/>
    <w:rsid w:val="00EF187B"/>
    <w:rsid w:val="00EF2328"/>
    <w:rsid w:val="00EF2553"/>
    <w:rsid w:val="00EF2DD1"/>
    <w:rsid w:val="00EF2F5A"/>
    <w:rsid w:val="00EF304F"/>
    <w:rsid w:val="00EF338C"/>
    <w:rsid w:val="00EF36B3"/>
    <w:rsid w:val="00EF4201"/>
    <w:rsid w:val="00EF4F9D"/>
    <w:rsid w:val="00EF583A"/>
    <w:rsid w:val="00EF5D68"/>
    <w:rsid w:val="00EF6011"/>
    <w:rsid w:val="00EF6CE4"/>
    <w:rsid w:val="00EF7004"/>
    <w:rsid w:val="00EF7268"/>
    <w:rsid w:val="00F00244"/>
    <w:rsid w:val="00F00CA3"/>
    <w:rsid w:val="00F015BD"/>
    <w:rsid w:val="00F0168C"/>
    <w:rsid w:val="00F0221A"/>
    <w:rsid w:val="00F02965"/>
    <w:rsid w:val="00F02F87"/>
    <w:rsid w:val="00F02FD2"/>
    <w:rsid w:val="00F0370D"/>
    <w:rsid w:val="00F04448"/>
    <w:rsid w:val="00F04B0B"/>
    <w:rsid w:val="00F04E3A"/>
    <w:rsid w:val="00F04FA0"/>
    <w:rsid w:val="00F051E3"/>
    <w:rsid w:val="00F053C2"/>
    <w:rsid w:val="00F054CF"/>
    <w:rsid w:val="00F05FAB"/>
    <w:rsid w:val="00F0609E"/>
    <w:rsid w:val="00F0662C"/>
    <w:rsid w:val="00F06C46"/>
    <w:rsid w:val="00F07654"/>
    <w:rsid w:val="00F07B74"/>
    <w:rsid w:val="00F07C2A"/>
    <w:rsid w:val="00F1076B"/>
    <w:rsid w:val="00F10990"/>
    <w:rsid w:val="00F111CC"/>
    <w:rsid w:val="00F11E4A"/>
    <w:rsid w:val="00F12364"/>
    <w:rsid w:val="00F125A3"/>
    <w:rsid w:val="00F126DD"/>
    <w:rsid w:val="00F1399F"/>
    <w:rsid w:val="00F14771"/>
    <w:rsid w:val="00F1582E"/>
    <w:rsid w:val="00F159D3"/>
    <w:rsid w:val="00F15C57"/>
    <w:rsid w:val="00F15EBD"/>
    <w:rsid w:val="00F16173"/>
    <w:rsid w:val="00F17305"/>
    <w:rsid w:val="00F175DD"/>
    <w:rsid w:val="00F175EA"/>
    <w:rsid w:val="00F20069"/>
    <w:rsid w:val="00F20410"/>
    <w:rsid w:val="00F20D84"/>
    <w:rsid w:val="00F2135F"/>
    <w:rsid w:val="00F217CD"/>
    <w:rsid w:val="00F21814"/>
    <w:rsid w:val="00F21C79"/>
    <w:rsid w:val="00F22985"/>
    <w:rsid w:val="00F229AD"/>
    <w:rsid w:val="00F22AEA"/>
    <w:rsid w:val="00F2353B"/>
    <w:rsid w:val="00F23A10"/>
    <w:rsid w:val="00F23CE7"/>
    <w:rsid w:val="00F23E87"/>
    <w:rsid w:val="00F24638"/>
    <w:rsid w:val="00F24A61"/>
    <w:rsid w:val="00F2601E"/>
    <w:rsid w:val="00F2611D"/>
    <w:rsid w:val="00F267D3"/>
    <w:rsid w:val="00F26804"/>
    <w:rsid w:val="00F26C1C"/>
    <w:rsid w:val="00F26C44"/>
    <w:rsid w:val="00F26F56"/>
    <w:rsid w:val="00F30941"/>
    <w:rsid w:val="00F30CA3"/>
    <w:rsid w:val="00F312CE"/>
    <w:rsid w:val="00F32338"/>
    <w:rsid w:val="00F32447"/>
    <w:rsid w:val="00F32BDB"/>
    <w:rsid w:val="00F32E38"/>
    <w:rsid w:val="00F3340F"/>
    <w:rsid w:val="00F33934"/>
    <w:rsid w:val="00F34A58"/>
    <w:rsid w:val="00F35949"/>
    <w:rsid w:val="00F359C6"/>
    <w:rsid w:val="00F360C7"/>
    <w:rsid w:val="00F36393"/>
    <w:rsid w:val="00F36628"/>
    <w:rsid w:val="00F367A6"/>
    <w:rsid w:val="00F36FEA"/>
    <w:rsid w:val="00F372AA"/>
    <w:rsid w:val="00F375B0"/>
    <w:rsid w:val="00F378A4"/>
    <w:rsid w:val="00F37C7B"/>
    <w:rsid w:val="00F37DE2"/>
    <w:rsid w:val="00F4024D"/>
    <w:rsid w:val="00F406D4"/>
    <w:rsid w:val="00F4075D"/>
    <w:rsid w:val="00F40928"/>
    <w:rsid w:val="00F409D1"/>
    <w:rsid w:val="00F414A8"/>
    <w:rsid w:val="00F41588"/>
    <w:rsid w:val="00F416D9"/>
    <w:rsid w:val="00F4224C"/>
    <w:rsid w:val="00F424BA"/>
    <w:rsid w:val="00F424C9"/>
    <w:rsid w:val="00F42943"/>
    <w:rsid w:val="00F436A2"/>
    <w:rsid w:val="00F43716"/>
    <w:rsid w:val="00F44402"/>
    <w:rsid w:val="00F445C9"/>
    <w:rsid w:val="00F44F4F"/>
    <w:rsid w:val="00F450CC"/>
    <w:rsid w:val="00F4594A"/>
    <w:rsid w:val="00F4673D"/>
    <w:rsid w:val="00F46A38"/>
    <w:rsid w:val="00F47331"/>
    <w:rsid w:val="00F500BC"/>
    <w:rsid w:val="00F50289"/>
    <w:rsid w:val="00F507C1"/>
    <w:rsid w:val="00F515C6"/>
    <w:rsid w:val="00F51B98"/>
    <w:rsid w:val="00F523D9"/>
    <w:rsid w:val="00F52908"/>
    <w:rsid w:val="00F52D18"/>
    <w:rsid w:val="00F52F35"/>
    <w:rsid w:val="00F52F5F"/>
    <w:rsid w:val="00F53F98"/>
    <w:rsid w:val="00F5469A"/>
    <w:rsid w:val="00F5493E"/>
    <w:rsid w:val="00F54B33"/>
    <w:rsid w:val="00F54D16"/>
    <w:rsid w:val="00F54F58"/>
    <w:rsid w:val="00F54FF8"/>
    <w:rsid w:val="00F55245"/>
    <w:rsid w:val="00F558FA"/>
    <w:rsid w:val="00F560CA"/>
    <w:rsid w:val="00F560FA"/>
    <w:rsid w:val="00F5643A"/>
    <w:rsid w:val="00F57E73"/>
    <w:rsid w:val="00F57F18"/>
    <w:rsid w:val="00F607CC"/>
    <w:rsid w:val="00F607F6"/>
    <w:rsid w:val="00F60CA1"/>
    <w:rsid w:val="00F615B7"/>
    <w:rsid w:val="00F61CED"/>
    <w:rsid w:val="00F61D32"/>
    <w:rsid w:val="00F62BA8"/>
    <w:rsid w:val="00F62CF9"/>
    <w:rsid w:val="00F6323D"/>
    <w:rsid w:val="00F63425"/>
    <w:rsid w:val="00F63BE3"/>
    <w:rsid w:val="00F64FD0"/>
    <w:rsid w:val="00F6513C"/>
    <w:rsid w:val="00F655BE"/>
    <w:rsid w:val="00F65B22"/>
    <w:rsid w:val="00F66072"/>
    <w:rsid w:val="00F66A06"/>
    <w:rsid w:val="00F67506"/>
    <w:rsid w:val="00F6799D"/>
    <w:rsid w:val="00F67EBD"/>
    <w:rsid w:val="00F71311"/>
    <w:rsid w:val="00F71A23"/>
    <w:rsid w:val="00F71F4C"/>
    <w:rsid w:val="00F7285F"/>
    <w:rsid w:val="00F736A3"/>
    <w:rsid w:val="00F737F2"/>
    <w:rsid w:val="00F74CD6"/>
    <w:rsid w:val="00F757DF"/>
    <w:rsid w:val="00F75D2E"/>
    <w:rsid w:val="00F7631F"/>
    <w:rsid w:val="00F76701"/>
    <w:rsid w:val="00F7774F"/>
    <w:rsid w:val="00F778E9"/>
    <w:rsid w:val="00F77A5A"/>
    <w:rsid w:val="00F8053A"/>
    <w:rsid w:val="00F80688"/>
    <w:rsid w:val="00F81500"/>
    <w:rsid w:val="00F818D6"/>
    <w:rsid w:val="00F81D6F"/>
    <w:rsid w:val="00F8248C"/>
    <w:rsid w:val="00F8340D"/>
    <w:rsid w:val="00F8371F"/>
    <w:rsid w:val="00F83851"/>
    <w:rsid w:val="00F83AEA"/>
    <w:rsid w:val="00F83D1C"/>
    <w:rsid w:val="00F84033"/>
    <w:rsid w:val="00F84C58"/>
    <w:rsid w:val="00F84F0C"/>
    <w:rsid w:val="00F84F32"/>
    <w:rsid w:val="00F850E4"/>
    <w:rsid w:val="00F85830"/>
    <w:rsid w:val="00F858FB"/>
    <w:rsid w:val="00F8728A"/>
    <w:rsid w:val="00F878B4"/>
    <w:rsid w:val="00F87993"/>
    <w:rsid w:val="00F87C33"/>
    <w:rsid w:val="00F87E24"/>
    <w:rsid w:val="00F902A6"/>
    <w:rsid w:val="00F90A24"/>
    <w:rsid w:val="00F93BC9"/>
    <w:rsid w:val="00F93DC8"/>
    <w:rsid w:val="00F949C7"/>
    <w:rsid w:val="00F94E71"/>
    <w:rsid w:val="00F94F88"/>
    <w:rsid w:val="00F951F9"/>
    <w:rsid w:val="00F9542B"/>
    <w:rsid w:val="00F959E9"/>
    <w:rsid w:val="00F964C5"/>
    <w:rsid w:val="00F9682C"/>
    <w:rsid w:val="00F9704E"/>
    <w:rsid w:val="00F9726C"/>
    <w:rsid w:val="00F975ED"/>
    <w:rsid w:val="00FA06B9"/>
    <w:rsid w:val="00FA0936"/>
    <w:rsid w:val="00FA13C4"/>
    <w:rsid w:val="00FA14BC"/>
    <w:rsid w:val="00FA1757"/>
    <w:rsid w:val="00FA1AB9"/>
    <w:rsid w:val="00FA1AC8"/>
    <w:rsid w:val="00FA1EA1"/>
    <w:rsid w:val="00FA2722"/>
    <w:rsid w:val="00FA32A2"/>
    <w:rsid w:val="00FA36CA"/>
    <w:rsid w:val="00FA397A"/>
    <w:rsid w:val="00FA4911"/>
    <w:rsid w:val="00FA4A12"/>
    <w:rsid w:val="00FA4ADD"/>
    <w:rsid w:val="00FA4E80"/>
    <w:rsid w:val="00FA5E10"/>
    <w:rsid w:val="00FA71B3"/>
    <w:rsid w:val="00FA770E"/>
    <w:rsid w:val="00FB0356"/>
    <w:rsid w:val="00FB04F9"/>
    <w:rsid w:val="00FB0C00"/>
    <w:rsid w:val="00FB0C7E"/>
    <w:rsid w:val="00FB1A87"/>
    <w:rsid w:val="00FB22D0"/>
    <w:rsid w:val="00FB2927"/>
    <w:rsid w:val="00FB2E2A"/>
    <w:rsid w:val="00FB4F4D"/>
    <w:rsid w:val="00FB515B"/>
    <w:rsid w:val="00FB5478"/>
    <w:rsid w:val="00FB5D2F"/>
    <w:rsid w:val="00FB633A"/>
    <w:rsid w:val="00FB64CC"/>
    <w:rsid w:val="00FB667A"/>
    <w:rsid w:val="00FB6FCE"/>
    <w:rsid w:val="00FB70F0"/>
    <w:rsid w:val="00FB7BCF"/>
    <w:rsid w:val="00FB7EF1"/>
    <w:rsid w:val="00FC05B9"/>
    <w:rsid w:val="00FC18C1"/>
    <w:rsid w:val="00FC1F57"/>
    <w:rsid w:val="00FC2405"/>
    <w:rsid w:val="00FC2532"/>
    <w:rsid w:val="00FC2651"/>
    <w:rsid w:val="00FC2698"/>
    <w:rsid w:val="00FC275C"/>
    <w:rsid w:val="00FC2E15"/>
    <w:rsid w:val="00FC3540"/>
    <w:rsid w:val="00FC39EF"/>
    <w:rsid w:val="00FC3C75"/>
    <w:rsid w:val="00FC3CEB"/>
    <w:rsid w:val="00FC4C35"/>
    <w:rsid w:val="00FC4C42"/>
    <w:rsid w:val="00FC54F5"/>
    <w:rsid w:val="00FC5C68"/>
    <w:rsid w:val="00FC6145"/>
    <w:rsid w:val="00FC6D8F"/>
    <w:rsid w:val="00FC6E46"/>
    <w:rsid w:val="00FC739F"/>
    <w:rsid w:val="00FC7C42"/>
    <w:rsid w:val="00FD0895"/>
    <w:rsid w:val="00FD0D01"/>
    <w:rsid w:val="00FD1171"/>
    <w:rsid w:val="00FD17FB"/>
    <w:rsid w:val="00FD1BEA"/>
    <w:rsid w:val="00FD262D"/>
    <w:rsid w:val="00FD2769"/>
    <w:rsid w:val="00FD2B59"/>
    <w:rsid w:val="00FD2E31"/>
    <w:rsid w:val="00FD300D"/>
    <w:rsid w:val="00FD44AB"/>
    <w:rsid w:val="00FD48B9"/>
    <w:rsid w:val="00FD4FDD"/>
    <w:rsid w:val="00FD543C"/>
    <w:rsid w:val="00FD61D4"/>
    <w:rsid w:val="00FD6236"/>
    <w:rsid w:val="00FD65C1"/>
    <w:rsid w:val="00FD677F"/>
    <w:rsid w:val="00FD6CE0"/>
    <w:rsid w:val="00FD7409"/>
    <w:rsid w:val="00FD77AC"/>
    <w:rsid w:val="00FD78C7"/>
    <w:rsid w:val="00FD7B7D"/>
    <w:rsid w:val="00FE01B7"/>
    <w:rsid w:val="00FE01FA"/>
    <w:rsid w:val="00FE0532"/>
    <w:rsid w:val="00FE1BB1"/>
    <w:rsid w:val="00FE2761"/>
    <w:rsid w:val="00FE3914"/>
    <w:rsid w:val="00FE49EF"/>
    <w:rsid w:val="00FE4A85"/>
    <w:rsid w:val="00FE4EC8"/>
    <w:rsid w:val="00FE5227"/>
    <w:rsid w:val="00FE527B"/>
    <w:rsid w:val="00FE55E9"/>
    <w:rsid w:val="00FE61B7"/>
    <w:rsid w:val="00FE68F5"/>
    <w:rsid w:val="00FE7D22"/>
    <w:rsid w:val="00FF06D9"/>
    <w:rsid w:val="00FF0A45"/>
    <w:rsid w:val="00FF116A"/>
    <w:rsid w:val="00FF1480"/>
    <w:rsid w:val="00FF1BF2"/>
    <w:rsid w:val="00FF2170"/>
    <w:rsid w:val="00FF21EA"/>
    <w:rsid w:val="00FF29BC"/>
    <w:rsid w:val="00FF41E4"/>
    <w:rsid w:val="00FF43A1"/>
    <w:rsid w:val="00FF43AB"/>
    <w:rsid w:val="00FF4645"/>
    <w:rsid w:val="00FF5359"/>
    <w:rsid w:val="00FF5428"/>
    <w:rsid w:val="00FF6118"/>
    <w:rsid w:val="00FF6906"/>
    <w:rsid w:val="00FF72E5"/>
    <w:rsid w:val="00FF7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25BD"/>
  <w15:docId w15:val="{19443495-7670-4BE3-BCB6-C80EA02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63E"/>
    <w:pPr>
      <w:spacing w:after="0" w:line="276" w:lineRule="auto"/>
      <w:ind w:left="357"/>
      <w:jc w:val="both"/>
    </w:pPr>
    <w:rPr>
      <w:rFonts w:ascii="Arial" w:hAnsi="Arial"/>
    </w:rPr>
  </w:style>
  <w:style w:type="paragraph" w:styleId="Ttulo1">
    <w:name w:val="heading 1"/>
    <w:aliases w:val="+ Título 1"/>
    <w:basedOn w:val="Normal"/>
    <w:next w:val="Normal"/>
    <w:link w:val="Ttulo1Car"/>
    <w:uiPriority w:val="9"/>
    <w:qFormat/>
    <w:rsid w:val="00D945F7"/>
    <w:pPr>
      <w:keepNext/>
      <w:keepLines/>
      <w:numPr>
        <w:numId w:val="3"/>
      </w:numPr>
      <w:spacing w:before="240"/>
      <w:outlineLvl w:val="0"/>
    </w:pPr>
    <w:rPr>
      <w:rFonts w:eastAsiaTheme="majorEastAsia" w:cs="Arial"/>
      <w:b/>
      <w:sz w:val="28"/>
      <w:szCs w:val="28"/>
      <w:lang w:val="es-EC"/>
    </w:rPr>
  </w:style>
  <w:style w:type="paragraph" w:styleId="Ttulo2">
    <w:name w:val="heading 2"/>
    <w:basedOn w:val="Normal"/>
    <w:next w:val="Normal"/>
    <w:link w:val="Ttulo2Car"/>
    <w:uiPriority w:val="9"/>
    <w:unhideWhenUsed/>
    <w:qFormat/>
    <w:rsid w:val="001006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 Consideraciones IFT"/>
    <w:basedOn w:val="Segmento"/>
    <w:next w:val="Normal"/>
    <w:link w:val="Ttulo3Car"/>
    <w:uiPriority w:val="9"/>
    <w:unhideWhenUsed/>
    <w:qFormat/>
    <w:rsid w:val="00B16F80"/>
    <w:pPr>
      <w:spacing w:before="40"/>
      <w:outlineLvl w:val="2"/>
    </w:pPr>
    <w:rPr>
      <w:rFonts w:cstheme="majorBidi"/>
      <w:szCs w:val="24"/>
    </w:rPr>
  </w:style>
  <w:style w:type="paragraph" w:styleId="Ttulo6">
    <w:name w:val="heading 6"/>
    <w:basedOn w:val="Normal"/>
    <w:next w:val="Normal"/>
    <w:link w:val="Ttulo6Car"/>
    <w:uiPriority w:val="9"/>
    <w:semiHidden/>
    <w:unhideWhenUsed/>
    <w:qFormat/>
    <w:rsid w:val="003E42C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rsid w:val="00C865CA"/>
    <w:pPr>
      <w:ind w:left="720"/>
      <w:contextualSpacing/>
    </w:pPr>
  </w:style>
  <w:style w:type="character" w:customStyle="1" w:styleId="PrrafodelistaCar">
    <w:name w:val="Párrafo de lista Car"/>
    <w:link w:val="Prrafodelista"/>
    <w:uiPriority w:val="34"/>
    <w:locked/>
    <w:rsid w:val="00CC7417"/>
    <w:rPr>
      <w:rFonts w:ascii="Arial" w:hAnsi="Arial"/>
    </w:rPr>
  </w:style>
  <w:style w:type="paragraph" w:styleId="Encabezado">
    <w:name w:val="header"/>
    <w:basedOn w:val="Normal"/>
    <w:link w:val="EncabezadoCar"/>
    <w:uiPriority w:val="99"/>
    <w:unhideWhenUsed/>
    <w:rsid w:val="00CC741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C7417"/>
    <w:rPr>
      <w:rFonts w:ascii="Arial" w:hAnsi="Arial"/>
    </w:rPr>
  </w:style>
  <w:style w:type="paragraph" w:styleId="Piedepgina">
    <w:name w:val="footer"/>
    <w:basedOn w:val="Normal"/>
    <w:link w:val="PiedepginaCar"/>
    <w:uiPriority w:val="99"/>
    <w:unhideWhenUsed/>
    <w:rsid w:val="00CC741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C7417"/>
    <w:rPr>
      <w:rFonts w:ascii="Arial" w:hAnsi="Arial"/>
    </w:rPr>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Car,5_G"/>
    <w:basedOn w:val="Normal"/>
    <w:link w:val="TextonotapieCar"/>
    <w:uiPriority w:val="99"/>
    <w:unhideWhenUsed/>
    <w:qFormat/>
    <w:rsid w:val="002519AE"/>
    <w:pPr>
      <w:spacing w:line="240" w:lineRule="auto"/>
    </w:pPr>
    <w:rPr>
      <w:sz w:val="20"/>
      <w:szCs w:val="20"/>
      <w:lang w:val="es-EC"/>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Car Car,5_G Car"/>
    <w:basedOn w:val="Fuentedeprrafopredeter"/>
    <w:link w:val="Textonotapie"/>
    <w:uiPriority w:val="99"/>
    <w:rsid w:val="002519AE"/>
    <w:rPr>
      <w:rFonts w:ascii="Arial" w:hAnsi="Arial"/>
      <w:sz w:val="20"/>
      <w:szCs w:val="20"/>
      <w:lang w:val="es-EC"/>
    </w:rPr>
  </w:style>
  <w:style w:type="paragraph" w:styleId="Textocomentario">
    <w:name w:val="annotation text"/>
    <w:basedOn w:val="Normal"/>
    <w:link w:val="TextocomentarioCar"/>
    <w:uiPriority w:val="99"/>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rsid w:val="002519AE"/>
    <w:rPr>
      <w:sz w:val="20"/>
      <w:szCs w:val="20"/>
      <w:lang w:val="es-EC"/>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99"/>
    <w:unhideWhenUsed/>
    <w:qFormat/>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aliases w:val="+ Título 1 Car"/>
    <w:basedOn w:val="Fuentedeprrafopredeter"/>
    <w:link w:val="Ttulo1"/>
    <w:uiPriority w:val="9"/>
    <w:rsid w:val="00D945F7"/>
    <w:rPr>
      <w:rFonts w:ascii="Arial" w:eastAsiaTheme="majorEastAsia" w:hAnsi="Arial" w:cs="Arial"/>
      <w:b/>
      <w:sz w:val="28"/>
      <w:szCs w:val="28"/>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 w:type="character" w:customStyle="1" w:styleId="Ttulo2Car">
    <w:name w:val="Título 2 Car"/>
    <w:basedOn w:val="Fuentedeprrafopredeter"/>
    <w:link w:val="Ttulo2"/>
    <w:uiPriority w:val="9"/>
    <w:rsid w:val="0010062D"/>
    <w:rPr>
      <w:rFonts w:asciiTheme="majorHAnsi" w:eastAsiaTheme="majorEastAsia" w:hAnsiTheme="majorHAnsi" w:cstheme="majorBidi"/>
      <w:color w:val="2E74B5" w:themeColor="accent1" w:themeShade="BF"/>
      <w:sz w:val="26"/>
      <w:szCs w:val="26"/>
    </w:rPr>
  </w:style>
  <w:style w:type="table" w:customStyle="1" w:styleId="Tabladelista6concolores11">
    <w:name w:val="Tabla de lista 6 con colores11"/>
    <w:basedOn w:val="Tablanormal"/>
    <w:uiPriority w:val="51"/>
    <w:rsid w:val="009F7B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aliases w:val="+ Título tabla"/>
    <w:basedOn w:val="Normal"/>
    <w:next w:val="Normal"/>
    <w:link w:val="DescripcinCar"/>
    <w:uiPriority w:val="2"/>
    <w:qFormat/>
    <w:rsid w:val="00C24BEF"/>
    <w:pPr>
      <w:keepNext/>
      <w:tabs>
        <w:tab w:val="left" w:pos="1276"/>
      </w:tabs>
      <w:spacing w:before="120" w:after="60" w:line="240" w:lineRule="auto"/>
      <w:ind w:left="1276" w:hanging="1276"/>
    </w:pPr>
    <w:rPr>
      <w:rFonts w:eastAsia="Calibri" w:cs="Arial"/>
      <w:b/>
      <w:color w:val="000000" w:themeColor="text1"/>
      <w:lang w:val="es-ES_tradnl"/>
    </w:rPr>
  </w:style>
  <w:style w:type="character" w:customStyle="1" w:styleId="DescripcinCar">
    <w:name w:val="Descripción Car"/>
    <w:aliases w:val="+ Título tabla Car"/>
    <w:basedOn w:val="Fuentedeprrafopredeter"/>
    <w:link w:val="Descripcin"/>
    <w:uiPriority w:val="2"/>
    <w:rsid w:val="00C24BEF"/>
    <w:rPr>
      <w:rFonts w:ascii="Arial" w:eastAsia="Calibri" w:hAnsi="Arial" w:cs="Arial"/>
      <w:b/>
      <w:color w:val="000000" w:themeColor="text1"/>
      <w:lang w:val="es-ES_tradnl"/>
    </w:rPr>
  </w:style>
  <w:style w:type="paragraph" w:customStyle="1" w:styleId="Source">
    <w:name w:val="~Source"/>
    <w:basedOn w:val="Normal"/>
    <w:next w:val="Normal"/>
    <w:uiPriority w:val="2"/>
    <w:rsid w:val="00C24BEF"/>
    <w:pPr>
      <w:tabs>
        <w:tab w:val="left" w:pos="709"/>
      </w:tabs>
      <w:spacing w:before="60" w:after="60" w:line="240" w:lineRule="auto"/>
      <w:ind w:left="709" w:hanging="709"/>
    </w:pPr>
    <w:rPr>
      <w:rFonts w:eastAsia="Calibri" w:cs="Arial"/>
      <w:i/>
      <w:color w:val="000000" w:themeColor="text1"/>
      <w:sz w:val="16"/>
      <w:lang w:val="es-ES_tradnl"/>
    </w:rPr>
  </w:style>
  <w:style w:type="paragraph" w:customStyle="1" w:styleId="GraphicLeft">
    <w:name w:val="~GraphicLeft"/>
    <w:basedOn w:val="Sinespaciado"/>
    <w:uiPriority w:val="9"/>
    <w:rsid w:val="00C24BEF"/>
    <w:rPr>
      <w:rFonts w:cs="Arial"/>
      <w:color w:val="000000" w:themeColor="text1"/>
      <w:sz w:val="20"/>
      <w:lang w:val="es-ES_tradnl"/>
    </w:rPr>
  </w:style>
  <w:style w:type="paragraph" w:styleId="Sinespaciado">
    <w:name w:val="No Spacing"/>
    <w:link w:val="SinespaciadoCar"/>
    <w:uiPriority w:val="1"/>
    <w:rsid w:val="00C24BEF"/>
    <w:pPr>
      <w:spacing w:after="0" w:line="240" w:lineRule="auto"/>
    </w:pPr>
  </w:style>
  <w:style w:type="paragraph" w:customStyle="1" w:styleId="ParaBullet2">
    <w:name w:val="~ParaBullet2"/>
    <w:basedOn w:val="Normal"/>
    <w:uiPriority w:val="3"/>
    <w:rsid w:val="00BC2160"/>
    <w:pPr>
      <w:numPr>
        <w:ilvl w:val="1"/>
      </w:numPr>
      <w:ind w:left="357"/>
    </w:pPr>
  </w:style>
  <w:style w:type="paragraph" w:customStyle="1" w:styleId="ParaBullet3">
    <w:name w:val="~ParaBullet3"/>
    <w:basedOn w:val="ParaBullet2"/>
    <w:uiPriority w:val="3"/>
    <w:rsid w:val="00BC2160"/>
    <w:pPr>
      <w:numPr>
        <w:ilvl w:val="2"/>
      </w:numPr>
      <w:ind w:left="357"/>
    </w:pPr>
  </w:style>
  <w:style w:type="character" w:customStyle="1" w:styleId="Ttulo6Car">
    <w:name w:val="Título 6 Car"/>
    <w:basedOn w:val="Fuentedeprrafopredeter"/>
    <w:link w:val="Ttulo6"/>
    <w:uiPriority w:val="9"/>
    <w:semiHidden/>
    <w:rsid w:val="003E42CC"/>
    <w:rPr>
      <w:rFonts w:asciiTheme="majorHAnsi" w:eastAsiaTheme="majorEastAsia" w:hAnsiTheme="majorHAnsi" w:cstheme="majorBidi"/>
      <w:color w:val="1F4D78" w:themeColor="accent1" w:themeShade="7F"/>
    </w:rPr>
  </w:style>
  <w:style w:type="paragraph" w:customStyle="1" w:styleId="Comentarios">
    <w:name w:val="+ Comentarios"/>
    <w:basedOn w:val="Prrafo"/>
    <w:link w:val="ComentariosCar"/>
    <w:qFormat/>
    <w:rsid w:val="00701977"/>
    <w:rPr>
      <w:b/>
    </w:rPr>
  </w:style>
  <w:style w:type="character" w:customStyle="1" w:styleId="ComentariosCar">
    <w:name w:val="+ Comentarios Car"/>
    <w:basedOn w:val="Fuentedeprrafopredeter"/>
    <w:link w:val="Comentarios"/>
    <w:qFormat/>
    <w:rsid w:val="00701977"/>
    <w:rPr>
      <w:rFonts w:ascii="Arial" w:hAnsi="Arial"/>
      <w:b/>
    </w:rPr>
  </w:style>
  <w:style w:type="character" w:customStyle="1" w:styleId="SinespaciadoCar">
    <w:name w:val="Sin espaciado Car"/>
    <w:basedOn w:val="Fuentedeprrafopredeter"/>
    <w:link w:val="Sinespaciado"/>
    <w:uiPriority w:val="1"/>
    <w:rsid w:val="00E72BBC"/>
  </w:style>
  <w:style w:type="paragraph" w:styleId="Subttulo">
    <w:name w:val="Subtitle"/>
    <w:basedOn w:val="Normal"/>
    <w:next w:val="Normal"/>
    <w:link w:val="SubttuloCar"/>
    <w:uiPriority w:val="11"/>
    <w:rsid w:val="003A073C"/>
    <w:pPr>
      <w:numPr>
        <w:ilvl w:val="1"/>
      </w:numPr>
      <w:ind w:left="357"/>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A073C"/>
    <w:rPr>
      <w:rFonts w:ascii="Arial" w:eastAsiaTheme="minorEastAsia" w:hAnsi="Arial"/>
      <w:color w:val="5A5A5A" w:themeColor="text1" w:themeTint="A5"/>
      <w:spacing w:val="15"/>
    </w:rPr>
  </w:style>
  <w:style w:type="paragraph" w:styleId="Ttulo">
    <w:name w:val="Title"/>
    <w:basedOn w:val="Normal"/>
    <w:next w:val="Normal"/>
    <w:link w:val="TtuloCar"/>
    <w:uiPriority w:val="10"/>
    <w:rsid w:val="005B19BC"/>
    <w:pPr>
      <w:numPr>
        <w:numId w:val="4"/>
      </w:numPr>
      <w:spacing w:line="240" w:lineRule="auto"/>
      <w:contextualSpacing/>
      <w:jc w:val="center"/>
    </w:pPr>
    <w:rPr>
      <w:rFonts w:ascii="ITC Avant Garde" w:eastAsiaTheme="majorEastAsia" w:hAnsi="ITC Avant Garde" w:cstheme="majorBidi"/>
      <w:spacing w:val="-10"/>
      <w:kern w:val="28"/>
      <w:sz w:val="56"/>
      <w:szCs w:val="56"/>
    </w:rPr>
  </w:style>
  <w:style w:type="character" w:customStyle="1" w:styleId="TtuloCar">
    <w:name w:val="Título Car"/>
    <w:basedOn w:val="Fuentedeprrafopredeter"/>
    <w:link w:val="Ttulo"/>
    <w:uiPriority w:val="10"/>
    <w:rsid w:val="005B19BC"/>
    <w:rPr>
      <w:rFonts w:ascii="ITC Avant Garde" w:eastAsiaTheme="majorEastAsia" w:hAnsi="ITC Avant Garde" w:cstheme="majorBidi"/>
      <w:spacing w:val="-10"/>
      <w:kern w:val="28"/>
      <w:sz w:val="56"/>
      <w:szCs w:val="56"/>
    </w:rPr>
  </w:style>
  <w:style w:type="paragraph" w:styleId="TtuloTDC">
    <w:name w:val="TOC Heading"/>
    <w:basedOn w:val="Ttulo1"/>
    <w:next w:val="Normal"/>
    <w:uiPriority w:val="39"/>
    <w:unhideWhenUsed/>
    <w:qFormat/>
    <w:rsid w:val="00A339E5"/>
    <w:pPr>
      <w:numPr>
        <w:numId w:val="0"/>
      </w:numPr>
      <w:spacing w:line="259" w:lineRule="auto"/>
      <w:outlineLvl w:val="9"/>
    </w:pPr>
    <w:rPr>
      <w:rFonts w:asciiTheme="majorHAnsi" w:hAnsiTheme="majorHAnsi"/>
      <w:b w:val="0"/>
      <w:color w:val="2E74B5" w:themeColor="accent1" w:themeShade="BF"/>
      <w:lang w:val="es-MX" w:eastAsia="es-MX"/>
    </w:rPr>
  </w:style>
  <w:style w:type="paragraph" w:styleId="TDC1">
    <w:name w:val="toc 1"/>
    <w:basedOn w:val="Normal"/>
    <w:next w:val="Normal"/>
    <w:autoRedefine/>
    <w:uiPriority w:val="39"/>
    <w:unhideWhenUsed/>
    <w:rsid w:val="00A339E5"/>
    <w:pPr>
      <w:spacing w:after="100"/>
    </w:pPr>
  </w:style>
  <w:style w:type="paragraph" w:customStyle="1" w:styleId="Participante">
    <w:name w:val="+ Participante"/>
    <w:basedOn w:val="Bullet"/>
    <w:link w:val="ParticipanteCar"/>
    <w:qFormat/>
    <w:rsid w:val="009E1AA7"/>
    <w:rPr>
      <w:color w:val="C45911" w:themeColor="accent2" w:themeShade="BF"/>
    </w:rPr>
  </w:style>
  <w:style w:type="paragraph" w:customStyle="1" w:styleId="Bullet">
    <w:name w:val="+Bullet"/>
    <w:basedOn w:val="Prrafo"/>
    <w:link w:val="BulletCar"/>
    <w:uiPriority w:val="3"/>
    <w:qFormat/>
    <w:rsid w:val="00E36651"/>
    <w:pPr>
      <w:numPr>
        <w:numId w:val="2"/>
      </w:numPr>
    </w:pPr>
  </w:style>
  <w:style w:type="paragraph" w:customStyle="1" w:styleId="Prrafo">
    <w:name w:val="+Párrafo"/>
    <w:basedOn w:val="Normal"/>
    <w:link w:val="PrrafoCar"/>
    <w:qFormat/>
    <w:rsid w:val="003350B5"/>
    <w:pPr>
      <w:spacing w:before="120" w:after="120"/>
      <w:ind w:left="0"/>
    </w:pPr>
  </w:style>
  <w:style w:type="character" w:customStyle="1" w:styleId="PrrafoCar">
    <w:name w:val="+Párrafo Car"/>
    <w:basedOn w:val="SinespaciadoCar"/>
    <w:link w:val="Prrafo"/>
    <w:rsid w:val="003350B5"/>
    <w:rPr>
      <w:rFonts w:ascii="Arial" w:hAnsi="Arial"/>
    </w:rPr>
  </w:style>
  <w:style w:type="paragraph" w:customStyle="1" w:styleId="Segmento">
    <w:name w:val="+ Segmento"/>
    <w:basedOn w:val="Ttulo2"/>
    <w:next w:val="Normal"/>
    <w:link w:val="SegmentoCar"/>
    <w:qFormat/>
    <w:rsid w:val="00D945F7"/>
    <w:pPr>
      <w:spacing w:before="240" w:after="240" w:line="240" w:lineRule="auto"/>
      <w:ind w:left="425"/>
    </w:pPr>
    <w:rPr>
      <w:rFonts w:ascii="Arial" w:hAnsi="Arial" w:cs="Arial"/>
      <w:b/>
      <w:color w:val="000000" w:themeColor="text1"/>
      <w:sz w:val="24"/>
      <w:szCs w:val="32"/>
      <w:lang w:val="es-EC"/>
    </w:rPr>
  </w:style>
  <w:style w:type="character" w:customStyle="1" w:styleId="SegmentoCar">
    <w:name w:val="+ Segmento Car"/>
    <w:basedOn w:val="Ttulo1Car"/>
    <w:link w:val="Segmento"/>
    <w:rsid w:val="00D945F7"/>
    <w:rPr>
      <w:rFonts w:ascii="Arial" w:eastAsiaTheme="majorEastAsia" w:hAnsi="Arial" w:cs="Arial"/>
      <w:b/>
      <w:color w:val="000000" w:themeColor="text1"/>
      <w:sz w:val="24"/>
      <w:szCs w:val="32"/>
      <w:lang w:val="es-EC"/>
    </w:rPr>
  </w:style>
  <w:style w:type="character" w:customStyle="1" w:styleId="BulletCar">
    <w:name w:val="+Bullet Car"/>
    <w:basedOn w:val="Fuentedeprrafopredeter"/>
    <w:link w:val="Bullet"/>
    <w:uiPriority w:val="3"/>
    <w:rsid w:val="00E36651"/>
    <w:rPr>
      <w:rFonts w:ascii="Arial" w:hAnsi="Arial"/>
    </w:rPr>
  </w:style>
  <w:style w:type="character" w:customStyle="1" w:styleId="ParticipanteCar">
    <w:name w:val="+ Participante Car"/>
    <w:basedOn w:val="BulletCar"/>
    <w:link w:val="Participante"/>
    <w:rsid w:val="009E1AA7"/>
    <w:rPr>
      <w:rFonts w:ascii="Arial" w:hAnsi="Arial"/>
      <w:color w:val="C45911" w:themeColor="accent2" w:themeShade="BF"/>
    </w:rPr>
  </w:style>
  <w:style w:type="character" w:styleId="Textoennegrita">
    <w:name w:val="Strong"/>
    <w:basedOn w:val="Fuentedeprrafopredeter"/>
    <w:uiPriority w:val="22"/>
    <w:qFormat/>
    <w:rsid w:val="00890CD2"/>
    <w:rPr>
      <w:b/>
      <w:bCs/>
    </w:rPr>
  </w:style>
  <w:style w:type="paragraph" w:styleId="Cita">
    <w:name w:val="Quote"/>
    <w:basedOn w:val="Normal"/>
    <w:next w:val="Normal"/>
    <w:link w:val="CitaCar"/>
    <w:uiPriority w:val="29"/>
    <w:qFormat/>
    <w:rsid w:val="005A6EFD"/>
    <w:pPr>
      <w:spacing w:before="200" w:after="160"/>
      <w:ind w:left="864" w:right="864"/>
      <w:jc w:val="center"/>
    </w:pPr>
    <w:rPr>
      <w:rFonts w:asciiTheme="minorHAnsi" w:hAnsiTheme="minorHAnsi"/>
      <w:i/>
      <w:iCs/>
      <w:color w:val="404040" w:themeColor="text1" w:themeTint="BF"/>
    </w:rPr>
  </w:style>
  <w:style w:type="character" w:customStyle="1" w:styleId="CitaCar">
    <w:name w:val="Cita Car"/>
    <w:basedOn w:val="Fuentedeprrafopredeter"/>
    <w:link w:val="Cita"/>
    <w:uiPriority w:val="29"/>
    <w:rsid w:val="005A6EFD"/>
    <w:rPr>
      <w:i/>
      <w:iCs/>
      <w:color w:val="404040" w:themeColor="text1" w:themeTint="BF"/>
    </w:rPr>
  </w:style>
  <w:style w:type="character" w:styleId="Hipervnculovisitado">
    <w:name w:val="FollowedHyperlink"/>
    <w:basedOn w:val="Fuentedeprrafopredeter"/>
    <w:uiPriority w:val="99"/>
    <w:semiHidden/>
    <w:unhideWhenUsed/>
    <w:rsid w:val="00BA1D99"/>
    <w:rPr>
      <w:color w:val="954F72" w:themeColor="followedHyperlink"/>
      <w:u w:val="single"/>
    </w:rPr>
  </w:style>
  <w:style w:type="table" w:customStyle="1" w:styleId="Frontier">
    <w:name w:val="~Frontier"/>
    <w:basedOn w:val="Tablanormal"/>
    <w:uiPriority w:val="99"/>
    <w:rsid w:val="00ED4650"/>
    <w:pPr>
      <w:spacing w:after="0" w:line="240" w:lineRule="auto"/>
    </w:pPr>
    <w:rPr>
      <w:rFonts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Complementobullet">
    <w:name w:val="+Complemento bullet"/>
    <w:basedOn w:val="Prrafo"/>
    <w:link w:val="ComplementobulletCar"/>
    <w:qFormat/>
    <w:rsid w:val="00E07971"/>
    <w:pPr>
      <w:ind w:left="652"/>
    </w:pPr>
  </w:style>
  <w:style w:type="character" w:customStyle="1" w:styleId="ComplementobulletCar">
    <w:name w:val="+Complemento bullet Car"/>
    <w:basedOn w:val="PrrafoCar"/>
    <w:link w:val="Complementobullet"/>
    <w:rsid w:val="00E07971"/>
    <w:rPr>
      <w:rFonts w:ascii="Arial" w:hAnsi="Arial"/>
    </w:rPr>
  </w:style>
  <w:style w:type="character" w:styleId="nfasissutil">
    <w:name w:val="Subtle Emphasis"/>
    <w:basedOn w:val="Fuentedeprrafopredeter"/>
    <w:uiPriority w:val="19"/>
    <w:qFormat/>
    <w:rsid w:val="007F0299"/>
    <w:rPr>
      <w:i/>
      <w:iCs/>
      <w:color w:val="000000" w:themeColor="text1"/>
    </w:rPr>
  </w:style>
  <w:style w:type="character" w:styleId="nfasis">
    <w:name w:val="Emphasis"/>
    <w:basedOn w:val="Fuentedeprrafopredeter"/>
    <w:uiPriority w:val="20"/>
    <w:qFormat/>
    <w:rsid w:val="00E05F11"/>
    <w:rPr>
      <w:i/>
      <w:iCs/>
    </w:rPr>
  </w:style>
  <w:style w:type="character" w:styleId="Ttulodellibro">
    <w:name w:val="Book Title"/>
    <w:basedOn w:val="Fuentedeprrafopredeter"/>
    <w:uiPriority w:val="33"/>
    <w:qFormat/>
    <w:rsid w:val="00552272"/>
    <w:rPr>
      <w:b/>
      <w:bCs/>
      <w:i/>
      <w:iCs/>
      <w:spacing w:val="5"/>
    </w:rPr>
  </w:style>
  <w:style w:type="character" w:customStyle="1" w:styleId="Ttulo3Car">
    <w:name w:val="Título 3 Car"/>
    <w:aliases w:val="+ Consideraciones IFT Car"/>
    <w:basedOn w:val="Fuentedeprrafopredeter"/>
    <w:link w:val="Ttulo3"/>
    <w:uiPriority w:val="9"/>
    <w:rsid w:val="00B16F80"/>
    <w:rPr>
      <w:rFonts w:ascii="Arial" w:eastAsiaTheme="majorEastAsia" w:hAnsi="Arial" w:cstheme="majorBidi"/>
      <w:b/>
      <w:color w:val="000000" w:themeColor="text1"/>
      <w:sz w:val="24"/>
      <w:szCs w:val="24"/>
      <w:lang w:val="es-EC"/>
    </w:rPr>
  </w:style>
  <w:style w:type="paragraph" w:customStyle="1" w:styleId="Enfasiscursiva">
    <w:name w:val="* Enfasis cursiva"/>
    <w:basedOn w:val="Normal"/>
    <w:link w:val="EnfasiscursivaCar"/>
    <w:qFormat/>
    <w:rsid w:val="00DC429A"/>
    <w:pPr>
      <w:spacing w:before="120" w:after="120"/>
      <w:ind w:left="0" w:right="51"/>
    </w:pPr>
    <w:rPr>
      <w:rFonts w:cs="Arial"/>
      <w:i/>
    </w:rPr>
  </w:style>
  <w:style w:type="character" w:customStyle="1" w:styleId="EnfasiscursivaCar">
    <w:name w:val="* Enfasis cursiva Car"/>
    <w:basedOn w:val="Fuentedeprrafopredeter"/>
    <w:link w:val="Enfasiscursiva"/>
    <w:rsid w:val="00DC429A"/>
    <w:rPr>
      <w:rFonts w:ascii="Arial" w:hAnsi="Arial" w:cs="Arial"/>
      <w:i/>
    </w:rPr>
  </w:style>
  <w:style w:type="character" w:styleId="Mencinsinresolver">
    <w:name w:val="Unresolved Mention"/>
    <w:basedOn w:val="Fuentedeprrafopredeter"/>
    <w:uiPriority w:val="99"/>
    <w:semiHidden/>
    <w:unhideWhenUsed/>
    <w:rsid w:val="00B70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316">
      <w:bodyDiv w:val="1"/>
      <w:marLeft w:val="0"/>
      <w:marRight w:val="0"/>
      <w:marTop w:val="0"/>
      <w:marBottom w:val="0"/>
      <w:divBdr>
        <w:top w:val="none" w:sz="0" w:space="0" w:color="auto"/>
        <w:left w:val="none" w:sz="0" w:space="0" w:color="auto"/>
        <w:bottom w:val="none" w:sz="0" w:space="0" w:color="auto"/>
        <w:right w:val="none" w:sz="0" w:space="0" w:color="auto"/>
      </w:divBdr>
    </w:div>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15127734">
      <w:bodyDiv w:val="1"/>
      <w:marLeft w:val="0"/>
      <w:marRight w:val="0"/>
      <w:marTop w:val="0"/>
      <w:marBottom w:val="0"/>
      <w:divBdr>
        <w:top w:val="none" w:sz="0" w:space="0" w:color="auto"/>
        <w:left w:val="none" w:sz="0" w:space="0" w:color="auto"/>
        <w:bottom w:val="none" w:sz="0" w:space="0" w:color="auto"/>
        <w:right w:val="none" w:sz="0" w:space="0" w:color="auto"/>
      </w:divBdr>
      <w:divsChild>
        <w:div w:id="1393457101">
          <w:marLeft w:val="0"/>
          <w:marRight w:val="0"/>
          <w:marTop w:val="0"/>
          <w:marBottom w:val="0"/>
          <w:divBdr>
            <w:top w:val="none" w:sz="0" w:space="0" w:color="auto"/>
            <w:left w:val="none" w:sz="0" w:space="0" w:color="auto"/>
            <w:bottom w:val="none" w:sz="0" w:space="0" w:color="auto"/>
            <w:right w:val="none" w:sz="0" w:space="0" w:color="auto"/>
          </w:divBdr>
        </w:div>
      </w:divsChild>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35708531">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69195206">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594822797">
      <w:bodyDiv w:val="1"/>
      <w:marLeft w:val="0"/>
      <w:marRight w:val="0"/>
      <w:marTop w:val="0"/>
      <w:marBottom w:val="0"/>
      <w:divBdr>
        <w:top w:val="none" w:sz="0" w:space="0" w:color="auto"/>
        <w:left w:val="none" w:sz="0" w:space="0" w:color="auto"/>
        <w:bottom w:val="none" w:sz="0" w:space="0" w:color="auto"/>
        <w:right w:val="none" w:sz="0" w:space="0" w:color="auto"/>
      </w:divBdr>
    </w:div>
    <w:div w:id="621227678">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59108173">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63710503">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090155298">
      <w:bodyDiv w:val="1"/>
      <w:marLeft w:val="0"/>
      <w:marRight w:val="0"/>
      <w:marTop w:val="0"/>
      <w:marBottom w:val="0"/>
      <w:divBdr>
        <w:top w:val="none" w:sz="0" w:space="0" w:color="auto"/>
        <w:left w:val="none" w:sz="0" w:space="0" w:color="auto"/>
        <w:bottom w:val="none" w:sz="0" w:space="0" w:color="auto"/>
        <w:right w:val="none" w:sz="0" w:space="0" w:color="auto"/>
      </w:divBdr>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613248645">
      <w:bodyDiv w:val="1"/>
      <w:marLeft w:val="0"/>
      <w:marRight w:val="0"/>
      <w:marTop w:val="0"/>
      <w:marBottom w:val="0"/>
      <w:divBdr>
        <w:top w:val="none" w:sz="0" w:space="0" w:color="auto"/>
        <w:left w:val="none" w:sz="0" w:space="0" w:color="auto"/>
        <w:bottom w:val="none" w:sz="0" w:space="0" w:color="auto"/>
        <w:right w:val="none" w:sz="0" w:space="0" w:color="auto"/>
      </w:divBdr>
      <w:divsChild>
        <w:div w:id="902713989">
          <w:marLeft w:val="288"/>
          <w:marRight w:val="0"/>
          <w:marTop w:val="40"/>
          <w:marBottom w:val="40"/>
          <w:divBdr>
            <w:top w:val="none" w:sz="0" w:space="0" w:color="auto"/>
            <w:left w:val="none" w:sz="0" w:space="0" w:color="auto"/>
            <w:bottom w:val="none" w:sz="0" w:space="0" w:color="auto"/>
            <w:right w:val="none" w:sz="0" w:space="0" w:color="auto"/>
          </w:divBdr>
        </w:div>
      </w:divsChild>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882084281">
      <w:bodyDiv w:val="1"/>
      <w:marLeft w:val="0"/>
      <w:marRight w:val="0"/>
      <w:marTop w:val="0"/>
      <w:marBottom w:val="0"/>
      <w:divBdr>
        <w:top w:val="none" w:sz="0" w:space="0" w:color="auto"/>
        <w:left w:val="none" w:sz="0" w:space="0" w:color="auto"/>
        <w:bottom w:val="none" w:sz="0" w:space="0" w:color="auto"/>
        <w:right w:val="none" w:sz="0" w:space="0" w:color="auto"/>
      </w:divBdr>
      <w:divsChild>
        <w:div w:id="1662351159">
          <w:marLeft w:val="288"/>
          <w:marRight w:val="0"/>
          <w:marTop w:val="40"/>
          <w:marBottom w:val="40"/>
          <w:divBdr>
            <w:top w:val="none" w:sz="0" w:space="0" w:color="auto"/>
            <w:left w:val="none" w:sz="0" w:space="0" w:color="auto"/>
            <w:bottom w:val="none" w:sz="0" w:space="0" w:color="auto"/>
            <w:right w:val="none" w:sz="0" w:space="0" w:color="auto"/>
          </w:divBdr>
        </w:div>
        <w:div w:id="85081096">
          <w:marLeft w:val="850"/>
          <w:marRight w:val="0"/>
          <w:marTop w:val="40"/>
          <w:marBottom w:val="40"/>
          <w:divBdr>
            <w:top w:val="none" w:sz="0" w:space="0" w:color="auto"/>
            <w:left w:val="none" w:sz="0" w:space="0" w:color="auto"/>
            <w:bottom w:val="none" w:sz="0" w:space="0" w:color="auto"/>
            <w:right w:val="none" w:sz="0" w:space="0" w:color="auto"/>
          </w:divBdr>
        </w:div>
        <w:div w:id="711997166">
          <w:marLeft w:val="850"/>
          <w:marRight w:val="0"/>
          <w:marTop w:val="40"/>
          <w:marBottom w:val="40"/>
          <w:divBdr>
            <w:top w:val="none" w:sz="0" w:space="0" w:color="auto"/>
            <w:left w:val="none" w:sz="0" w:space="0" w:color="auto"/>
            <w:bottom w:val="none" w:sz="0" w:space="0" w:color="auto"/>
            <w:right w:val="none" w:sz="0" w:space="0" w:color="auto"/>
          </w:divBdr>
        </w:div>
      </w:divsChild>
    </w:div>
    <w:div w:id="1909146205">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75809355">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t.org.mx/industria/consultas-publicas/consulta-publica-de-integracion-sobre-las-propuestas-de-actualizacion-de-las-metodologias-terminos-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2" ma:contentTypeDescription="Crear nuevo documento." ma:contentTypeScope="" ma:versionID="2592c275756a7e9db8147c1ad6a05c37">
  <xsd:schema xmlns:xsd="http://www.w3.org/2001/XMLSchema" xmlns:xs="http://www.w3.org/2001/XMLSchema" xmlns:p="http://schemas.microsoft.com/office/2006/metadata/properties" xmlns:ns2="6495ad76-b129-4426-9f15-29f13e1ad190" targetNamespace="http://schemas.microsoft.com/office/2006/metadata/properties" ma:root="true" ma:fieldsID="3ab55f5ffa007d74f190251a470e73a8" ns2:_="">
    <xsd:import namespace="6495ad76-b129-4426-9f15-29f13e1ad1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ad76-b129-4426-9f15-29f13e1ad19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8E6FB-54F5-4A3C-9764-F2E32788888B}">
  <ds:schemaRefs>
    <ds:schemaRef ds:uri="http://schemas.openxmlformats.org/officeDocument/2006/bibliography"/>
  </ds:schemaRefs>
</ds:datastoreItem>
</file>

<file path=customXml/itemProps2.xml><?xml version="1.0" encoding="utf-8"?>
<ds:datastoreItem xmlns:ds="http://schemas.openxmlformats.org/officeDocument/2006/customXml" ds:itemID="{549030C1-4FF1-4483-B096-05D6772F5F03}">
  <ds:schemaRefs>
    <ds:schemaRef ds:uri="http://schemas.microsoft.com/sharepoint/v3/contenttype/forms"/>
  </ds:schemaRefs>
</ds:datastoreItem>
</file>

<file path=customXml/itemProps3.xml><?xml version="1.0" encoding="utf-8"?>
<ds:datastoreItem xmlns:ds="http://schemas.openxmlformats.org/officeDocument/2006/customXml" ds:itemID="{A023F757-A17C-42C7-BF69-0148DE3CF069}">
  <ds:schemaRefs>
    <ds:schemaRef ds:uri="http://www.w3.org/XML/1998/namespace"/>
    <ds:schemaRef ds:uri="http://purl.org/dc/dcmitype/"/>
    <ds:schemaRef ds:uri="http://schemas.microsoft.com/office/2006/documentManagement/types"/>
    <ds:schemaRef ds:uri="6495ad76-b129-4426-9f15-29f13e1ad190"/>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04FA722-B4A5-4F31-86EF-0B42DCDC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ad76-b129-4426-9f15-29f13e1ad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3572</TotalTime>
  <Pages>17</Pages>
  <Words>5140</Words>
  <Characters>28271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dc:creator>
  <cp:keywords/>
  <dc:description/>
  <cp:lastModifiedBy>Danyel Bengerar Munoz Hernandez</cp:lastModifiedBy>
  <cp:revision>167</cp:revision>
  <dcterms:created xsi:type="dcterms:W3CDTF">2022-04-21T22:39:00Z</dcterms:created>
  <dcterms:modified xsi:type="dcterms:W3CDTF">2022-09-22T00:57:00Z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