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68081" w14:textId="77777777" w:rsidR="00FA617E" w:rsidRDefault="00FA617E" w:rsidP="00FA617E">
      <w:pPr>
        <w:jc w:val="center"/>
        <w:rPr>
          <w:rFonts w:cs="Arial"/>
          <w:b/>
          <w:sz w:val="28"/>
          <w:szCs w:val="20"/>
        </w:rPr>
      </w:pPr>
      <w:r w:rsidRPr="00781E36">
        <w:rPr>
          <w:rFonts w:cs="Arial"/>
          <w:b/>
          <w:sz w:val="28"/>
          <w:szCs w:val="20"/>
        </w:rPr>
        <w:t>Justificaciones a las modificaciones propuestas por Telmex</w:t>
      </w:r>
      <w:r>
        <w:rPr>
          <w:rFonts w:cs="Arial"/>
          <w:b/>
          <w:sz w:val="28"/>
          <w:szCs w:val="20"/>
        </w:rPr>
        <w:t>/</w:t>
      </w:r>
      <w:proofErr w:type="spellStart"/>
      <w:r w:rsidRPr="00781E36">
        <w:rPr>
          <w:rFonts w:cs="Arial"/>
          <w:b/>
          <w:sz w:val="28"/>
          <w:szCs w:val="20"/>
        </w:rPr>
        <w:t>Telnor</w:t>
      </w:r>
      <w:proofErr w:type="spellEnd"/>
      <w:r w:rsidRPr="00781E36">
        <w:rPr>
          <w:rFonts w:cs="Arial"/>
          <w:b/>
          <w:sz w:val="28"/>
          <w:szCs w:val="20"/>
        </w:rPr>
        <w:t xml:space="preserve"> a la OR</w:t>
      </w:r>
      <w:r>
        <w:rPr>
          <w:rFonts w:cs="Arial"/>
          <w:b/>
          <w:sz w:val="28"/>
          <w:szCs w:val="20"/>
        </w:rPr>
        <w:t>CI</w:t>
      </w:r>
      <w:r w:rsidRPr="00781E36">
        <w:rPr>
          <w:rFonts w:cs="Arial"/>
          <w:b/>
          <w:sz w:val="28"/>
          <w:szCs w:val="20"/>
        </w:rPr>
        <w:t xml:space="preserve"> 2022</w:t>
      </w:r>
    </w:p>
    <w:p w14:paraId="239C99B9" w14:textId="77777777" w:rsidR="000868A5" w:rsidRDefault="000868A5" w:rsidP="00B160F6">
      <w:pPr>
        <w:spacing w:after="0" w:line="240" w:lineRule="auto"/>
      </w:pPr>
    </w:p>
    <w:p w14:paraId="49C22546" w14:textId="77777777" w:rsidR="00B160F6" w:rsidRDefault="00B160F6" w:rsidP="00B160F6">
      <w:pPr>
        <w:spacing w:after="0" w:line="240" w:lineRule="auto"/>
      </w:pPr>
    </w:p>
    <w:tbl>
      <w:tblPr>
        <w:tblStyle w:val="Tablaconcuadrcula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6407"/>
      </w:tblGrid>
      <w:tr w:rsidR="00070025" w:rsidRPr="00070025" w14:paraId="08E42C94" w14:textId="77777777" w:rsidTr="00275174">
        <w:trPr>
          <w:trHeight w:val="447"/>
          <w:tblHeader/>
          <w:jc w:val="right"/>
        </w:trPr>
        <w:tc>
          <w:tcPr>
            <w:tcW w:w="1809" w:type="dxa"/>
            <w:shd w:val="clear" w:color="auto" w:fill="002060"/>
            <w:vAlign w:val="center"/>
          </w:tcPr>
          <w:p w14:paraId="381CCAD1" w14:textId="77777777" w:rsidR="00BC0C0C" w:rsidRPr="00070025" w:rsidRDefault="007E21FD" w:rsidP="00BC0C0C">
            <w:pPr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</w:pPr>
            <w:bookmarkStart w:id="0" w:name="_GoBack"/>
            <w:r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  <w:t>Docto</w:t>
            </w:r>
          </w:p>
        </w:tc>
        <w:tc>
          <w:tcPr>
            <w:tcW w:w="2127" w:type="dxa"/>
            <w:shd w:val="clear" w:color="auto" w:fill="002060"/>
            <w:vAlign w:val="center"/>
          </w:tcPr>
          <w:p w14:paraId="439D8C57" w14:textId="77777777" w:rsidR="00BC0C0C" w:rsidRPr="00070025" w:rsidRDefault="00070025" w:rsidP="00BC0C0C">
            <w:pPr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  <w:t>Cláusula/</w:t>
            </w:r>
            <w:r w:rsidR="00BC0C0C" w:rsidRPr="00070025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  <w:t>Sección</w:t>
            </w:r>
            <w:r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  <w:t>/Numeral</w:t>
            </w:r>
          </w:p>
        </w:tc>
        <w:tc>
          <w:tcPr>
            <w:tcW w:w="2126" w:type="dxa"/>
            <w:shd w:val="clear" w:color="auto" w:fill="002060"/>
            <w:vAlign w:val="center"/>
          </w:tcPr>
          <w:p w14:paraId="0E1DCC56" w14:textId="77777777" w:rsidR="00BC0C0C" w:rsidRPr="00070025" w:rsidRDefault="00BC0C0C" w:rsidP="00BC0C0C">
            <w:pPr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070025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  <w:t>Tema</w:t>
            </w:r>
          </w:p>
        </w:tc>
        <w:tc>
          <w:tcPr>
            <w:tcW w:w="6407" w:type="dxa"/>
            <w:shd w:val="clear" w:color="auto" w:fill="002060"/>
            <w:vAlign w:val="center"/>
          </w:tcPr>
          <w:p w14:paraId="2834B3D8" w14:textId="77777777" w:rsidR="00BC0C0C" w:rsidRPr="00070025" w:rsidRDefault="00BC0C0C" w:rsidP="00BC0C0C">
            <w:pPr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070025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s-MX"/>
              </w:rPr>
              <w:t>Justificación</w:t>
            </w:r>
          </w:p>
        </w:tc>
      </w:tr>
      <w:tr w:rsidR="00CF548B" w:rsidRPr="006859F7" w14:paraId="19FD3E9C" w14:textId="77777777" w:rsidTr="00275174">
        <w:trPr>
          <w:jc w:val="right"/>
        </w:trPr>
        <w:tc>
          <w:tcPr>
            <w:tcW w:w="1809" w:type="dxa"/>
            <w:vMerge w:val="restart"/>
            <w:vAlign w:val="center"/>
          </w:tcPr>
          <w:p w14:paraId="348EEBB4" w14:textId="77777777" w:rsidR="00CF548B" w:rsidRPr="006859F7" w:rsidRDefault="00CF548B" w:rsidP="001B0860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Único ORCI Fija DM</w:t>
            </w:r>
            <w:r w:rsidR="001B0860" w:rsidRPr="006859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vAlign w:val="center"/>
          </w:tcPr>
          <w:p w14:paraId="69F52C3C" w14:textId="77777777" w:rsidR="00CF548B" w:rsidRPr="006859F7" w:rsidRDefault="00CF548B" w:rsidP="00732A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59F7">
              <w:rPr>
                <w:rFonts w:ascii="Calibri" w:hAnsi="Calibri" w:cs="Calibri"/>
                <w:color w:val="000000"/>
                <w:sz w:val="20"/>
                <w:szCs w:val="20"/>
              </w:rPr>
              <w:t>I. Definiciones</w:t>
            </w:r>
          </w:p>
        </w:tc>
        <w:tc>
          <w:tcPr>
            <w:tcW w:w="2126" w:type="dxa"/>
            <w:vAlign w:val="center"/>
          </w:tcPr>
          <w:p w14:paraId="7DAEDD73" w14:textId="77777777" w:rsidR="00CF548B" w:rsidRPr="006859F7" w:rsidRDefault="00CF548B" w:rsidP="00732AD7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Evaluación del Anteproyecto en el Análisis de Factibilidad</w:t>
            </w:r>
          </w:p>
        </w:tc>
        <w:tc>
          <w:tcPr>
            <w:tcW w:w="6407" w:type="dxa"/>
            <w:vAlign w:val="center"/>
          </w:tcPr>
          <w:p w14:paraId="387274F2" w14:textId="77777777" w:rsidR="00CF548B" w:rsidRPr="006859F7" w:rsidRDefault="00CF548B" w:rsidP="008F2AAA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 xml:space="preserve">Se solicita incorporar este concepto para </w:t>
            </w:r>
            <w:r w:rsidR="000F66FA">
              <w:rPr>
                <w:rFonts w:ascii="Calibri" w:hAnsi="Calibri"/>
                <w:color w:val="000000"/>
                <w:sz w:val="20"/>
                <w:szCs w:val="20"/>
              </w:rPr>
              <w:t>aclarar el alcance d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 xml:space="preserve">el </w:t>
            </w:r>
            <w:r w:rsidR="008F2AAA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 xml:space="preserve">nálisis de </w:t>
            </w:r>
            <w:r w:rsidR="008F2AAA">
              <w:rPr>
                <w:rFonts w:ascii="Calibri" w:hAnsi="Calibri"/>
                <w:color w:val="000000"/>
                <w:sz w:val="20"/>
                <w:szCs w:val="20"/>
              </w:rPr>
              <w:t>F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>actibilidad</w:t>
            </w:r>
          </w:p>
        </w:tc>
      </w:tr>
      <w:tr w:rsidR="00CF548B" w:rsidRPr="006859F7" w14:paraId="3A88565A" w14:textId="77777777" w:rsidTr="00275174">
        <w:trPr>
          <w:jc w:val="right"/>
        </w:trPr>
        <w:tc>
          <w:tcPr>
            <w:tcW w:w="1809" w:type="dxa"/>
            <w:vMerge/>
            <w:vAlign w:val="center"/>
          </w:tcPr>
          <w:p w14:paraId="2357A038" w14:textId="77777777" w:rsidR="00CF548B" w:rsidRPr="006859F7" w:rsidRDefault="00CF548B" w:rsidP="00732AD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14:paraId="73AA4B00" w14:textId="77777777" w:rsidR="00CF548B" w:rsidRPr="006859F7" w:rsidRDefault="00CF548B" w:rsidP="00732A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70C23DA" w14:textId="77777777" w:rsidR="00CF548B" w:rsidRPr="006859F7" w:rsidRDefault="00CF548B" w:rsidP="00732A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Constancia de No Interferencias</w:t>
            </w:r>
          </w:p>
        </w:tc>
        <w:tc>
          <w:tcPr>
            <w:tcW w:w="6407" w:type="dxa"/>
            <w:vAlign w:val="center"/>
          </w:tcPr>
          <w:p w14:paraId="57C84EEA" w14:textId="77777777" w:rsidR="00CF548B" w:rsidRPr="006859F7" w:rsidRDefault="00CF548B" w:rsidP="00732AD7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Se solicita incorporar este concepto de acuerdo a lo emitido en los 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>"Lineamientos para el registro de Radioenlaces fijos en el Sistema Integral de Administración del Espectro Radioeléctrico”</w:t>
            </w:r>
          </w:p>
        </w:tc>
      </w:tr>
      <w:tr w:rsidR="0048426C" w:rsidRPr="006859F7" w14:paraId="74425C0B" w14:textId="77777777" w:rsidTr="00275174">
        <w:trPr>
          <w:jc w:val="right"/>
        </w:trPr>
        <w:tc>
          <w:tcPr>
            <w:tcW w:w="1809" w:type="dxa"/>
            <w:vMerge/>
            <w:vAlign w:val="center"/>
          </w:tcPr>
          <w:p w14:paraId="1B659164" w14:textId="77777777" w:rsidR="006859F7" w:rsidRPr="006859F7" w:rsidRDefault="006859F7" w:rsidP="00732AD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28762E0" w14:textId="77777777" w:rsidR="006859F7" w:rsidRPr="006859F7" w:rsidRDefault="006859F7" w:rsidP="00732A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59F7">
              <w:rPr>
                <w:rFonts w:ascii="Calibri" w:hAnsi="Calibri" w:cs="Calibri"/>
                <w:color w:val="000000"/>
                <w:sz w:val="20"/>
                <w:szCs w:val="20"/>
              </w:rPr>
              <w:t>II. Introducción</w:t>
            </w:r>
          </w:p>
        </w:tc>
        <w:tc>
          <w:tcPr>
            <w:tcW w:w="2126" w:type="dxa"/>
            <w:vMerge w:val="restart"/>
            <w:vAlign w:val="center"/>
          </w:tcPr>
          <w:p w14:paraId="3EE8F208" w14:textId="77777777" w:rsidR="006859F7" w:rsidRPr="006859F7" w:rsidRDefault="006859F7" w:rsidP="00732AD7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Adecuación en el Análisis de Frecuencias</w:t>
            </w:r>
          </w:p>
        </w:tc>
        <w:tc>
          <w:tcPr>
            <w:tcW w:w="6407" w:type="dxa"/>
            <w:vMerge w:val="restart"/>
            <w:vAlign w:val="center"/>
          </w:tcPr>
          <w:p w14:paraId="099A01C3" w14:textId="77777777" w:rsidR="006859F7" w:rsidRPr="006859F7" w:rsidRDefault="006859F7" w:rsidP="00C86AE1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 xml:space="preserve">Se solicita </w:t>
            </w:r>
            <w:r w:rsidR="000F66FA">
              <w:rPr>
                <w:rFonts w:ascii="Calibri" w:hAnsi="Calibri"/>
                <w:color w:val="000000"/>
                <w:sz w:val="20"/>
                <w:szCs w:val="20"/>
              </w:rPr>
              <w:t xml:space="preserve">la 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>adecuación de acuerdo a los "Lineamientos para el registro de Radioenlaces fijos en el Sistema Integral de Administració</w:t>
            </w:r>
            <w:r w:rsidR="00C86AE1">
              <w:rPr>
                <w:rFonts w:ascii="Calibri" w:hAnsi="Calibri"/>
                <w:color w:val="000000"/>
                <w:sz w:val="20"/>
                <w:szCs w:val="20"/>
              </w:rPr>
              <w:t>n del Espectro Radioeléctrico”</w:t>
            </w:r>
          </w:p>
        </w:tc>
      </w:tr>
      <w:tr w:rsidR="0048426C" w:rsidRPr="006859F7" w14:paraId="467CA79A" w14:textId="77777777" w:rsidTr="00275174">
        <w:trPr>
          <w:jc w:val="right"/>
        </w:trPr>
        <w:tc>
          <w:tcPr>
            <w:tcW w:w="1809" w:type="dxa"/>
            <w:vMerge/>
            <w:vAlign w:val="center"/>
          </w:tcPr>
          <w:p w14:paraId="30D219C4" w14:textId="77777777" w:rsidR="006859F7" w:rsidRPr="006859F7" w:rsidRDefault="006859F7" w:rsidP="00732AD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7335324" w14:textId="77777777" w:rsidR="006859F7" w:rsidRPr="006859F7" w:rsidRDefault="006859F7" w:rsidP="00732A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59F7">
              <w:rPr>
                <w:rFonts w:ascii="Calibri" w:hAnsi="Calibri" w:cs="Calibri"/>
                <w:color w:val="000000"/>
                <w:sz w:val="20"/>
                <w:szCs w:val="20"/>
              </w:rPr>
              <w:t>V 1.4 Facturación</w:t>
            </w:r>
          </w:p>
        </w:tc>
        <w:tc>
          <w:tcPr>
            <w:tcW w:w="2126" w:type="dxa"/>
            <w:vMerge/>
            <w:vAlign w:val="center"/>
          </w:tcPr>
          <w:p w14:paraId="570944DF" w14:textId="77777777" w:rsidR="006859F7" w:rsidRPr="006859F7" w:rsidRDefault="006859F7" w:rsidP="00732AD7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vMerge/>
            <w:vAlign w:val="center"/>
          </w:tcPr>
          <w:p w14:paraId="19A41314" w14:textId="77777777" w:rsidR="006859F7" w:rsidRPr="006859F7" w:rsidRDefault="006859F7" w:rsidP="00732AD7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48426C" w:rsidRPr="006859F7" w14:paraId="2EA82B99" w14:textId="77777777" w:rsidTr="00275174">
        <w:trPr>
          <w:jc w:val="right"/>
        </w:trPr>
        <w:tc>
          <w:tcPr>
            <w:tcW w:w="1809" w:type="dxa"/>
            <w:vMerge/>
            <w:vAlign w:val="center"/>
          </w:tcPr>
          <w:p w14:paraId="3736A7C5" w14:textId="77777777" w:rsidR="006859F7" w:rsidRPr="006859F7" w:rsidRDefault="006859F7" w:rsidP="00B160F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46CF0ED3" w14:textId="77777777" w:rsidR="006859F7" w:rsidRPr="006859F7" w:rsidRDefault="001B0860" w:rsidP="00BC4A7A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V.3.2. Análisis de Factibilidad</w:t>
            </w:r>
          </w:p>
        </w:tc>
        <w:tc>
          <w:tcPr>
            <w:tcW w:w="2126" w:type="dxa"/>
            <w:vAlign w:val="center"/>
          </w:tcPr>
          <w:p w14:paraId="1078A1D3" w14:textId="77777777" w:rsidR="006859F7" w:rsidRPr="006859F7" w:rsidRDefault="001B0860" w:rsidP="001F4AB0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Análisis de Factibilidad</w:t>
            </w:r>
          </w:p>
        </w:tc>
        <w:tc>
          <w:tcPr>
            <w:tcW w:w="6407" w:type="dxa"/>
            <w:vAlign w:val="center"/>
          </w:tcPr>
          <w:p w14:paraId="7EE4E813" w14:textId="644BD5F7" w:rsidR="00AB59C6" w:rsidRPr="006859F7" w:rsidRDefault="000D6DF8" w:rsidP="001F6B73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Se precisan los escenarios posibles derivados del “Análisis de Factibilidad, en concordancia con lo previamente autorizado por el Instituto en </w:t>
            </w:r>
            <w:r w:rsidR="008F2AAA" w:rsidRPr="008F2AAA">
              <w:rPr>
                <w:rFonts w:ascii="Calibri" w:hAnsi="Calibri"/>
                <w:color w:val="000000"/>
                <w:sz w:val="20"/>
                <w:szCs w:val="20"/>
              </w:rPr>
              <w:t>las Ofertas de los otros sujetos obligados a prestar el servicio de Acceso y Uso Compartido de Infraestructura Pasiva.</w:t>
            </w:r>
          </w:p>
        </w:tc>
      </w:tr>
      <w:tr w:rsidR="0048426C" w:rsidRPr="006859F7" w14:paraId="0139DD47" w14:textId="77777777" w:rsidTr="00275174">
        <w:trPr>
          <w:jc w:val="right"/>
        </w:trPr>
        <w:tc>
          <w:tcPr>
            <w:tcW w:w="1809" w:type="dxa"/>
            <w:vMerge/>
            <w:vAlign w:val="center"/>
          </w:tcPr>
          <w:p w14:paraId="049D4874" w14:textId="77777777" w:rsidR="006859F7" w:rsidRPr="006859F7" w:rsidRDefault="006859F7" w:rsidP="00B160F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14:paraId="20F142A4" w14:textId="77777777" w:rsidR="006859F7" w:rsidRPr="006859F7" w:rsidRDefault="006859F7" w:rsidP="00BC4A7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2963F67" w14:textId="77777777" w:rsidR="006859F7" w:rsidRPr="006859F7" w:rsidRDefault="001B0860" w:rsidP="001F4AB0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Análisis de Frecuencias</w:t>
            </w:r>
          </w:p>
        </w:tc>
        <w:tc>
          <w:tcPr>
            <w:tcW w:w="6407" w:type="dxa"/>
            <w:vAlign w:val="center"/>
          </w:tcPr>
          <w:p w14:paraId="390B4A9B" w14:textId="77777777" w:rsidR="006859F7" w:rsidRPr="006859F7" w:rsidRDefault="001B0860" w:rsidP="00AC001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Para garantizar la no interferencia de sistemas operando de ningún CS o AS s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 xml:space="preserve">e solicita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la modificación  para incorporar como parte de la información que el CS o AS  entrega en su anteproyect</w:t>
            </w:r>
            <w:r w:rsidR="00227701">
              <w:rPr>
                <w:rFonts w:ascii="Calibri" w:hAnsi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, la  Constancia de No Interferencia (</w:t>
            </w:r>
            <w:r w:rsidRPr="008F2AAA">
              <w:rPr>
                <w:rFonts w:ascii="Calibri" w:hAnsi="Calibri"/>
                <w:sz w:val="20"/>
                <w:szCs w:val="20"/>
              </w:rPr>
              <w:t>CNI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 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 xml:space="preserve">de acuerdo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con</w:t>
            </w:r>
            <w:r w:rsidRPr="006859F7">
              <w:rPr>
                <w:rFonts w:ascii="Calibri" w:hAnsi="Calibri"/>
                <w:color w:val="000000"/>
                <w:sz w:val="20"/>
                <w:szCs w:val="20"/>
              </w:rPr>
              <w:t xml:space="preserve"> los "Lineamientos para el registro de Radioenlaces fijos en el Sistema Integral de Administraci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ón del Espectro Radioeléctrico”</w:t>
            </w:r>
          </w:p>
        </w:tc>
      </w:tr>
      <w:tr w:rsidR="00AB59C6" w:rsidRPr="006859F7" w14:paraId="3F37E766" w14:textId="77777777" w:rsidTr="00275174">
        <w:trPr>
          <w:jc w:val="right"/>
        </w:trPr>
        <w:tc>
          <w:tcPr>
            <w:tcW w:w="1809" w:type="dxa"/>
            <w:vMerge/>
            <w:vAlign w:val="center"/>
          </w:tcPr>
          <w:p w14:paraId="23EA8C6A" w14:textId="77777777" w:rsidR="00AB59C6" w:rsidRPr="006859F7" w:rsidRDefault="00AB59C6" w:rsidP="00AB59C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8198B02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VI. Trabajos Especiales asociados a los servicios de Acceso y Uso Compartido de la Infraestructura Pasiva</w:t>
            </w:r>
          </w:p>
        </w:tc>
        <w:tc>
          <w:tcPr>
            <w:tcW w:w="2126" w:type="dxa"/>
            <w:vAlign w:val="center"/>
          </w:tcPr>
          <w:p w14:paraId="06F6C287" w14:textId="77777777" w:rsidR="00AB59C6" w:rsidRPr="006859F7" w:rsidRDefault="00227701" w:rsidP="008F2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la </w:t>
            </w:r>
            <w:r w:rsidR="008F2AA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laboración de </w:t>
            </w:r>
            <w:r w:rsidR="008F2AAA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royecto y </w:t>
            </w:r>
            <w:r w:rsidR="008F2AAA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resupuesto</w:t>
            </w:r>
          </w:p>
        </w:tc>
        <w:tc>
          <w:tcPr>
            <w:tcW w:w="6407" w:type="dxa"/>
            <w:vAlign w:val="center"/>
          </w:tcPr>
          <w:p w14:paraId="43917B67" w14:textId="77777777" w:rsidR="00AB59C6" w:rsidRPr="006859F7" w:rsidRDefault="008F2AAA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2AAA">
              <w:rPr>
                <w:rFonts w:ascii="Calibri" w:hAnsi="Calibri"/>
                <w:sz w:val="20"/>
                <w:szCs w:val="20"/>
              </w:rPr>
              <w:t>Los cambios propuestos simplemente pretenden homologar los procedimientos para llevar a cabo los trabajos especiales de Adecuación de Sitio, Recuperación de Espacio y/o despliegue de nueva Obra Civil, con los autorizados previamente por el Instituto en las Ofertas de los otros sujetos obligados a prestar el servicio de Acceso y Uso Compartido de Infraestructura Pasiva.</w:t>
            </w:r>
          </w:p>
        </w:tc>
      </w:tr>
      <w:tr w:rsidR="00AB59C6" w:rsidRPr="006859F7" w14:paraId="5B787428" w14:textId="77777777" w:rsidTr="00275174">
        <w:trPr>
          <w:jc w:val="right"/>
        </w:trPr>
        <w:tc>
          <w:tcPr>
            <w:tcW w:w="1809" w:type="dxa"/>
            <w:vAlign w:val="center"/>
          </w:tcPr>
          <w:p w14:paraId="5EB50ABF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Anexo 1 Formatos</w:t>
            </w:r>
          </w:p>
        </w:tc>
        <w:tc>
          <w:tcPr>
            <w:tcW w:w="2127" w:type="dxa"/>
            <w:vAlign w:val="center"/>
          </w:tcPr>
          <w:p w14:paraId="626A214B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Formato 9 Anteproyecto</w:t>
            </w:r>
          </w:p>
        </w:tc>
        <w:tc>
          <w:tcPr>
            <w:tcW w:w="2126" w:type="dxa"/>
            <w:vAlign w:val="center"/>
          </w:tcPr>
          <w:p w14:paraId="1C8C2745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Anteproyecto</w:t>
            </w:r>
          </w:p>
        </w:tc>
        <w:tc>
          <w:tcPr>
            <w:tcW w:w="6407" w:type="dxa"/>
            <w:vAlign w:val="center"/>
          </w:tcPr>
          <w:p w14:paraId="760078C4" w14:textId="77777777" w:rsidR="00AB59C6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Se solicita actualizar el formato de Anteproyecto de acuerdo a </w:t>
            </w:r>
            <w:r w:rsidRPr="00CE5B5B">
              <w:rPr>
                <w:rFonts w:ascii="Calibri" w:hAnsi="Calibri"/>
                <w:color w:val="000000"/>
                <w:sz w:val="20"/>
                <w:szCs w:val="20"/>
              </w:rPr>
              <w:t>los "Lineamientos para el registro de Radioenlaces fijos en el Sistema Integral de Administración del Espectro Radioeléctrico”</w:t>
            </w:r>
          </w:p>
          <w:p w14:paraId="47CB408E" w14:textId="441DAB6C" w:rsidR="00462F1B" w:rsidRDefault="00462F1B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En concordancia con lo anterior se incorporan los formatos correspondientes.</w:t>
            </w:r>
          </w:p>
        </w:tc>
      </w:tr>
      <w:tr w:rsidR="00AB59C6" w:rsidRPr="006859F7" w14:paraId="0C4D8987" w14:textId="77777777" w:rsidTr="00275174">
        <w:trPr>
          <w:jc w:val="right"/>
        </w:trPr>
        <w:tc>
          <w:tcPr>
            <w:tcW w:w="1809" w:type="dxa"/>
            <w:vAlign w:val="center"/>
          </w:tcPr>
          <w:p w14:paraId="370D03F0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2 Normas Técnicas</w:t>
            </w:r>
          </w:p>
        </w:tc>
        <w:tc>
          <w:tcPr>
            <w:tcW w:w="2127" w:type="dxa"/>
            <w:vAlign w:val="center"/>
          </w:tcPr>
          <w:p w14:paraId="095CED20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1. Definiciones</w:t>
            </w:r>
          </w:p>
        </w:tc>
        <w:tc>
          <w:tcPr>
            <w:tcW w:w="2126" w:type="dxa"/>
            <w:vAlign w:val="center"/>
          </w:tcPr>
          <w:p w14:paraId="4D019D6C" w14:textId="77777777" w:rsidR="00AB59C6" w:rsidRPr="006859F7" w:rsidRDefault="00AB59C6" w:rsidP="00AB59C6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vAlign w:val="center"/>
          </w:tcPr>
          <w:p w14:paraId="520105EF" w14:textId="77777777" w:rsidR="00AB59C6" w:rsidRPr="006859F7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B59C6" w:rsidRPr="006859F7" w14:paraId="315D82F3" w14:textId="77777777" w:rsidTr="00275174">
        <w:trPr>
          <w:jc w:val="right"/>
        </w:trPr>
        <w:tc>
          <w:tcPr>
            <w:tcW w:w="1809" w:type="dxa"/>
            <w:vAlign w:val="center"/>
          </w:tcPr>
          <w:p w14:paraId="15A1C282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lastRenderedPageBreak/>
              <w:t>Anexo 2 Normas Técnicas</w:t>
            </w:r>
          </w:p>
        </w:tc>
        <w:tc>
          <w:tcPr>
            <w:tcW w:w="2127" w:type="dxa"/>
            <w:vAlign w:val="center"/>
          </w:tcPr>
          <w:p w14:paraId="79AFAD1F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3.1 Condición para instalación de equipos de microondas</w:t>
            </w:r>
          </w:p>
        </w:tc>
        <w:tc>
          <w:tcPr>
            <w:tcW w:w="2126" w:type="dxa"/>
            <w:vAlign w:val="center"/>
          </w:tcPr>
          <w:p w14:paraId="63916B6E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E12630">
              <w:rPr>
                <w:sz w:val="20"/>
                <w:szCs w:val="20"/>
              </w:rPr>
              <w:t>Constancia de No Interferencias (CNI)</w:t>
            </w:r>
          </w:p>
        </w:tc>
        <w:tc>
          <w:tcPr>
            <w:tcW w:w="6407" w:type="dxa"/>
            <w:vMerge w:val="restart"/>
            <w:vAlign w:val="center"/>
          </w:tcPr>
          <w:p w14:paraId="5CD34DD3" w14:textId="77777777" w:rsidR="00AB59C6" w:rsidRPr="00AC001B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AC001B">
              <w:rPr>
                <w:sz w:val="20"/>
                <w:szCs w:val="20"/>
              </w:rPr>
              <w:t>Se solicita agregar esta modificación de acuerdo en lo descrito en los "Lineamientos para el registro de Radioenlaces fijos en el Sistema Integral de Administración del Espectro Radioeléctrico”</w:t>
            </w:r>
          </w:p>
        </w:tc>
      </w:tr>
      <w:tr w:rsidR="00AB59C6" w:rsidRPr="006859F7" w14:paraId="137A47A3" w14:textId="77777777" w:rsidTr="00275174">
        <w:trPr>
          <w:jc w:val="right"/>
        </w:trPr>
        <w:tc>
          <w:tcPr>
            <w:tcW w:w="1809" w:type="dxa"/>
            <w:vAlign w:val="center"/>
          </w:tcPr>
          <w:p w14:paraId="6B75824F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2 Normas Técnicas</w:t>
            </w:r>
          </w:p>
        </w:tc>
        <w:tc>
          <w:tcPr>
            <w:tcW w:w="2127" w:type="dxa"/>
            <w:vAlign w:val="center"/>
          </w:tcPr>
          <w:p w14:paraId="16150F55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3.2 Análisis de Factibilidad</w:t>
            </w:r>
          </w:p>
        </w:tc>
        <w:tc>
          <w:tcPr>
            <w:tcW w:w="2126" w:type="dxa"/>
            <w:vAlign w:val="center"/>
          </w:tcPr>
          <w:p w14:paraId="40F9E275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Constancia de No Interferencia (CNI)</w:t>
            </w:r>
          </w:p>
        </w:tc>
        <w:tc>
          <w:tcPr>
            <w:tcW w:w="6407" w:type="dxa"/>
            <w:vMerge/>
            <w:vAlign w:val="center"/>
          </w:tcPr>
          <w:p w14:paraId="4D716D48" w14:textId="77777777" w:rsidR="00AB59C6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B59C6" w:rsidRPr="006859F7" w14:paraId="075CCDCC" w14:textId="77777777" w:rsidTr="00275174">
        <w:trPr>
          <w:jc w:val="right"/>
        </w:trPr>
        <w:tc>
          <w:tcPr>
            <w:tcW w:w="1809" w:type="dxa"/>
            <w:vAlign w:val="center"/>
          </w:tcPr>
          <w:p w14:paraId="551B01F1" w14:textId="77777777" w:rsidR="00AB59C6" w:rsidRPr="00462F1B" w:rsidRDefault="00AB59C6" w:rsidP="00AB59C6">
            <w:pPr>
              <w:rPr>
                <w:sz w:val="20"/>
                <w:szCs w:val="20"/>
              </w:rPr>
            </w:pPr>
            <w:r w:rsidRPr="00462F1B">
              <w:rPr>
                <w:sz w:val="20"/>
                <w:szCs w:val="20"/>
              </w:rPr>
              <w:t>Anexo 2 Normas Técnicas</w:t>
            </w:r>
          </w:p>
        </w:tc>
        <w:tc>
          <w:tcPr>
            <w:tcW w:w="2127" w:type="dxa"/>
            <w:vAlign w:val="center"/>
          </w:tcPr>
          <w:p w14:paraId="08267091" w14:textId="77777777" w:rsidR="00AB59C6" w:rsidRPr="00462F1B" w:rsidRDefault="00AB59C6" w:rsidP="00AB59C6">
            <w:pPr>
              <w:rPr>
                <w:sz w:val="20"/>
                <w:szCs w:val="20"/>
              </w:rPr>
            </w:pPr>
            <w:r w:rsidRPr="00462F1B">
              <w:rPr>
                <w:sz w:val="20"/>
                <w:szCs w:val="20"/>
              </w:rPr>
              <w:t>3.2 Análisis de Factibilidad</w:t>
            </w:r>
          </w:p>
        </w:tc>
        <w:tc>
          <w:tcPr>
            <w:tcW w:w="2126" w:type="dxa"/>
            <w:vAlign w:val="center"/>
          </w:tcPr>
          <w:p w14:paraId="45B92160" w14:textId="77777777" w:rsidR="00AB59C6" w:rsidRPr="00462F1B" w:rsidRDefault="00AB59C6" w:rsidP="00AB59C6">
            <w:pPr>
              <w:rPr>
                <w:sz w:val="20"/>
                <w:szCs w:val="20"/>
              </w:rPr>
            </w:pPr>
            <w:r w:rsidRPr="00462F1B">
              <w:rPr>
                <w:sz w:val="20"/>
                <w:szCs w:val="20"/>
              </w:rPr>
              <w:t>Análisis de Factibilidad</w:t>
            </w:r>
          </w:p>
        </w:tc>
        <w:tc>
          <w:tcPr>
            <w:tcW w:w="6407" w:type="dxa"/>
            <w:vAlign w:val="center"/>
          </w:tcPr>
          <w:p w14:paraId="6A422A47" w14:textId="545F73F9" w:rsidR="00AB59C6" w:rsidRPr="008F2AAA" w:rsidRDefault="00EA2EE2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  <w:highlight w:val="yellow"/>
              </w:rPr>
            </w:pPr>
            <w:r w:rsidRPr="00462F1B">
              <w:rPr>
                <w:rFonts w:ascii="Calibri" w:hAnsi="Calibri"/>
                <w:color w:val="000000"/>
                <w:sz w:val="20"/>
                <w:szCs w:val="20"/>
              </w:rPr>
              <w:t xml:space="preserve">Se </w:t>
            </w:r>
            <w:r w:rsidR="000D6DF8" w:rsidRPr="00462F1B">
              <w:rPr>
                <w:rFonts w:ascii="Calibri" w:hAnsi="Calibri"/>
                <w:color w:val="000000"/>
                <w:sz w:val="20"/>
                <w:szCs w:val="20"/>
              </w:rPr>
              <w:t>elimina</w:t>
            </w:r>
            <w:r w:rsidR="00AB59C6" w:rsidRPr="00462F1B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0D6DF8" w:rsidRPr="00462F1B">
              <w:rPr>
                <w:rFonts w:ascii="Calibri" w:hAnsi="Calibri"/>
                <w:color w:val="000000"/>
                <w:sz w:val="20"/>
                <w:szCs w:val="20"/>
              </w:rPr>
              <w:t xml:space="preserve">en </w:t>
            </w:r>
            <w:r w:rsidR="00AB59C6" w:rsidRPr="00462F1B">
              <w:rPr>
                <w:rFonts w:ascii="Calibri" w:hAnsi="Calibri"/>
                <w:color w:val="000000"/>
                <w:sz w:val="20"/>
                <w:szCs w:val="20"/>
              </w:rPr>
              <w:t>este apartado</w:t>
            </w:r>
            <w:ins w:id="1" w:author="Mario Berganza Echebarrena" w:date="2021-07-16T11:44:00Z">
              <w:r w:rsidR="000D6DF8" w:rsidRPr="00462F1B">
                <w:rPr>
                  <w:rFonts w:ascii="Calibri" w:hAnsi="Calibri"/>
                  <w:color w:val="000000"/>
                  <w:sz w:val="20"/>
                  <w:szCs w:val="20"/>
                </w:rPr>
                <w:t>,</w:t>
              </w:r>
            </w:ins>
            <w:r w:rsidR="00AB59C6" w:rsidRPr="00462F1B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0D6DF8" w:rsidRPr="00462F1B">
              <w:rPr>
                <w:rFonts w:ascii="Calibri" w:hAnsi="Calibri"/>
                <w:color w:val="000000"/>
                <w:sz w:val="20"/>
                <w:szCs w:val="20"/>
              </w:rPr>
              <w:t>y en general en la Oferta, cualquier mención</w:t>
            </w:r>
            <w:r w:rsidR="00AB59C6" w:rsidRPr="00462F1B">
              <w:rPr>
                <w:rFonts w:ascii="Calibri" w:hAnsi="Calibri"/>
                <w:color w:val="000000"/>
                <w:sz w:val="20"/>
                <w:szCs w:val="20"/>
              </w:rPr>
              <w:t xml:space="preserve"> a </w:t>
            </w:r>
            <w:r w:rsidR="000D6DF8" w:rsidRPr="00462F1B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="00AB59C6" w:rsidRPr="00462F1B">
              <w:rPr>
                <w:rFonts w:ascii="Calibri" w:hAnsi="Calibri"/>
                <w:color w:val="000000"/>
                <w:sz w:val="20"/>
                <w:szCs w:val="20"/>
              </w:rPr>
              <w:t xml:space="preserve">nálisis </w:t>
            </w:r>
            <w:r w:rsidR="000D6DF8" w:rsidRPr="00462F1B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r w:rsidR="00AB59C6" w:rsidRPr="00462F1B">
              <w:rPr>
                <w:rFonts w:ascii="Calibri" w:hAnsi="Calibri"/>
                <w:color w:val="000000"/>
                <w:sz w:val="20"/>
                <w:szCs w:val="20"/>
              </w:rPr>
              <w:t>structural</w:t>
            </w:r>
            <w:r w:rsidR="000D6DF8" w:rsidRPr="00462F1B">
              <w:rPr>
                <w:rFonts w:ascii="Calibri" w:hAnsi="Calibri"/>
                <w:color w:val="000000"/>
                <w:sz w:val="20"/>
                <w:szCs w:val="20"/>
              </w:rPr>
              <w:t xml:space="preserve">, pues en aras de evitar confusión ahora simplemente se homologa el término “Elaboración de Proyecto y Presupuesto”, utilizado en </w:t>
            </w:r>
            <w:r w:rsidR="000D6DF8" w:rsidRPr="000D6DF8">
              <w:rPr>
                <w:rFonts w:ascii="Calibri" w:hAnsi="Calibri"/>
                <w:color w:val="000000"/>
                <w:sz w:val="20"/>
                <w:szCs w:val="20"/>
              </w:rPr>
              <w:t>las Ofertas de los otros sujetos obligados a prestar el servicio de Acceso y Uso Compartido de Infraestructura Pasiva</w:t>
            </w:r>
            <w:r w:rsidR="000D6DF8" w:rsidRPr="00637354">
              <w:rPr>
                <w:rFonts w:ascii="Calibri" w:hAnsi="Calibri"/>
                <w:color w:val="000000"/>
                <w:sz w:val="20"/>
                <w:szCs w:val="20"/>
              </w:rPr>
              <w:t xml:space="preserve"> previamente autorizadas</w:t>
            </w:r>
            <w:r w:rsidR="000D6DF8" w:rsidRPr="000D6DF8">
              <w:rPr>
                <w:rFonts w:ascii="Calibri" w:hAnsi="Calibri"/>
                <w:color w:val="000000"/>
                <w:sz w:val="20"/>
                <w:szCs w:val="20"/>
              </w:rPr>
              <w:t xml:space="preserve"> por el Instituto.</w:t>
            </w:r>
          </w:p>
        </w:tc>
      </w:tr>
      <w:tr w:rsidR="00AB59C6" w:rsidRPr="006859F7" w14:paraId="208FBB4D" w14:textId="77777777" w:rsidTr="00275174">
        <w:trPr>
          <w:jc w:val="right"/>
        </w:trPr>
        <w:tc>
          <w:tcPr>
            <w:tcW w:w="1809" w:type="dxa"/>
            <w:vAlign w:val="center"/>
          </w:tcPr>
          <w:p w14:paraId="0E4FC316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2 Normas Técnicas</w:t>
            </w:r>
          </w:p>
        </w:tc>
        <w:tc>
          <w:tcPr>
            <w:tcW w:w="2127" w:type="dxa"/>
            <w:vAlign w:val="center"/>
          </w:tcPr>
          <w:p w14:paraId="24FBCA68" w14:textId="77777777" w:rsidR="00AB59C6" w:rsidRPr="00E12630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 Planeación de Frecuencias</w:t>
            </w:r>
          </w:p>
        </w:tc>
        <w:tc>
          <w:tcPr>
            <w:tcW w:w="2126" w:type="dxa"/>
            <w:vMerge w:val="restart"/>
            <w:vAlign w:val="center"/>
          </w:tcPr>
          <w:p w14:paraId="6A90C016" w14:textId="77777777" w:rsidR="00AB59C6" w:rsidRPr="00AC001B" w:rsidRDefault="00AB59C6" w:rsidP="00AB59C6">
            <w:pPr>
              <w:rPr>
                <w:sz w:val="20"/>
                <w:szCs w:val="20"/>
              </w:rPr>
            </w:pPr>
            <w:r w:rsidRPr="00AC001B">
              <w:rPr>
                <w:sz w:val="20"/>
                <w:szCs w:val="20"/>
              </w:rPr>
              <w:t>Elaboración del Análisis de Frecuencias</w:t>
            </w:r>
          </w:p>
        </w:tc>
        <w:tc>
          <w:tcPr>
            <w:tcW w:w="6407" w:type="dxa"/>
            <w:vMerge w:val="restart"/>
            <w:vAlign w:val="center"/>
          </w:tcPr>
          <w:p w14:paraId="4E25F0B2" w14:textId="77777777" w:rsidR="00AB59C6" w:rsidRPr="00AC001B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AC001B">
              <w:rPr>
                <w:rFonts w:ascii="Calibri" w:hAnsi="Calibri"/>
                <w:color w:val="000000"/>
                <w:sz w:val="20"/>
                <w:szCs w:val="20"/>
              </w:rPr>
              <w:t>Se solicita eliminar esta información debido a que lo estipulado en los “Lineamientos</w:t>
            </w:r>
            <w:r w:rsidRPr="00AC001B">
              <w:t xml:space="preserve"> </w:t>
            </w:r>
            <w:r w:rsidRPr="00AC001B">
              <w:rPr>
                <w:rFonts w:ascii="Calibri" w:hAnsi="Calibri"/>
                <w:color w:val="000000"/>
                <w:sz w:val="20"/>
                <w:szCs w:val="20"/>
              </w:rPr>
              <w:t>para el registro de Radioenlaces fijos en el Sistema Integral de Administración del Espectro Radioeléctrico”</w:t>
            </w:r>
          </w:p>
        </w:tc>
      </w:tr>
      <w:tr w:rsidR="00AB59C6" w:rsidRPr="006859F7" w14:paraId="72AD6071" w14:textId="77777777" w:rsidTr="00275174">
        <w:trPr>
          <w:jc w:val="right"/>
        </w:trPr>
        <w:tc>
          <w:tcPr>
            <w:tcW w:w="1809" w:type="dxa"/>
            <w:vAlign w:val="center"/>
          </w:tcPr>
          <w:p w14:paraId="45113C42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2 Normas Técnicas</w:t>
            </w:r>
          </w:p>
        </w:tc>
        <w:tc>
          <w:tcPr>
            <w:tcW w:w="2127" w:type="dxa"/>
            <w:vAlign w:val="center"/>
          </w:tcPr>
          <w:p w14:paraId="41418E29" w14:textId="77777777" w:rsidR="00AB59C6" w:rsidRPr="00E12630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Poligonal del Enlace</w:t>
            </w:r>
          </w:p>
        </w:tc>
        <w:tc>
          <w:tcPr>
            <w:tcW w:w="2126" w:type="dxa"/>
            <w:vMerge/>
            <w:vAlign w:val="center"/>
          </w:tcPr>
          <w:p w14:paraId="0AF7A11A" w14:textId="77777777" w:rsidR="00AB59C6" w:rsidRDefault="00AB59C6" w:rsidP="00AB59C6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vMerge/>
            <w:vAlign w:val="center"/>
          </w:tcPr>
          <w:p w14:paraId="58EC0CA1" w14:textId="77777777" w:rsidR="00AB59C6" w:rsidRPr="00E12630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B59C6" w:rsidRPr="006859F7" w14:paraId="07B3B481" w14:textId="77777777" w:rsidTr="00275174">
        <w:trPr>
          <w:jc w:val="right"/>
        </w:trPr>
        <w:tc>
          <w:tcPr>
            <w:tcW w:w="1809" w:type="dxa"/>
            <w:vAlign w:val="center"/>
          </w:tcPr>
          <w:p w14:paraId="0059B4BC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2 Normas Técnicas</w:t>
            </w:r>
          </w:p>
        </w:tc>
        <w:tc>
          <w:tcPr>
            <w:tcW w:w="2127" w:type="dxa"/>
            <w:vAlign w:val="center"/>
          </w:tcPr>
          <w:p w14:paraId="0C773025" w14:textId="77777777" w:rsidR="00AB59C6" w:rsidRPr="00E12630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 Datos Técnicos de equipos de Radios y Antenas</w:t>
            </w:r>
          </w:p>
        </w:tc>
        <w:tc>
          <w:tcPr>
            <w:tcW w:w="2126" w:type="dxa"/>
            <w:vMerge/>
            <w:vAlign w:val="center"/>
          </w:tcPr>
          <w:p w14:paraId="537EB67C" w14:textId="77777777" w:rsidR="00AB59C6" w:rsidRDefault="00AB59C6" w:rsidP="00AB59C6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vMerge/>
            <w:vAlign w:val="center"/>
          </w:tcPr>
          <w:p w14:paraId="3F2BA05C" w14:textId="77777777" w:rsidR="00AB59C6" w:rsidRPr="00E12630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B59C6" w:rsidRPr="006859F7" w14:paraId="0605719E" w14:textId="77777777" w:rsidTr="00275174">
        <w:trPr>
          <w:trHeight w:val="177"/>
          <w:jc w:val="right"/>
        </w:trPr>
        <w:tc>
          <w:tcPr>
            <w:tcW w:w="1809" w:type="dxa"/>
            <w:vAlign w:val="center"/>
          </w:tcPr>
          <w:p w14:paraId="14206C7E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2 Normas Técnicas</w:t>
            </w:r>
          </w:p>
        </w:tc>
        <w:tc>
          <w:tcPr>
            <w:tcW w:w="2127" w:type="dxa"/>
            <w:vAlign w:val="center"/>
          </w:tcPr>
          <w:p w14:paraId="3AEED705" w14:textId="77777777" w:rsidR="00AB59C6" w:rsidRPr="00E12630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 Análisis de Frecuencia</w:t>
            </w:r>
          </w:p>
        </w:tc>
        <w:tc>
          <w:tcPr>
            <w:tcW w:w="2126" w:type="dxa"/>
            <w:vMerge/>
            <w:vAlign w:val="center"/>
          </w:tcPr>
          <w:p w14:paraId="77BBABF6" w14:textId="77777777" w:rsidR="00AB59C6" w:rsidRDefault="00AB59C6" w:rsidP="00AB59C6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vMerge/>
            <w:vAlign w:val="center"/>
          </w:tcPr>
          <w:p w14:paraId="75C0F1B4" w14:textId="77777777" w:rsidR="00AB59C6" w:rsidRPr="00E12630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B59C6" w:rsidRPr="006859F7" w14:paraId="64AB2EA3" w14:textId="77777777" w:rsidTr="00275174">
        <w:trPr>
          <w:jc w:val="right"/>
        </w:trPr>
        <w:tc>
          <w:tcPr>
            <w:tcW w:w="1809" w:type="dxa"/>
            <w:vAlign w:val="center"/>
          </w:tcPr>
          <w:p w14:paraId="19E46B2E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4 Parámetro e Indicadores de los niveles de Calidad y Penas Convencionales</w:t>
            </w:r>
          </w:p>
        </w:tc>
        <w:tc>
          <w:tcPr>
            <w:tcW w:w="2127" w:type="dxa"/>
            <w:vAlign w:val="center"/>
          </w:tcPr>
          <w:p w14:paraId="6AF080B3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E12630">
              <w:rPr>
                <w:sz w:val="20"/>
                <w:szCs w:val="20"/>
              </w:rPr>
              <w:t>2.2 Servicio de Acceso y Uso Compartido de Torres. (Contratación)</w:t>
            </w:r>
          </w:p>
        </w:tc>
        <w:tc>
          <w:tcPr>
            <w:tcW w:w="2126" w:type="dxa"/>
            <w:vAlign w:val="center"/>
          </w:tcPr>
          <w:p w14:paraId="27864DB0" w14:textId="00B0CDDB" w:rsidR="00AB59C6" w:rsidRPr="006859F7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Cambio de </w:t>
            </w:r>
            <w:r w:rsidR="00462F1B">
              <w:rPr>
                <w:sz w:val="20"/>
                <w:szCs w:val="20"/>
              </w:rPr>
              <w:t xml:space="preserve">término </w:t>
            </w:r>
            <w:r w:rsidR="00462F1B" w:rsidRPr="00E12630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 xml:space="preserve">EM (Empresa Mayorista)" por el </w:t>
            </w:r>
            <w:r w:rsidRPr="00E12630">
              <w:rPr>
                <w:sz w:val="20"/>
                <w:szCs w:val="20"/>
              </w:rPr>
              <w:t>término "DM (División Mayorista).</w:t>
            </w:r>
          </w:p>
        </w:tc>
        <w:tc>
          <w:tcPr>
            <w:tcW w:w="6407" w:type="dxa"/>
            <w:vAlign w:val="center"/>
          </w:tcPr>
          <w:p w14:paraId="665F19C0" w14:textId="77777777" w:rsidR="00AB59C6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E12630">
              <w:rPr>
                <w:rFonts w:ascii="Calibri" w:hAnsi="Calibri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solicita cambiar el término de EM a DM,</w:t>
            </w:r>
            <w:r w:rsidRPr="00E12630">
              <w:rPr>
                <w:rFonts w:ascii="Calibri" w:hAnsi="Calibri"/>
                <w:color w:val="000000"/>
                <w:sz w:val="20"/>
                <w:szCs w:val="20"/>
              </w:rPr>
              <w:t xml:space="preserve"> de acuerdo a los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servicios a cargo de Telmex y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Telnor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por virtud de</w:t>
            </w:r>
            <w:r w:rsidRPr="00E12630">
              <w:rPr>
                <w:rFonts w:ascii="Calibri" w:hAnsi="Calibri"/>
                <w:color w:val="000000"/>
                <w:sz w:val="20"/>
                <w:szCs w:val="20"/>
              </w:rPr>
              <w:t xml:space="preserve"> la Separación Funcional</w:t>
            </w:r>
            <w:r w:rsidR="00227701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  <w:p w14:paraId="696BB928" w14:textId="77777777" w:rsidR="00227701" w:rsidRPr="006859F7" w:rsidRDefault="008F2AAA" w:rsidP="008F2AAA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Adicionalmente s</w:t>
            </w:r>
            <w:r w:rsidR="00227701">
              <w:rPr>
                <w:rFonts w:ascii="Calibri" w:hAnsi="Calibri"/>
                <w:color w:val="000000"/>
                <w:sz w:val="20"/>
                <w:szCs w:val="20"/>
              </w:rPr>
              <w:t xml:space="preserve">e solicita incorporar los plazos para los Proyectos y Presupuesto, </w:t>
            </w:r>
            <w:r w:rsidRPr="008F2AAA">
              <w:rPr>
                <w:rFonts w:ascii="Calibri" w:hAnsi="Calibri"/>
                <w:color w:val="000000"/>
                <w:sz w:val="20"/>
                <w:szCs w:val="20"/>
              </w:rPr>
              <w:t>simplemente para homologar los procedimientos para llevar a cabo los trabajos especiales de Adecuación de Sitio, Recuperación de Espacio y/o despliegue de nueva Obra Civil, con los autorizados previamente por el Instituto en las Ofertas de los otros sujetos obligados a prestar el servicio de Acceso y Uso Compartido de Infraestructura Pasiva.</w:t>
            </w:r>
          </w:p>
        </w:tc>
      </w:tr>
      <w:tr w:rsidR="00AB59C6" w:rsidRPr="006859F7" w14:paraId="74772469" w14:textId="77777777" w:rsidTr="00275174">
        <w:trPr>
          <w:jc w:val="right"/>
        </w:trPr>
        <w:tc>
          <w:tcPr>
            <w:tcW w:w="1809" w:type="dxa"/>
            <w:vAlign w:val="center"/>
          </w:tcPr>
          <w:p w14:paraId="16290DC4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Anexo 5 Convenio Marco ORCI</w:t>
            </w:r>
          </w:p>
        </w:tc>
        <w:tc>
          <w:tcPr>
            <w:tcW w:w="2127" w:type="dxa"/>
            <w:vAlign w:val="center"/>
          </w:tcPr>
          <w:p w14:paraId="4001D6EB" w14:textId="77777777" w:rsidR="00AB59C6" w:rsidRPr="007D6A3B" w:rsidRDefault="00AB59C6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Duración del Convenio</w:t>
            </w:r>
          </w:p>
        </w:tc>
        <w:tc>
          <w:tcPr>
            <w:tcW w:w="2126" w:type="dxa"/>
            <w:vAlign w:val="center"/>
          </w:tcPr>
          <w:p w14:paraId="219ED07C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Año de vigencia</w:t>
            </w:r>
          </w:p>
        </w:tc>
        <w:tc>
          <w:tcPr>
            <w:tcW w:w="6407" w:type="dxa"/>
            <w:vAlign w:val="center"/>
          </w:tcPr>
          <w:p w14:paraId="64B0FA17" w14:textId="77777777" w:rsidR="00AB59C6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 solicita actualizar el año para el cual tendrá vigencia el presente convenio.</w:t>
            </w:r>
          </w:p>
        </w:tc>
      </w:tr>
      <w:tr w:rsidR="00AB59C6" w:rsidRPr="006859F7" w14:paraId="5E3FA2CE" w14:textId="77777777" w:rsidTr="00275174">
        <w:trPr>
          <w:jc w:val="right"/>
        </w:trPr>
        <w:tc>
          <w:tcPr>
            <w:tcW w:w="1809" w:type="dxa"/>
            <w:vAlign w:val="center"/>
          </w:tcPr>
          <w:p w14:paraId="19BCCB1B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Anexo 5 Convenio Marco ORCI</w:t>
            </w:r>
          </w:p>
        </w:tc>
        <w:tc>
          <w:tcPr>
            <w:tcW w:w="2127" w:type="dxa"/>
            <w:vAlign w:val="center"/>
          </w:tcPr>
          <w:p w14:paraId="7AC88121" w14:textId="77777777" w:rsidR="00AB59C6" w:rsidRPr="007D6A3B" w:rsidRDefault="00AB59C6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igésima</w:t>
            </w: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Q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uinta</w:t>
            </w: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>. 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uspensión de Medidas de</w:t>
            </w: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reponderancia</w:t>
            </w:r>
          </w:p>
        </w:tc>
        <w:tc>
          <w:tcPr>
            <w:tcW w:w="2126" w:type="dxa"/>
            <w:vAlign w:val="center"/>
          </w:tcPr>
          <w:p w14:paraId="790EC346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Identificación de Resolución de Medidas</w:t>
            </w:r>
          </w:p>
        </w:tc>
        <w:tc>
          <w:tcPr>
            <w:tcW w:w="6407" w:type="dxa"/>
            <w:vAlign w:val="center"/>
          </w:tcPr>
          <w:p w14:paraId="46665109" w14:textId="77777777" w:rsidR="00AB59C6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 solicita incluir la identificación de la Resolución de las Medidas Vigentes (</w:t>
            </w:r>
            <w:r w:rsidRPr="001D2A51">
              <w:rPr>
                <w:rFonts w:ascii="Calibri" w:hAnsi="Calibri"/>
                <w:color w:val="000000"/>
                <w:sz w:val="20"/>
                <w:szCs w:val="20"/>
              </w:rPr>
              <w:t>P/IFT/021220/488 del 2 de diciembre de 2020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</w:tr>
      <w:tr w:rsidR="00AB59C6" w:rsidRPr="006859F7" w14:paraId="7541278E" w14:textId="77777777" w:rsidTr="00275174">
        <w:trPr>
          <w:jc w:val="right"/>
        </w:trPr>
        <w:tc>
          <w:tcPr>
            <w:tcW w:w="1809" w:type="dxa"/>
            <w:vAlign w:val="center"/>
          </w:tcPr>
          <w:p w14:paraId="4A559F30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Anexo 5 Convenio Marco ORCI</w:t>
            </w:r>
          </w:p>
        </w:tc>
        <w:tc>
          <w:tcPr>
            <w:tcW w:w="2127" w:type="dxa"/>
            <w:vAlign w:val="center"/>
          </w:tcPr>
          <w:p w14:paraId="51C8D2EC" w14:textId="77777777" w:rsidR="00AB59C6" w:rsidRPr="007D6A3B" w:rsidRDefault="00AB59C6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igésima</w:t>
            </w: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Q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uinta</w:t>
            </w: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>. 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uspensión de Medidas de</w:t>
            </w:r>
            <w:r w:rsidRPr="001D2A5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reponderancia</w:t>
            </w:r>
          </w:p>
        </w:tc>
        <w:tc>
          <w:tcPr>
            <w:tcW w:w="2126" w:type="dxa"/>
            <w:vAlign w:val="center"/>
          </w:tcPr>
          <w:p w14:paraId="20508373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Año de vigencia</w:t>
            </w:r>
          </w:p>
        </w:tc>
        <w:tc>
          <w:tcPr>
            <w:tcW w:w="6407" w:type="dxa"/>
            <w:vAlign w:val="center"/>
          </w:tcPr>
          <w:p w14:paraId="4BCF92D7" w14:textId="77777777" w:rsidR="00AB59C6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 solicita actualizar el año para el cual tendrá vigencia el convenio.</w:t>
            </w:r>
          </w:p>
        </w:tc>
      </w:tr>
      <w:tr w:rsidR="00AB59C6" w:rsidRPr="006859F7" w14:paraId="04DB5EC0" w14:textId="77777777" w:rsidTr="00275174">
        <w:trPr>
          <w:jc w:val="right"/>
        </w:trPr>
        <w:tc>
          <w:tcPr>
            <w:tcW w:w="1809" w:type="dxa"/>
            <w:vAlign w:val="center"/>
          </w:tcPr>
          <w:p w14:paraId="5F97708A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6 Procedimientos de Contratación, Modificación</w:t>
            </w:r>
          </w:p>
        </w:tc>
        <w:tc>
          <w:tcPr>
            <w:tcW w:w="2127" w:type="dxa"/>
            <w:vAlign w:val="center"/>
          </w:tcPr>
          <w:p w14:paraId="4FC54502" w14:textId="77777777" w:rsidR="00AB59C6" w:rsidRDefault="00AB59C6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6A3B">
              <w:rPr>
                <w:rFonts w:ascii="Calibri" w:hAnsi="Calibri" w:cs="Calibri"/>
                <w:color w:val="000000"/>
                <w:sz w:val="20"/>
                <w:szCs w:val="20"/>
              </w:rPr>
              <w:t>Etapa 1: Consulta de información, envío y validación de la solicitud</w:t>
            </w:r>
          </w:p>
        </w:tc>
        <w:tc>
          <w:tcPr>
            <w:tcW w:w="2126" w:type="dxa"/>
            <w:vAlign w:val="center"/>
          </w:tcPr>
          <w:p w14:paraId="5DF546A0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Solicitud y Anteproyecto</w:t>
            </w:r>
          </w:p>
        </w:tc>
        <w:tc>
          <w:tcPr>
            <w:tcW w:w="6407" w:type="dxa"/>
            <w:vAlign w:val="center"/>
          </w:tcPr>
          <w:p w14:paraId="25A34D5B" w14:textId="77777777" w:rsidR="00AB59C6" w:rsidRPr="006859F7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Se solicita que se incluya que si el CS o AS al ingresar la </w:t>
            </w:r>
            <w:r w:rsidRPr="007D6A3B">
              <w:rPr>
                <w:rFonts w:ascii="Calibri" w:hAnsi="Calibri"/>
                <w:color w:val="000000"/>
                <w:sz w:val="20"/>
                <w:szCs w:val="20"/>
              </w:rPr>
              <w:t>solicitud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esta viene con el anteproyecto</w:t>
            </w:r>
            <w:r w:rsidRPr="007D6A3B">
              <w:rPr>
                <w:rFonts w:ascii="Calibri" w:hAnsi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también debe</w:t>
            </w:r>
            <w:r w:rsidRPr="007D6A3B">
              <w:rPr>
                <w:rFonts w:ascii="Calibri" w:hAnsi="Calibri"/>
                <w:color w:val="000000"/>
                <w:sz w:val="20"/>
                <w:szCs w:val="20"/>
              </w:rPr>
              <w:t xml:space="preserve"> estar contenida la Constancia de No Interferencia</w:t>
            </w:r>
          </w:p>
        </w:tc>
      </w:tr>
      <w:tr w:rsidR="00AB59C6" w:rsidRPr="006859F7" w14:paraId="2C0240D8" w14:textId="77777777" w:rsidTr="00275174">
        <w:trPr>
          <w:jc w:val="right"/>
        </w:trPr>
        <w:tc>
          <w:tcPr>
            <w:tcW w:w="1809" w:type="dxa"/>
            <w:vAlign w:val="center"/>
          </w:tcPr>
          <w:p w14:paraId="6ECE9230" w14:textId="77777777" w:rsidR="00AB59C6" w:rsidRPr="001F6B73" w:rsidRDefault="00AB59C6" w:rsidP="00AB59C6">
            <w:pPr>
              <w:rPr>
                <w:sz w:val="20"/>
                <w:szCs w:val="20"/>
              </w:rPr>
            </w:pPr>
            <w:r w:rsidRPr="001F6B73">
              <w:rPr>
                <w:sz w:val="20"/>
                <w:szCs w:val="20"/>
              </w:rPr>
              <w:t>Anexo 6 Procedimientos de Contratación, Modificación y Baja de Acceso y Uso Compartido de Infraestructura</w:t>
            </w:r>
          </w:p>
        </w:tc>
        <w:tc>
          <w:tcPr>
            <w:tcW w:w="2127" w:type="dxa"/>
            <w:vAlign w:val="center"/>
          </w:tcPr>
          <w:p w14:paraId="05CB1C40" w14:textId="77777777" w:rsidR="00AB59C6" w:rsidRPr="001F6B73" w:rsidRDefault="00AB59C6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F6B73">
              <w:rPr>
                <w:rFonts w:ascii="Calibri" w:hAnsi="Calibri" w:cs="Calibri"/>
                <w:color w:val="000000"/>
                <w:sz w:val="20"/>
                <w:szCs w:val="20"/>
              </w:rPr>
              <w:t>Etapa 2: Programación y realización de Visita Técnica</w:t>
            </w:r>
          </w:p>
        </w:tc>
        <w:tc>
          <w:tcPr>
            <w:tcW w:w="2126" w:type="dxa"/>
            <w:vAlign w:val="center"/>
          </w:tcPr>
          <w:p w14:paraId="5C076A70" w14:textId="77777777" w:rsidR="00AB59C6" w:rsidRPr="001F6B73" w:rsidRDefault="00AB59C6" w:rsidP="00AB59C6">
            <w:pPr>
              <w:rPr>
                <w:sz w:val="20"/>
                <w:szCs w:val="20"/>
              </w:rPr>
            </w:pPr>
            <w:r w:rsidRPr="001F6B73">
              <w:rPr>
                <w:sz w:val="20"/>
                <w:szCs w:val="20"/>
              </w:rPr>
              <w:t>El Análisis Estructural como resultado de la Visita Técnica</w:t>
            </w:r>
          </w:p>
        </w:tc>
        <w:tc>
          <w:tcPr>
            <w:tcW w:w="6407" w:type="dxa"/>
            <w:vAlign w:val="center"/>
          </w:tcPr>
          <w:p w14:paraId="238B2474" w14:textId="77777777" w:rsidR="00AB59C6" w:rsidRPr="001F6B73" w:rsidRDefault="001F6B73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  <w:highlight w:val="yellow"/>
              </w:rPr>
            </w:pPr>
            <w:r w:rsidRPr="001F6B73">
              <w:rPr>
                <w:rFonts w:ascii="Calibri" w:hAnsi="Calibri"/>
                <w:color w:val="000000"/>
                <w:sz w:val="20"/>
                <w:szCs w:val="20"/>
              </w:rPr>
              <w:t>Los cambios propuestos simplemente pretenden homologar los procedimientos para llevar a cabo los trabajos especiales de Adecuación de Sitio, Recuperación de Espacio y/o despliegue de nueva Obra Civil, con los autorizados previamente por el Instituto en las Ofertas de los otros sujetos obligados a prestar el servicio de Acceso y Uso Compartido de Infraestructura Pasiva</w:t>
            </w:r>
          </w:p>
        </w:tc>
      </w:tr>
      <w:tr w:rsidR="00AB59C6" w:rsidRPr="006859F7" w14:paraId="336BF32B" w14:textId="77777777" w:rsidTr="00275174">
        <w:trPr>
          <w:jc w:val="right"/>
        </w:trPr>
        <w:tc>
          <w:tcPr>
            <w:tcW w:w="1809" w:type="dxa"/>
            <w:vAlign w:val="center"/>
          </w:tcPr>
          <w:p w14:paraId="6D7E7BFA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6 Procedimientos de Contratación, Modificación y Baja de Acceso y Uso Compartido de Infraestructura</w:t>
            </w:r>
          </w:p>
        </w:tc>
        <w:tc>
          <w:tcPr>
            <w:tcW w:w="2127" w:type="dxa"/>
            <w:vAlign w:val="center"/>
          </w:tcPr>
          <w:p w14:paraId="28671A09" w14:textId="77777777" w:rsidR="00AB59C6" w:rsidRDefault="00AB59C6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04E7">
              <w:rPr>
                <w:rFonts w:ascii="Calibri" w:hAnsi="Calibri" w:cs="Calibri"/>
                <w:color w:val="000000"/>
                <w:sz w:val="20"/>
                <w:szCs w:val="20"/>
              </w:rPr>
              <w:t>Etapa 3: Elaboración de Anteproyecto</w:t>
            </w:r>
          </w:p>
        </w:tc>
        <w:tc>
          <w:tcPr>
            <w:tcW w:w="2126" w:type="dxa"/>
            <w:vAlign w:val="center"/>
          </w:tcPr>
          <w:p w14:paraId="165E9A9F" w14:textId="77777777" w:rsidR="00AB59C6" w:rsidRDefault="00AB59C6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Anteproyecto</w:t>
            </w:r>
          </w:p>
        </w:tc>
        <w:tc>
          <w:tcPr>
            <w:tcW w:w="6407" w:type="dxa"/>
            <w:vAlign w:val="center"/>
          </w:tcPr>
          <w:p w14:paraId="465E86F3" w14:textId="77777777" w:rsidR="00AB59C6" w:rsidRDefault="00AB59C6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 solicita incorporar que en la entrega del anteproyecto, se incluya la Constancia de No Interferencia</w:t>
            </w:r>
            <w:r w:rsidR="001F6B73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</w:tr>
      <w:tr w:rsidR="00AB59C6" w:rsidRPr="006859F7" w14:paraId="6214CB77" w14:textId="77777777" w:rsidTr="00275174">
        <w:trPr>
          <w:jc w:val="right"/>
        </w:trPr>
        <w:tc>
          <w:tcPr>
            <w:tcW w:w="1809" w:type="dxa"/>
            <w:vAlign w:val="center"/>
          </w:tcPr>
          <w:p w14:paraId="4F5C78C2" w14:textId="77777777" w:rsidR="00AB59C6" w:rsidRPr="006859F7" w:rsidRDefault="00AB59C6" w:rsidP="00AB59C6">
            <w:pPr>
              <w:rPr>
                <w:sz w:val="20"/>
                <w:szCs w:val="20"/>
              </w:rPr>
            </w:pPr>
            <w:r w:rsidRPr="006859F7">
              <w:rPr>
                <w:sz w:val="20"/>
                <w:szCs w:val="20"/>
              </w:rPr>
              <w:t>Anexo 6 Procedimientos de Contratación, Modificación y Baja de Acceso y Uso Compartido de Infraestructura</w:t>
            </w:r>
          </w:p>
        </w:tc>
        <w:tc>
          <w:tcPr>
            <w:tcW w:w="2127" w:type="dxa"/>
            <w:vAlign w:val="center"/>
          </w:tcPr>
          <w:p w14:paraId="299196E6" w14:textId="77777777" w:rsidR="00AB59C6" w:rsidRDefault="00AB59C6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Etapa 4 Análisis de Factibilidad</w:t>
            </w:r>
          </w:p>
        </w:tc>
        <w:tc>
          <w:tcPr>
            <w:tcW w:w="2126" w:type="dxa"/>
            <w:vAlign w:val="center"/>
          </w:tcPr>
          <w:p w14:paraId="5156C906" w14:textId="77777777" w:rsidR="00AB59C6" w:rsidRPr="006859F7" w:rsidRDefault="001F6B73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la Elaboración de Proyecto y Presupuesto</w:t>
            </w:r>
          </w:p>
        </w:tc>
        <w:tc>
          <w:tcPr>
            <w:tcW w:w="6407" w:type="dxa"/>
            <w:vAlign w:val="center"/>
          </w:tcPr>
          <w:p w14:paraId="096AD25C" w14:textId="77777777" w:rsidR="00AB59C6" w:rsidRPr="006859F7" w:rsidRDefault="001F6B73" w:rsidP="00AB59C6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t>L</w:t>
            </w:r>
            <w:r w:rsidRPr="001F6B73">
              <w:rPr>
                <w:rFonts w:ascii="Calibri" w:hAnsi="Calibri"/>
                <w:color w:val="000000"/>
                <w:sz w:val="20"/>
                <w:szCs w:val="20"/>
              </w:rPr>
              <w:t>os cambios propuestos simplemente pretenden homologar los procedimientos para llevar a cabo los trabajos especiales de Adecuación de Sitio, Recuperación de Espacio y/o despliegue de nueva Obra Civil, con los autorizados previamente por el Instituto en las Ofertas de los otros sujetos obligados a prestar el servicio de Acceso y Uso Compartido de Infraestructura Pasiva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</w:tr>
      <w:tr w:rsidR="00473EC0" w:rsidRPr="006859F7" w14:paraId="435AF13A" w14:textId="77777777" w:rsidTr="00275174">
        <w:trPr>
          <w:jc w:val="right"/>
        </w:trPr>
        <w:tc>
          <w:tcPr>
            <w:tcW w:w="1809" w:type="dxa"/>
            <w:vAlign w:val="center"/>
          </w:tcPr>
          <w:p w14:paraId="52CE8F56" w14:textId="77777777" w:rsidR="00473EC0" w:rsidRPr="006859F7" w:rsidRDefault="00473EC0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Anexo A Tarifas</w:t>
            </w:r>
          </w:p>
        </w:tc>
        <w:tc>
          <w:tcPr>
            <w:tcW w:w="2127" w:type="dxa"/>
            <w:vAlign w:val="center"/>
          </w:tcPr>
          <w:p w14:paraId="595DC0CA" w14:textId="77777777" w:rsidR="00473EC0" w:rsidRDefault="00473EC0" w:rsidP="00AB59C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Anexo A Tarifas</w:t>
            </w:r>
          </w:p>
        </w:tc>
        <w:tc>
          <w:tcPr>
            <w:tcW w:w="2126" w:type="dxa"/>
            <w:vAlign w:val="center"/>
          </w:tcPr>
          <w:p w14:paraId="7CB9EA75" w14:textId="77777777" w:rsidR="00473EC0" w:rsidRDefault="00473EC0" w:rsidP="00AB5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Tarifas</w:t>
            </w:r>
          </w:p>
        </w:tc>
        <w:tc>
          <w:tcPr>
            <w:tcW w:w="6407" w:type="dxa"/>
            <w:vAlign w:val="center"/>
          </w:tcPr>
          <w:p w14:paraId="03648BFC" w14:textId="77777777" w:rsidR="00473EC0" w:rsidRDefault="001F6B73" w:rsidP="001F6B73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Se homologa la estructura de los </w:t>
            </w:r>
            <w:r w:rsidRPr="001F6B73">
              <w:rPr>
                <w:rFonts w:ascii="Calibri" w:hAnsi="Calibri"/>
                <w:color w:val="000000"/>
                <w:sz w:val="20"/>
                <w:szCs w:val="20"/>
              </w:rPr>
              <w:t>otros sujetos obligados a prestar el servicio de Acceso y Uso Compartido de Infraestructura Pasiva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473EC0">
              <w:rPr>
                <w:rFonts w:ascii="Calibri" w:hAnsi="Calibri"/>
                <w:color w:val="000000"/>
                <w:sz w:val="20"/>
                <w:szCs w:val="20"/>
              </w:rPr>
              <w:t>tarifaria por zonas socioeconómicas y sus tarifas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</w:tr>
      <w:bookmarkEnd w:id="0"/>
    </w:tbl>
    <w:p w14:paraId="12E51E22" w14:textId="77777777" w:rsidR="00B160F6" w:rsidRPr="006859F7" w:rsidRDefault="00B160F6" w:rsidP="00B160F6">
      <w:pPr>
        <w:spacing w:after="0" w:line="240" w:lineRule="auto"/>
        <w:rPr>
          <w:sz w:val="20"/>
          <w:szCs w:val="20"/>
        </w:rPr>
      </w:pPr>
    </w:p>
    <w:p w14:paraId="7AC1AC94" w14:textId="77777777" w:rsidR="00B160F6" w:rsidRPr="006859F7" w:rsidRDefault="00B160F6" w:rsidP="00B160F6">
      <w:pPr>
        <w:spacing w:after="0" w:line="240" w:lineRule="auto"/>
        <w:rPr>
          <w:sz w:val="20"/>
          <w:szCs w:val="20"/>
        </w:rPr>
      </w:pPr>
    </w:p>
    <w:p w14:paraId="7306ACBD" w14:textId="77777777" w:rsidR="00B160F6" w:rsidRPr="006859F7" w:rsidRDefault="00B160F6" w:rsidP="00B160F6">
      <w:pPr>
        <w:spacing w:after="0" w:line="240" w:lineRule="auto"/>
        <w:rPr>
          <w:sz w:val="20"/>
          <w:szCs w:val="20"/>
        </w:rPr>
      </w:pPr>
    </w:p>
    <w:sectPr w:rsidR="00B160F6" w:rsidRPr="006859F7" w:rsidSect="00CA005C"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F0B9" w16cex:dateUtc="2021-07-16T16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B58A38" w16cid:durableId="249BF0B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o Berganza Echebarrena">
    <w15:presenceInfo w15:providerId="AD" w15:userId="S::mario.berganza@americamovil.com::45c788f8-903d-4c71-aa6f-45feb9a3d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F6"/>
    <w:rsid w:val="00070025"/>
    <w:rsid w:val="000868A5"/>
    <w:rsid w:val="000D6DF8"/>
    <w:rsid w:val="000F66FA"/>
    <w:rsid w:val="001B0860"/>
    <w:rsid w:val="001D2A51"/>
    <w:rsid w:val="001F4AB0"/>
    <w:rsid w:val="001F6B73"/>
    <w:rsid w:val="00227701"/>
    <w:rsid w:val="00275174"/>
    <w:rsid w:val="002A73B4"/>
    <w:rsid w:val="002D0AAF"/>
    <w:rsid w:val="00354134"/>
    <w:rsid w:val="00396131"/>
    <w:rsid w:val="00462F1B"/>
    <w:rsid w:val="00473EC0"/>
    <w:rsid w:val="0048426C"/>
    <w:rsid w:val="004A1091"/>
    <w:rsid w:val="004B41EC"/>
    <w:rsid w:val="004D35B8"/>
    <w:rsid w:val="005A4FB2"/>
    <w:rsid w:val="00637354"/>
    <w:rsid w:val="006859F7"/>
    <w:rsid w:val="00732AD7"/>
    <w:rsid w:val="007D6A3B"/>
    <w:rsid w:val="007E21FD"/>
    <w:rsid w:val="00812718"/>
    <w:rsid w:val="008F2AAA"/>
    <w:rsid w:val="009C71C7"/>
    <w:rsid w:val="00AB59C6"/>
    <w:rsid w:val="00AC001B"/>
    <w:rsid w:val="00AE1F43"/>
    <w:rsid w:val="00B160F6"/>
    <w:rsid w:val="00B37251"/>
    <w:rsid w:val="00B40471"/>
    <w:rsid w:val="00B904E7"/>
    <w:rsid w:val="00BA34FF"/>
    <w:rsid w:val="00BC0C0C"/>
    <w:rsid w:val="00BC4A7A"/>
    <w:rsid w:val="00C818EB"/>
    <w:rsid w:val="00C864E2"/>
    <w:rsid w:val="00C86AE1"/>
    <w:rsid w:val="00CA005C"/>
    <w:rsid w:val="00CE5B5B"/>
    <w:rsid w:val="00CF548B"/>
    <w:rsid w:val="00D83F83"/>
    <w:rsid w:val="00DC6D1E"/>
    <w:rsid w:val="00DF047F"/>
    <w:rsid w:val="00E12630"/>
    <w:rsid w:val="00E96FE6"/>
    <w:rsid w:val="00EA2EE2"/>
    <w:rsid w:val="00EE18CA"/>
    <w:rsid w:val="00F149DF"/>
    <w:rsid w:val="00F33585"/>
    <w:rsid w:val="00FA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166A0"/>
  <w15:docId w15:val="{B412C55A-A08B-49C3-AAA2-B1B8C040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8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32AD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F6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6F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149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49D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49D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49D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49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7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</Company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dspena</dc:creator>
  <cp:lastModifiedBy>Brambila Chagollán Carlos Alberto</cp:lastModifiedBy>
  <cp:revision>3</cp:revision>
  <dcterms:created xsi:type="dcterms:W3CDTF">2021-07-16T17:00:00Z</dcterms:created>
  <dcterms:modified xsi:type="dcterms:W3CDTF">2021-07-16T17:06:00Z</dcterms:modified>
</cp:coreProperties>
</file>