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B58F8" w14:textId="77777777" w:rsidR="00A878D9" w:rsidRPr="00730154" w:rsidRDefault="00A878D9" w:rsidP="00730154">
      <w:pPr>
        <w:spacing w:before="120" w:after="120" w:line="23" w:lineRule="atLeast"/>
        <w:jc w:val="right"/>
        <w:rPr>
          <w:rFonts w:ascii="Arial" w:hAnsi="Arial" w:cs="Arial"/>
          <w:b/>
          <w:bCs/>
        </w:rPr>
      </w:pPr>
      <w:bookmarkStart w:id="0" w:name="_Hlk80870609"/>
      <w:r w:rsidRPr="00730154">
        <w:rPr>
          <w:rFonts w:ascii="Arial" w:hAnsi="Arial" w:cs="Arial"/>
          <w:b/>
          <w:bCs/>
        </w:rPr>
        <w:t>Instituto Federal de Telecomunicaciones</w:t>
      </w:r>
    </w:p>
    <w:p w14:paraId="5650F616" w14:textId="009C192E" w:rsidR="00A878D9" w:rsidRDefault="00A878D9" w:rsidP="00730154">
      <w:pPr>
        <w:spacing w:before="120" w:after="120" w:line="23" w:lineRule="atLeast"/>
        <w:jc w:val="right"/>
        <w:rPr>
          <w:rFonts w:ascii="Arial" w:hAnsi="Arial" w:cs="Arial"/>
          <w:b/>
          <w:bCs/>
        </w:rPr>
      </w:pPr>
      <w:r w:rsidRPr="00730154">
        <w:rPr>
          <w:rFonts w:ascii="Arial" w:hAnsi="Arial" w:cs="Arial"/>
          <w:b/>
          <w:bCs/>
        </w:rPr>
        <w:t>Unida</w:t>
      </w:r>
      <w:r w:rsidR="00C22270">
        <w:rPr>
          <w:rFonts w:ascii="Arial" w:hAnsi="Arial" w:cs="Arial"/>
          <w:b/>
          <w:bCs/>
        </w:rPr>
        <w:t>d</w:t>
      </w:r>
      <w:r w:rsidRPr="00730154">
        <w:rPr>
          <w:rFonts w:ascii="Arial" w:hAnsi="Arial" w:cs="Arial"/>
          <w:b/>
          <w:bCs/>
        </w:rPr>
        <w:t xml:space="preserve"> de Competencia Económica</w:t>
      </w:r>
    </w:p>
    <w:p w14:paraId="7F7EA59E" w14:textId="38A4A02B" w:rsidR="00C22270" w:rsidRDefault="00C22270" w:rsidP="00730154">
      <w:pPr>
        <w:spacing w:before="120" w:after="120" w:line="23" w:lineRule="atLeast"/>
        <w:jc w:val="right"/>
        <w:rPr>
          <w:rFonts w:ascii="Arial" w:hAnsi="Arial" w:cs="Arial"/>
          <w:b/>
          <w:bCs/>
        </w:rPr>
      </w:pPr>
    </w:p>
    <w:p w14:paraId="1EA16F82" w14:textId="66526FE2" w:rsidR="00C22270" w:rsidRPr="00730154" w:rsidRDefault="00932D2E" w:rsidP="00730154">
      <w:pPr>
        <w:spacing w:before="120" w:after="120" w:line="23" w:lineRule="atLeast"/>
        <w:jc w:val="right"/>
        <w:rPr>
          <w:rFonts w:ascii="Arial" w:hAnsi="Arial" w:cs="Arial"/>
          <w:b/>
          <w:bCs/>
        </w:rPr>
      </w:pPr>
      <w:r>
        <w:rPr>
          <w:rFonts w:ascii="Arial" w:hAnsi="Arial" w:cs="Arial"/>
          <w:b/>
          <w:bCs/>
        </w:rPr>
        <w:t>28</w:t>
      </w:r>
      <w:r w:rsidR="00C22270">
        <w:rPr>
          <w:rFonts w:ascii="Arial" w:hAnsi="Arial" w:cs="Arial"/>
          <w:b/>
          <w:bCs/>
        </w:rPr>
        <w:t xml:space="preserve"> de septiembre de 2021</w:t>
      </w:r>
    </w:p>
    <w:p w14:paraId="63799D8D" w14:textId="77777777" w:rsidR="00A878D9" w:rsidRPr="00730154" w:rsidRDefault="00A878D9" w:rsidP="00730154">
      <w:pPr>
        <w:spacing w:before="120" w:after="120" w:line="23" w:lineRule="atLeast"/>
        <w:jc w:val="both"/>
        <w:rPr>
          <w:rFonts w:ascii="Arial" w:hAnsi="Arial" w:cs="Arial"/>
          <w:b/>
          <w:bCs/>
        </w:rPr>
      </w:pPr>
    </w:p>
    <w:p w14:paraId="3714D97C" w14:textId="6741B442" w:rsidR="00B9227A" w:rsidRDefault="00B9227A" w:rsidP="00730154">
      <w:pPr>
        <w:spacing w:before="120" w:after="120" w:line="23" w:lineRule="atLeast"/>
        <w:jc w:val="both"/>
        <w:rPr>
          <w:rFonts w:ascii="Arial" w:hAnsi="Arial" w:cs="Arial"/>
          <w:b/>
          <w:bCs/>
        </w:rPr>
      </w:pPr>
      <w:r w:rsidRPr="00730154">
        <w:rPr>
          <w:rFonts w:ascii="Arial" w:hAnsi="Arial" w:cs="Arial"/>
          <w:b/>
          <w:bCs/>
        </w:rPr>
        <w:t xml:space="preserve">INFORME </w:t>
      </w:r>
      <w:r w:rsidR="002251D4" w:rsidRPr="00730154">
        <w:rPr>
          <w:rFonts w:ascii="Arial" w:hAnsi="Arial" w:cs="Arial"/>
          <w:b/>
          <w:bCs/>
        </w:rPr>
        <w:t>q</w:t>
      </w:r>
      <w:r w:rsidRPr="00730154">
        <w:rPr>
          <w:rFonts w:ascii="Arial" w:hAnsi="Arial" w:cs="Arial"/>
          <w:b/>
          <w:bCs/>
        </w:rPr>
        <w:t xml:space="preserve">ue presenta </w:t>
      </w:r>
      <w:r w:rsidR="00C22270">
        <w:rPr>
          <w:rFonts w:ascii="Arial" w:hAnsi="Arial" w:cs="Arial"/>
          <w:b/>
          <w:bCs/>
        </w:rPr>
        <w:t xml:space="preserve">la Unidad de Competencia Económica respecto a </w:t>
      </w:r>
      <w:r w:rsidR="00CA3EE4" w:rsidRPr="00730154">
        <w:rPr>
          <w:rFonts w:ascii="Arial" w:hAnsi="Arial" w:cs="Arial"/>
          <w:b/>
          <w:bCs/>
        </w:rPr>
        <w:t>los comentarios</w:t>
      </w:r>
      <w:r w:rsidR="00C22270">
        <w:rPr>
          <w:rFonts w:ascii="Arial" w:hAnsi="Arial" w:cs="Arial"/>
          <w:b/>
          <w:bCs/>
        </w:rPr>
        <w:t>, opiniones y aportaciones</w:t>
      </w:r>
      <w:r w:rsidR="00CA3EE4" w:rsidRPr="00730154">
        <w:rPr>
          <w:rFonts w:ascii="Arial" w:hAnsi="Arial" w:cs="Arial"/>
          <w:b/>
          <w:bCs/>
        </w:rPr>
        <w:t xml:space="preserve"> recibidos durante</w:t>
      </w:r>
      <w:r w:rsidRPr="00730154">
        <w:rPr>
          <w:rFonts w:ascii="Arial" w:hAnsi="Arial" w:cs="Arial"/>
          <w:b/>
          <w:bCs/>
        </w:rPr>
        <w:t xml:space="preserve"> la consulta pública del </w:t>
      </w:r>
      <w:r w:rsidR="00326F2D" w:rsidRPr="00730154">
        <w:rPr>
          <w:rFonts w:ascii="Arial" w:hAnsi="Arial" w:cs="Arial"/>
          <w:b/>
          <w:bCs/>
        </w:rPr>
        <w:t>“</w:t>
      </w:r>
      <w:r w:rsidR="00326F2D" w:rsidRPr="00730154">
        <w:rPr>
          <w:rFonts w:ascii="Arial" w:hAnsi="Arial" w:cs="Arial"/>
          <w:b/>
          <w:bCs/>
          <w:i/>
          <w:iCs/>
        </w:rPr>
        <w:t>Anteproyecto de Guía para la determinación de multas en materia de competencia económica en los sectores de telecomunicaciones y radiodifusión</w:t>
      </w:r>
      <w:r w:rsidR="00326F2D" w:rsidRPr="00730154">
        <w:rPr>
          <w:rFonts w:ascii="Arial" w:hAnsi="Arial" w:cs="Arial"/>
          <w:b/>
          <w:bCs/>
        </w:rPr>
        <w:t>”</w:t>
      </w:r>
      <w:r w:rsidR="00CA3EE4" w:rsidRPr="00730154">
        <w:rPr>
          <w:rFonts w:ascii="Arial" w:hAnsi="Arial" w:cs="Arial"/>
          <w:b/>
          <w:bCs/>
        </w:rPr>
        <w:t xml:space="preserve">, así como </w:t>
      </w:r>
      <w:r w:rsidR="00CA3EE4" w:rsidRPr="00C22270">
        <w:rPr>
          <w:rFonts w:ascii="Arial" w:hAnsi="Arial" w:cs="Arial"/>
          <w:b/>
          <w:bCs/>
        </w:rPr>
        <w:t>consideraciones a los mismos</w:t>
      </w:r>
      <w:r w:rsidR="00C22270" w:rsidRPr="00C22270">
        <w:rPr>
          <w:rFonts w:ascii="Arial" w:hAnsi="Arial" w:cs="Arial"/>
          <w:b/>
          <w:bCs/>
        </w:rPr>
        <w:t xml:space="preserve"> (Informe de Consideraciones)</w:t>
      </w:r>
      <w:r w:rsidRPr="00C22270">
        <w:rPr>
          <w:rFonts w:ascii="Arial" w:hAnsi="Arial" w:cs="Arial"/>
          <w:b/>
          <w:bCs/>
        </w:rPr>
        <w:t>.</w:t>
      </w:r>
    </w:p>
    <w:p w14:paraId="33E34A71" w14:textId="77777777" w:rsidR="00CE291A" w:rsidRPr="00730154" w:rsidRDefault="00CE291A" w:rsidP="00730154">
      <w:pPr>
        <w:spacing w:before="120" w:after="120" w:line="23" w:lineRule="atLeast"/>
        <w:jc w:val="both"/>
        <w:rPr>
          <w:rFonts w:ascii="Arial" w:hAnsi="Arial" w:cs="Arial"/>
          <w:b/>
          <w:bCs/>
        </w:rPr>
      </w:pPr>
    </w:p>
    <w:p w14:paraId="62541306" w14:textId="208630E7" w:rsidR="00B9227A" w:rsidRPr="00730154" w:rsidRDefault="00B9227A" w:rsidP="00730154">
      <w:pPr>
        <w:pStyle w:val="Ttulo1"/>
        <w:spacing w:before="120" w:after="120" w:line="23" w:lineRule="atLeast"/>
        <w:rPr>
          <w:rFonts w:ascii="Arial" w:hAnsi="Arial" w:cs="Arial"/>
          <w:color w:val="auto"/>
          <w:sz w:val="22"/>
          <w:szCs w:val="22"/>
        </w:rPr>
      </w:pPr>
      <w:r w:rsidRPr="00730154">
        <w:rPr>
          <w:rFonts w:ascii="Arial" w:hAnsi="Arial" w:cs="Arial"/>
          <w:b/>
          <w:bCs/>
          <w:color w:val="auto"/>
          <w:sz w:val="22"/>
          <w:szCs w:val="22"/>
        </w:rPr>
        <w:t>Presentación</w:t>
      </w:r>
    </w:p>
    <w:p w14:paraId="2BAC4E6D" w14:textId="00204A85" w:rsidR="0084524F" w:rsidRPr="00730154" w:rsidRDefault="0084524F" w:rsidP="00730154">
      <w:pPr>
        <w:spacing w:before="120" w:after="120" w:line="23" w:lineRule="atLeast"/>
        <w:jc w:val="both"/>
        <w:rPr>
          <w:rFonts w:ascii="Arial" w:hAnsi="Arial" w:cs="Arial"/>
        </w:rPr>
      </w:pPr>
      <w:r w:rsidRPr="00730154">
        <w:rPr>
          <w:rFonts w:ascii="Arial" w:hAnsi="Arial" w:cs="Arial"/>
        </w:rPr>
        <w:t xml:space="preserve">La Unidad de Competencia Económica (UCE) del Instituto Federal de Telecomunicaciones (Instituto) presenta este Informe de Consideraciones en </w:t>
      </w:r>
      <w:r w:rsidRPr="00327E2B">
        <w:rPr>
          <w:rFonts w:ascii="Arial" w:hAnsi="Arial" w:cs="Arial"/>
        </w:rPr>
        <w:t>cumplimiento a</w:t>
      </w:r>
      <w:r w:rsidR="00C22270" w:rsidRPr="00327E2B">
        <w:rPr>
          <w:rFonts w:ascii="Arial" w:hAnsi="Arial" w:cs="Arial"/>
        </w:rPr>
        <w:t xml:space="preserve">l artículo 138, fracción II, de la Ley Federal de Competencia Económica, </w:t>
      </w:r>
      <w:r w:rsidR="00327E2B" w:rsidRPr="00327E2B">
        <w:rPr>
          <w:rFonts w:ascii="Arial" w:hAnsi="Arial" w:cs="Arial"/>
        </w:rPr>
        <w:t xml:space="preserve">Acuerdo Tercero del </w:t>
      </w:r>
      <w:r w:rsidR="00327E2B" w:rsidRPr="00327E2B">
        <w:rPr>
          <w:rFonts w:ascii="Arial" w:hAnsi="Arial" w:cs="Arial"/>
          <w:i/>
          <w:iCs/>
        </w:rPr>
        <w:t>Acuerdo mediante el cual el Pleno del Instituto Federal de Telecomunicaciones determina someter a Consulta Pública el “Anteproyecto de Guía para la Determinación de Multas en Materia de Competencia Económica en los Sectores de Telecomunicaciones y Radiodifusión</w:t>
      </w:r>
      <w:r w:rsidR="00327E2B">
        <w:rPr>
          <w:rFonts w:ascii="Arial" w:hAnsi="Arial" w:cs="Arial"/>
          <w:i/>
          <w:iCs/>
        </w:rPr>
        <w:t xml:space="preserve"> (</w:t>
      </w:r>
      <w:r w:rsidR="00327E2B">
        <w:rPr>
          <w:rFonts w:ascii="Arial" w:hAnsi="Arial" w:cs="Arial"/>
        </w:rPr>
        <w:t>A</w:t>
      </w:r>
      <w:r w:rsidR="00327E2B" w:rsidRPr="00730154">
        <w:rPr>
          <w:rFonts w:ascii="Arial" w:hAnsi="Arial" w:cs="Arial"/>
        </w:rPr>
        <w:t>cuerdo P/IFT/090621/265</w:t>
      </w:r>
      <w:r w:rsidR="00327E2B">
        <w:rPr>
          <w:rFonts w:ascii="Arial" w:hAnsi="Arial" w:cs="Arial"/>
          <w:i/>
          <w:iCs/>
        </w:rPr>
        <w:t>)</w:t>
      </w:r>
      <w:r w:rsidR="00327E2B" w:rsidRPr="00327E2B">
        <w:rPr>
          <w:rFonts w:ascii="Arial" w:hAnsi="Arial" w:cs="Arial"/>
        </w:rPr>
        <w:t xml:space="preserve">, y el </w:t>
      </w:r>
      <w:r w:rsidR="00C22270" w:rsidRPr="00327E2B">
        <w:rPr>
          <w:rFonts w:ascii="Arial" w:hAnsi="Arial" w:cs="Arial"/>
        </w:rPr>
        <w:t>Lineamiento Noveno</w:t>
      </w:r>
      <w:r w:rsidR="00C22270">
        <w:rPr>
          <w:rFonts w:ascii="Arial" w:hAnsi="Arial" w:cs="Arial"/>
        </w:rPr>
        <w:t xml:space="preserve"> de</w:t>
      </w:r>
      <w:r w:rsidRPr="00730154">
        <w:rPr>
          <w:rFonts w:ascii="Arial" w:hAnsi="Arial" w:cs="Arial"/>
        </w:rPr>
        <w:t xml:space="preserve"> los Lineamientos de Consulta Pública y Análisis de Impacto Regulatorio del Instituto Federal de Telecomunicaciones</w:t>
      </w:r>
      <w:r w:rsidR="00C22270">
        <w:rPr>
          <w:rFonts w:ascii="Arial" w:hAnsi="Arial" w:cs="Arial"/>
        </w:rPr>
        <w:t>,</w:t>
      </w:r>
      <w:r w:rsidRPr="007F5D82">
        <w:rPr>
          <w:rStyle w:val="Refdenotaalpie"/>
          <w:rFonts w:ascii="Arial" w:hAnsi="Arial" w:cs="Arial"/>
        </w:rPr>
        <w:footnoteReference w:id="2"/>
      </w:r>
      <w:r w:rsidR="00C22270">
        <w:rPr>
          <w:rFonts w:ascii="Arial" w:hAnsi="Arial" w:cs="Arial"/>
        </w:rPr>
        <w:t xml:space="preserve"> </w:t>
      </w:r>
    </w:p>
    <w:p w14:paraId="1D5C43A8" w14:textId="3645FF61" w:rsidR="0084524F" w:rsidRPr="00730154" w:rsidRDefault="0084524F" w:rsidP="00730154">
      <w:pPr>
        <w:pStyle w:val="Ttulo1"/>
        <w:spacing w:before="120" w:after="120" w:line="23" w:lineRule="atLeast"/>
        <w:rPr>
          <w:rFonts w:ascii="Arial" w:hAnsi="Arial" w:cs="Arial"/>
          <w:b/>
          <w:bCs/>
          <w:color w:val="auto"/>
          <w:sz w:val="22"/>
          <w:szCs w:val="22"/>
        </w:rPr>
      </w:pPr>
      <w:r w:rsidRPr="00730154">
        <w:rPr>
          <w:rFonts w:ascii="Arial" w:hAnsi="Arial" w:cs="Arial"/>
          <w:b/>
          <w:bCs/>
          <w:color w:val="auto"/>
          <w:sz w:val="22"/>
          <w:szCs w:val="22"/>
        </w:rPr>
        <w:t>Glosario</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5"/>
        <w:gridCol w:w="7229"/>
      </w:tblGrid>
      <w:tr w:rsidR="0084524F" w:rsidRPr="00730154" w14:paraId="14007F69" w14:textId="77777777" w:rsidTr="00517AF3">
        <w:trPr>
          <w:trHeight w:val="77"/>
          <w:tblHeader/>
        </w:trPr>
        <w:tc>
          <w:tcPr>
            <w:tcW w:w="1555" w:type="dxa"/>
            <w:shd w:val="clear" w:color="auto" w:fill="92D050"/>
            <w:vAlign w:val="center"/>
          </w:tcPr>
          <w:p w14:paraId="0A554ADD" w14:textId="77777777" w:rsidR="0084524F" w:rsidRPr="00730154" w:rsidRDefault="0084524F" w:rsidP="00730154">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Concepto</w:t>
            </w:r>
          </w:p>
        </w:tc>
        <w:tc>
          <w:tcPr>
            <w:tcW w:w="7229" w:type="dxa"/>
            <w:shd w:val="clear" w:color="auto" w:fill="92D050"/>
            <w:vAlign w:val="center"/>
          </w:tcPr>
          <w:p w14:paraId="0525BE41" w14:textId="77777777" w:rsidR="0084524F" w:rsidRPr="00730154" w:rsidRDefault="0084524F" w:rsidP="00730154">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Significado</w:t>
            </w:r>
          </w:p>
        </w:tc>
      </w:tr>
      <w:tr w:rsidR="00327E2B" w:rsidRPr="00E574C1" w14:paraId="36747362" w14:textId="77777777" w:rsidTr="00E15781">
        <w:trPr>
          <w:trHeight w:val="77"/>
        </w:trPr>
        <w:tc>
          <w:tcPr>
            <w:tcW w:w="1555" w:type="dxa"/>
            <w:shd w:val="clear" w:color="auto" w:fill="FFFFFF" w:themeFill="background1"/>
            <w:vAlign w:val="center"/>
          </w:tcPr>
          <w:p w14:paraId="5B55B604" w14:textId="5062F273" w:rsidR="00327E2B" w:rsidRPr="00E574C1" w:rsidRDefault="00327E2B" w:rsidP="00730154">
            <w:pPr>
              <w:autoSpaceDE w:val="0"/>
              <w:autoSpaceDN w:val="0"/>
              <w:adjustRightInd w:val="0"/>
              <w:spacing w:before="120" w:after="120" w:line="23" w:lineRule="atLeast"/>
              <w:jc w:val="center"/>
              <w:rPr>
                <w:rFonts w:ascii="Arial" w:eastAsia="Times New Roman" w:hAnsi="Arial" w:cs="Arial"/>
                <w:b/>
                <w:sz w:val="18"/>
                <w:szCs w:val="18"/>
              </w:rPr>
            </w:pPr>
            <w:r w:rsidRPr="00E574C1">
              <w:rPr>
                <w:rFonts w:ascii="Arial" w:hAnsi="Arial" w:cs="Arial"/>
                <w:sz w:val="18"/>
                <w:szCs w:val="18"/>
              </w:rPr>
              <w:t>Acuerdo P/IFT/090621/265</w:t>
            </w:r>
          </w:p>
        </w:tc>
        <w:tc>
          <w:tcPr>
            <w:tcW w:w="7229" w:type="dxa"/>
            <w:shd w:val="clear" w:color="auto" w:fill="FFFFFF" w:themeFill="background1"/>
            <w:vAlign w:val="center"/>
          </w:tcPr>
          <w:p w14:paraId="0234963E" w14:textId="4B3E2650" w:rsidR="00327E2B" w:rsidRPr="00E574C1" w:rsidRDefault="00327E2B" w:rsidP="00730154">
            <w:pPr>
              <w:autoSpaceDE w:val="0"/>
              <w:autoSpaceDN w:val="0"/>
              <w:adjustRightInd w:val="0"/>
              <w:spacing w:before="120" w:after="120" w:line="23" w:lineRule="atLeast"/>
              <w:jc w:val="both"/>
              <w:rPr>
                <w:rFonts w:ascii="Arial" w:eastAsia="Times New Roman" w:hAnsi="Arial" w:cs="Arial"/>
                <w:sz w:val="18"/>
                <w:szCs w:val="18"/>
              </w:rPr>
            </w:pPr>
            <w:r w:rsidRPr="00E574C1">
              <w:rPr>
                <w:rFonts w:ascii="Arial" w:hAnsi="Arial" w:cs="Arial"/>
                <w:i/>
                <w:iCs/>
                <w:sz w:val="18"/>
                <w:szCs w:val="18"/>
              </w:rPr>
              <w:t>Acuerdo mediante el cual el Pleno del Instituto Federal de Telecomunicaciones determina someter a Consulta Pública el “Anteproyecto de Guía para la Determinación de Multas en Materia de Competencia Económica en los Sectores de Telecomunicaciones y Radiodifusión”.</w:t>
            </w:r>
          </w:p>
        </w:tc>
      </w:tr>
      <w:tr w:rsidR="00327E2B" w:rsidRPr="00730154" w14:paraId="12DD9866" w14:textId="77777777" w:rsidTr="00E15781">
        <w:trPr>
          <w:trHeight w:val="77"/>
        </w:trPr>
        <w:tc>
          <w:tcPr>
            <w:tcW w:w="1555" w:type="dxa"/>
            <w:shd w:val="clear" w:color="auto" w:fill="FFFFFF" w:themeFill="background1"/>
            <w:vAlign w:val="center"/>
          </w:tcPr>
          <w:p w14:paraId="6311AF67" w14:textId="68BB5BB4" w:rsidR="00327E2B" w:rsidRDefault="00327E2B" w:rsidP="00327E2B">
            <w:pPr>
              <w:autoSpaceDE w:val="0"/>
              <w:autoSpaceDN w:val="0"/>
              <w:adjustRightInd w:val="0"/>
              <w:spacing w:before="120" w:after="120" w:line="23" w:lineRule="atLeast"/>
              <w:jc w:val="center"/>
              <w:rPr>
                <w:rFonts w:ascii="Arial" w:hAnsi="Arial" w:cs="Arial"/>
              </w:rPr>
            </w:pPr>
            <w:r w:rsidRPr="00EB6738">
              <w:rPr>
                <w:rFonts w:ascii="Arial" w:eastAsia="Times New Roman" w:hAnsi="Arial" w:cs="Arial"/>
                <w:b/>
                <w:sz w:val="18"/>
                <w:szCs w:val="18"/>
              </w:rPr>
              <w:t>AE / Agente Económico</w:t>
            </w:r>
          </w:p>
        </w:tc>
        <w:tc>
          <w:tcPr>
            <w:tcW w:w="7229" w:type="dxa"/>
            <w:shd w:val="clear" w:color="auto" w:fill="FFFFFF" w:themeFill="background1"/>
            <w:vAlign w:val="center"/>
          </w:tcPr>
          <w:p w14:paraId="3882F429" w14:textId="76B9EB38" w:rsidR="00327E2B" w:rsidRPr="00327E2B" w:rsidRDefault="00327E2B" w:rsidP="00327E2B">
            <w:pPr>
              <w:autoSpaceDE w:val="0"/>
              <w:autoSpaceDN w:val="0"/>
              <w:adjustRightInd w:val="0"/>
              <w:spacing w:before="120" w:after="120" w:line="23" w:lineRule="atLeast"/>
              <w:jc w:val="both"/>
              <w:rPr>
                <w:rFonts w:ascii="Arial" w:hAnsi="Arial" w:cs="Arial"/>
                <w:i/>
                <w:iCs/>
              </w:rPr>
            </w:pPr>
            <w:r w:rsidRPr="00EB6738">
              <w:rPr>
                <w:rFonts w:ascii="Arial" w:eastAsia="Times New Roman" w:hAnsi="Arial" w:cs="Arial"/>
                <w:sz w:val="18"/>
                <w:szCs w:val="18"/>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r w:rsidRPr="00EB6738">
              <w:rPr>
                <w:rFonts w:ascii="Arial" w:hAnsi="Arial" w:cs="Arial"/>
                <w:sz w:val="18"/>
                <w:szCs w:val="18"/>
              </w:rPr>
              <w:t>.</w:t>
            </w:r>
          </w:p>
        </w:tc>
      </w:tr>
      <w:tr w:rsidR="00327E2B" w:rsidRPr="00730154" w14:paraId="4F9A3E43" w14:textId="77777777" w:rsidTr="004F3A1C">
        <w:trPr>
          <w:trHeight w:val="77"/>
        </w:trPr>
        <w:tc>
          <w:tcPr>
            <w:tcW w:w="1555" w:type="dxa"/>
            <w:shd w:val="clear" w:color="auto" w:fill="FFFFFF" w:themeFill="background1"/>
            <w:vAlign w:val="center"/>
          </w:tcPr>
          <w:p w14:paraId="06138B30" w14:textId="3076B4E1"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ANIR</w:t>
            </w:r>
          </w:p>
        </w:tc>
        <w:tc>
          <w:tcPr>
            <w:tcW w:w="7229" w:type="dxa"/>
            <w:shd w:val="clear" w:color="auto" w:fill="FFFFFF" w:themeFill="background1"/>
            <w:vAlign w:val="center"/>
          </w:tcPr>
          <w:p w14:paraId="36CF73CD" w14:textId="7697449D"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Análisis de Nulo Impacto Regulatorio.</w:t>
            </w:r>
          </w:p>
        </w:tc>
      </w:tr>
      <w:tr w:rsidR="00327E2B" w:rsidRPr="00730154" w14:paraId="7FDA1486" w14:textId="77777777" w:rsidTr="00E15781">
        <w:trPr>
          <w:trHeight w:val="77"/>
        </w:trPr>
        <w:tc>
          <w:tcPr>
            <w:tcW w:w="1555" w:type="dxa"/>
            <w:shd w:val="clear" w:color="auto" w:fill="FFFFFF" w:themeFill="background1"/>
            <w:vAlign w:val="center"/>
          </w:tcPr>
          <w:p w14:paraId="1ABD2B83"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highlight w:val="yellow"/>
              </w:rPr>
            </w:pPr>
            <w:r w:rsidRPr="00730154">
              <w:rPr>
                <w:rFonts w:ascii="Arial" w:hAnsi="Arial" w:cs="Arial"/>
                <w:b/>
                <w:sz w:val="18"/>
                <w:szCs w:val="18"/>
              </w:rPr>
              <w:lastRenderedPageBreak/>
              <w:t>Anteproyecto</w:t>
            </w:r>
          </w:p>
        </w:tc>
        <w:tc>
          <w:tcPr>
            <w:tcW w:w="7229" w:type="dxa"/>
            <w:shd w:val="clear" w:color="auto" w:fill="FFFFFF" w:themeFill="background1"/>
            <w:vAlign w:val="center"/>
          </w:tcPr>
          <w:p w14:paraId="663AFBC8" w14:textId="40BE2389"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 xml:space="preserve">Anteproyecto de Guía </w:t>
            </w:r>
            <w:r>
              <w:rPr>
                <w:rFonts w:ascii="Arial" w:hAnsi="Arial" w:cs="Arial"/>
                <w:sz w:val="18"/>
                <w:szCs w:val="18"/>
              </w:rPr>
              <w:t xml:space="preserve">para la determinación de multas en materia de competencia económica en los sectores de telecomunicaciones y radiodifusión. </w:t>
            </w:r>
          </w:p>
        </w:tc>
      </w:tr>
      <w:tr w:rsidR="00327E2B" w:rsidRPr="00730154" w14:paraId="1BFF0EA9" w14:textId="77777777" w:rsidTr="00E15781">
        <w:trPr>
          <w:trHeight w:val="77"/>
        </w:trPr>
        <w:tc>
          <w:tcPr>
            <w:tcW w:w="1555" w:type="dxa"/>
            <w:shd w:val="clear" w:color="auto" w:fill="FFFFFF" w:themeFill="background1"/>
            <w:vAlign w:val="center"/>
          </w:tcPr>
          <w:p w14:paraId="6C5255F5"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COFECE</w:t>
            </w:r>
          </w:p>
        </w:tc>
        <w:tc>
          <w:tcPr>
            <w:tcW w:w="7229" w:type="dxa"/>
            <w:shd w:val="clear" w:color="auto" w:fill="FFFFFF" w:themeFill="background1"/>
            <w:vAlign w:val="center"/>
          </w:tcPr>
          <w:p w14:paraId="2DB88CD2" w14:textId="77777777"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Comisión Federal de Competencia Económica.</w:t>
            </w:r>
          </w:p>
        </w:tc>
      </w:tr>
      <w:tr w:rsidR="00327E2B" w:rsidRPr="00730154" w14:paraId="0272A5C5" w14:textId="77777777" w:rsidTr="00E15781">
        <w:trPr>
          <w:trHeight w:val="77"/>
        </w:trPr>
        <w:tc>
          <w:tcPr>
            <w:tcW w:w="1555" w:type="dxa"/>
            <w:shd w:val="clear" w:color="auto" w:fill="FFFFFF" w:themeFill="background1"/>
            <w:vAlign w:val="center"/>
          </w:tcPr>
          <w:p w14:paraId="3CA98FD0" w14:textId="4A3419DF"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Consulta Pública</w:t>
            </w:r>
          </w:p>
        </w:tc>
        <w:tc>
          <w:tcPr>
            <w:tcW w:w="7229" w:type="dxa"/>
            <w:shd w:val="clear" w:color="auto" w:fill="FFFFFF" w:themeFill="background1"/>
            <w:vAlign w:val="center"/>
          </w:tcPr>
          <w:p w14:paraId="4FFEF10F" w14:textId="5B5E9478"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Pr>
                <w:rFonts w:ascii="Arial" w:hAnsi="Arial" w:cs="Arial"/>
                <w:sz w:val="18"/>
                <w:szCs w:val="18"/>
              </w:rPr>
              <w:t>Consulta pública del Anteproyecto.</w:t>
            </w:r>
          </w:p>
        </w:tc>
      </w:tr>
      <w:tr w:rsidR="00327E2B" w:rsidRPr="00730154" w14:paraId="66325515" w14:textId="77777777" w:rsidTr="00E15781">
        <w:trPr>
          <w:trHeight w:val="77"/>
        </w:trPr>
        <w:tc>
          <w:tcPr>
            <w:tcW w:w="1555" w:type="dxa"/>
            <w:shd w:val="clear" w:color="auto" w:fill="FFFFFF" w:themeFill="background1"/>
            <w:vAlign w:val="center"/>
          </w:tcPr>
          <w:p w14:paraId="22E22FFB"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CPEUM</w:t>
            </w:r>
          </w:p>
        </w:tc>
        <w:tc>
          <w:tcPr>
            <w:tcW w:w="7229" w:type="dxa"/>
            <w:shd w:val="clear" w:color="auto" w:fill="FFFFFF" w:themeFill="background1"/>
            <w:vAlign w:val="center"/>
          </w:tcPr>
          <w:p w14:paraId="5A5767B4" w14:textId="77777777"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Constitución Política de los Estados Unidos Mexicanos.</w:t>
            </w:r>
          </w:p>
        </w:tc>
      </w:tr>
      <w:tr w:rsidR="00327E2B" w:rsidRPr="00730154" w14:paraId="4FBF855D" w14:textId="77777777" w:rsidTr="004F3A1C">
        <w:trPr>
          <w:trHeight w:val="77"/>
        </w:trPr>
        <w:tc>
          <w:tcPr>
            <w:tcW w:w="1555" w:type="dxa"/>
            <w:shd w:val="clear" w:color="auto" w:fill="FFFFFF" w:themeFill="background1"/>
            <w:vAlign w:val="center"/>
          </w:tcPr>
          <w:p w14:paraId="742A33F7" w14:textId="7D47ACDE"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DOF</w:t>
            </w:r>
          </w:p>
        </w:tc>
        <w:tc>
          <w:tcPr>
            <w:tcW w:w="7229" w:type="dxa"/>
            <w:shd w:val="clear" w:color="auto" w:fill="FFFFFF" w:themeFill="background1"/>
            <w:vAlign w:val="center"/>
          </w:tcPr>
          <w:p w14:paraId="121877FB" w14:textId="32254496"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Diario Oficial de la Federación.</w:t>
            </w:r>
          </w:p>
        </w:tc>
      </w:tr>
      <w:tr w:rsidR="00327E2B" w:rsidRPr="00730154" w14:paraId="12531899" w14:textId="77777777" w:rsidTr="00E15781">
        <w:trPr>
          <w:trHeight w:val="77"/>
        </w:trPr>
        <w:tc>
          <w:tcPr>
            <w:tcW w:w="1555" w:type="dxa"/>
            <w:shd w:val="clear" w:color="auto" w:fill="FFFFFF" w:themeFill="background1"/>
            <w:vAlign w:val="center"/>
          </w:tcPr>
          <w:p w14:paraId="33F6E7A9"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Instituto</w:t>
            </w:r>
            <w:r w:rsidRPr="00730154">
              <w:rPr>
                <w:rFonts w:ascii="Arial" w:hAnsi="Arial" w:cs="Arial"/>
                <w:b/>
                <w:bCs/>
                <w:sz w:val="18"/>
                <w:szCs w:val="18"/>
              </w:rPr>
              <w:t xml:space="preserve"> o IFT</w:t>
            </w:r>
          </w:p>
        </w:tc>
        <w:tc>
          <w:tcPr>
            <w:tcW w:w="7229" w:type="dxa"/>
            <w:shd w:val="clear" w:color="auto" w:fill="FFFFFF" w:themeFill="background1"/>
            <w:vAlign w:val="center"/>
          </w:tcPr>
          <w:p w14:paraId="222220DA" w14:textId="77777777"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Instituto Federal de Telecomunicaciones.</w:t>
            </w:r>
          </w:p>
        </w:tc>
      </w:tr>
      <w:tr w:rsidR="00327E2B" w:rsidRPr="00730154" w14:paraId="75AAFB1D" w14:textId="77777777" w:rsidTr="00E15781">
        <w:trPr>
          <w:trHeight w:val="77"/>
        </w:trPr>
        <w:tc>
          <w:tcPr>
            <w:tcW w:w="1555" w:type="dxa"/>
            <w:shd w:val="clear" w:color="auto" w:fill="FFFFFF" w:themeFill="background1"/>
            <w:vAlign w:val="center"/>
          </w:tcPr>
          <w:p w14:paraId="18E3716A" w14:textId="5409DA35"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DRLFCE</w:t>
            </w:r>
          </w:p>
        </w:tc>
        <w:tc>
          <w:tcPr>
            <w:tcW w:w="7229" w:type="dxa"/>
            <w:shd w:val="clear" w:color="auto" w:fill="FFFFFF" w:themeFill="background1"/>
            <w:vAlign w:val="center"/>
          </w:tcPr>
          <w:p w14:paraId="68829C17" w14:textId="5A064E1A"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Disposiciones Regulatorias de la Ley Federal de Competencia Económica para los sectores de telecomunicaciones y radiodifusión</w:t>
            </w:r>
            <w:r>
              <w:rPr>
                <w:rFonts w:ascii="Arial" w:hAnsi="Arial" w:cs="Arial"/>
                <w:sz w:val="18"/>
                <w:szCs w:val="18"/>
              </w:rPr>
              <w:t>.</w:t>
            </w:r>
          </w:p>
        </w:tc>
      </w:tr>
      <w:tr w:rsidR="00327E2B" w:rsidRPr="00730154" w14:paraId="1E443C5C" w14:textId="77777777" w:rsidTr="00E15781">
        <w:trPr>
          <w:trHeight w:val="77"/>
        </w:trPr>
        <w:tc>
          <w:tcPr>
            <w:tcW w:w="1555" w:type="dxa"/>
            <w:shd w:val="clear" w:color="auto" w:fill="FFFFFF" w:themeFill="background1"/>
            <w:vAlign w:val="center"/>
          </w:tcPr>
          <w:p w14:paraId="3B7082CB"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Estatuto Orgánico</w:t>
            </w:r>
          </w:p>
        </w:tc>
        <w:tc>
          <w:tcPr>
            <w:tcW w:w="7229" w:type="dxa"/>
            <w:shd w:val="clear" w:color="auto" w:fill="FFFFFF" w:themeFill="background1"/>
            <w:vAlign w:val="center"/>
          </w:tcPr>
          <w:p w14:paraId="665677F1" w14:textId="68A38CA5"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Estatuto Orgánico del Instituto Federal de Telecomunicaciones</w:t>
            </w:r>
            <w:r>
              <w:rPr>
                <w:rFonts w:ascii="Arial" w:hAnsi="Arial" w:cs="Arial"/>
                <w:sz w:val="18"/>
                <w:szCs w:val="18"/>
              </w:rPr>
              <w:t>.</w:t>
            </w:r>
          </w:p>
        </w:tc>
      </w:tr>
      <w:tr w:rsidR="00327E2B" w:rsidRPr="00730154" w14:paraId="23F20286" w14:textId="77777777" w:rsidTr="00E15781">
        <w:trPr>
          <w:trHeight w:val="77"/>
        </w:trPr>
        <w:tc>
          <w:tcPr>
            <w:tcW w:w="1555" w:type="dxa"/>
            <w:shd w:val="clear" w:color="auto" w:fill="FFFFFF" w:themeFill="background1"/>
            <w:vAlign w:val="center"/>
          </w:tcPr>
          <w:p w14:paraId="3ACC46CD"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LFCE</w:t>
            </w:r>
          </w:p>
        </w:tc>
        <w:tc>
          <w:tcPr>
            <w:tcW w:w="7229" w:type="dxa"/>
            <w:shd w:val="clear" w:color="auto" w:fill="FFFFFF" w:themeFill="background1"/>
            <w:vAlign w:val="center"/>
          </w:tcPr>
          <w:p w14:paraId="49C4F4D9" w14:textId="66CCB8CD" w:rsidR="00327E2B" w:rsidRPr="00730154" w:rsidRDefault="00327E2B" w:rsidP="00327E2B">
            <w:pPr>
              <w:pStyle w:val="Textonotapie"/>
              <w:spacing w:before="120" w:after="120" w:line="23" w:lineRule="atLeast"/>
              <w:jc w:val="both"/>
              <w:rPr>
                <w:rFonts w:ascii="Arial" w:hAnsi="Arial" w:cs="Arial"/>
                <w:sz w:val="18"/>
                <w:szCs w:val="18"/>
              </w:rPr>
            </w:pPr>
            <w:r w:rsidRPr="00730154">
              <w:rPr>
                <w:rFonts w:ascii="Arial" w:hAnsi="Arial" w:cs="Arial"/>
                <w:sz w:val="18"/>
                <w:szCs w:val="18"/>
              </w:rPr>
              <w:t>Ley Federal de Competencia Económica</w:t>
            </w:r>
            <w:r>
              <w:rPr>
                <w:rFonts w:ascii="Arial" w:hAnsi="Arial" w:cs="Arial"/>
                <w:sz w:val="18"/>
                <w:szCs w:val="18"/>
              </w:rPr>
              <w:t>.</w:t>
            </w:r>
          </w:p>
        </w:tc>
      </w:tr>
      <w:tr w:rsidR="00327E2B" w:rsidRPr="00730154" w14:paraId="5929088E" w14:textId="77777777" w:rsidTr="00E15781">
        <w:trPr>
          <w:trHeight w:val="77"/>
        </w:trPr>
        <w:tc>
          <w:tcPr>
            <w:tcW w:w="1555" w:type="dxa"/>
            <w:shd w:val="clear" w:color="auto" w:fill="FFFFFF" w:themeFill="background1"/>
            <w:vAlign w:val="center"/>
          </w:tcPr>
          <w:p w14:paraId="1657926B"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Participante 1</w:t>
            </w:r>
          </w:p>
        </w:tc>
        <w:tc>
          <w:tcPr>
            <w:tcW w:w="7229" w:type="dxa"/>
            <w:shd w:val="clear" w:color="auto" w:fill="FFFFFF" w:themeFill="background1"/>
            <w:vAlign w:val="center"/>
          </w:tcPr>
          <w:p w14:paraId="3898CE24" w14:textId="77777777"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Víctor Tomás López Baltierra, representante legal.</w:t>
            </w:r>
          </w:p>
        </w:tc>
      </w:tr>
      <w:tr w:rsidR="00327E2B" w:rsidRPr="00730154" w14:paraId="4DD38ABC" w14:textId="77777777" w:rsidTr="00E15781">
        <w:trPr>
          <w:trHeight w:val="77"/>
        </w:trPr>
        <w:tc>
          <w:tcPr>
            <w:tcW w:w="1555" w:type="dxa"/>
            <w:shd w:val="clear" w:color="auto" w:fill="FFFFFF" w:themeFill="background1"/>
            <w:vAlign w:val="center"/>
          </w:tcPr>
          <w:p w14:paraId="163A0262"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Participante 2</w:t>
            </w:r>
          </w:p>
        </w:tc>
        <w:tc>
          <w:tcPr>
            <w:tcW w:w="7229" w:type="dxa"/>
            <w:shd w:val="clear" w:color="auto" w:fill="FFFFFF" w:themeFill="background1"/>
            <w:vAlign w:val="center"/>
          </w:tcPr>
          <w:p w14:paraId="4A7A386D" w14:textId="77777777"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Comisión Federal de Competencia Económica.</w:t>
            </w:r>
          </w:p>
        </w:tc>
      </w:tr>
      <w:tr w:rsidR="00327E2B" w:rsidRPr="00730154" w14:paraId="0F8C29B6" w14:textId="77777777" w:rsidTr="00E15781">
        <w:trPr>
          <w:trHeight w:val="77"/>
        </w:trPr>
        <w:tc>
          <w:tcPr>
            <w:tcW w:w="1555" w:type="dxa"/>
            <w:shd w:val="clear" w:color="auto" w:fill="FFFFFF" w:themeFill="background1"/>
            <w:vAlign w:val="center"/>
          </w:tcPr>
          <w:p w14:paraId="477E1FAB"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Participante 3</w:t>
            </w:r>
          </w:p>
        </w:tc>
        <w:tc>
          <w:tcPr>
            <w:tcW w:w="7229" w:type="dxa"/>
            <w:shd w:val="clear" w:color="auto" w:fill="FFFFFF" w:themeFill="background1"/>
            <w:vAlign w:val="center"/>
          </w:tcPr>
          <w:p w14:paraId="4C91C700" w14:textId="77777777"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Lucía de los Ángeles Ojeda Cárdenas, Ernesto Álvarez Castillo, Alejandra Magaña Cruz, Francisco Javier García del Valle Torres</w:t>
            </w:r>
          </w:p>
        </w:tc>
      </w:tr>
      <w:tr w:rsidR="00327E2B" w:rsidRPr="00730154" w14:paraId="684748FA" w14:textId="77777777" w:rsidTr="00E15781">
        <w:trPr>
          <w:trHeight w:val="77"/>
        </w:trPr>
        <w:tc>
          <w:tcPr>
            <w:tcW w:w="1555" w:type="dxa"/>
            <w:shd w:val="clear" w:color="auto" w:fill="FFFFFF" w:themeFill="background1"/>
            <w:vAlign w:val="center"/>
          </w:tcPr>
          <w:p w14:paraId="0F28F560"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Participante 4</w:t>
            </w:r>
          </w:p>
        </w:tc>
        <w:tc>
          <w:tcPr>
            <w:tcW w:w="7229" w:type="dxa"/>
            <w:shd w:val="clear" w:color="auto" w:fill="FFFFFF" w:themeFill="background1"/>
            <w:vAlign w:val="center"/>
          </w:tcPr>
          <w:p w14:paraId="315A1794" w14:textId="77777777"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Carlos Mora Villalpando.</w:t>
            </w:r>
          </w:p>
        </w:tc>
      </w:tr>
      <w:tr w:rsidR="00327E2B" w:rsidRPr="00730154" w14:paraId="4BA77D04" w14:textId="77777777" w:rsidTr="00BD68AE">
        <w:trPr>
          <w:trHeight w:val="77"/>
        </w:trPr>
        <w:tc>
          <w:tcPr>
            <w:tcW w:w="1555" w:type="dxa"/>
            <w:shd w:val="clear" w:color="auto" w:fill="FFFFFF" w:themeFill="background1"/>
            <w:vAlign w:val="center"/>
          </w:tcPr>
          <w:p w14:paraId="258350C3" w14:textId="38DE9BDA"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PAT</w:t>
            </w:r>
          </w:p>
        </w:tc>
        <w:tc>
          <w:tcPr>
            <w:tcW w:w="7229" w:type="dxa"/>
            <w:shd w:val="clear" w:color="auto" w:fill="FFFFFF" w:themeFill="background1"/>
            <w:vAlign w:val="center"/>
          </w:tcPr>
          <w:p w14:paraId="39BE1139" w14:textId="32117253"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Programa Anual de Trabajo del Instituto para el año 2021.</w:t>
            </w:r>
          </w:p>
        </w:tc>
      </w:tr>
      <w:tr w:rsidR="00327E2B" w:rsidRPr="00730154" w14:paraId="46691B48" w14:textId="77777777" w:rsidTr="00E15781">
        <w:trPr>
          <w:trHeight w:val="77"/>
        </w:trPr>
        <w:tc>
          <w:tcPr>
            <w:tcW w:w="1555" w:type="dxa"/>
            <w:shd w:val="clear" w:color="auto" w:fill="FFFFFF" w:themeFill="background1"/>
            <w:vAlign w:val="center"/>
          </w:tcPr>
          <w:p w14:paraId="11C79237"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PJF</w:t>
            </w:r>
          </w:p>
        </w:tc>
        <w:tc>
          <w:tcPr>
            <w:tcW w:w="7229" w:type="dxa"/>
            <w:shd w:val="clear" w:color="auto" w:fill="FFFFFF" w:themeFill="background1"/>
            <w:vAlign w:val="center"/>
          </w:tcPr>
          <w:p w14:paraId="3040F0F8" w14:textId="77777777"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Poder Judicial de la Federación.</w:t>
            </w:r>
          </w:p>
        </w:tc>
      </w:tr>
      <w:tr w:rsidR="00327E2B" w:rsidRPr="00730154" w14:paraId="2BB7E48F" w14:textId="77777777" w:rsidTr="00E15781">
        <w:trPr>
          <w:trHeight w:val="77"/>
        </w:trPr>
        <w:tc>
          <w:tcPr>
            <w:tcW w:w="1555" w:type="dxa"/>
            <w:shd w:val="clear" w:color="auto" w:fill="FFFFFF" w:themeFill="background1"/>
            <w:vAlign w:val="center"/>
          </w:tcPr>
          <w:p w14:paraId="4948740B"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Pleno</w:t>
            </w:r>
          </w:p>
        </w:tc>
        <w:tc>
          <w:tcPr>
            <w:tcW w:w="7229" w:type="dxa"/>
            <w:shd w:val="clear" w:color="auto" w:fill="FFFFFF" w:themeFill="background1"/>
            <w:vAlign w:val="center"/>
          </w:tcPr>
          <w:p w14:paraId="7B98B07F" w14:textId="26D39DF9"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AD0D50">
              <w:rPr>
                <w:rFonts w:ascii="Arial" w:eastAsia="Times New Roman" w:hAnsi="Arial" w:cs="Arial"/>
                <w:sz w:val="18"/>
                <w:szCs w:val="18"/>
              </w:rPr>
              <w:t>Órgano máximo de gobierno del Instituto, integrado por siete Comisionados, incluyendo al Comisionado Presidente.</w:t>
            </w:r>
          </w:p>
        </w:tc>
      </w:tr>
      <w:tr w:rsidR="00327E2B" w:rsidRPr="00730154" w14:paraId="5B6029EC" w14:textId="77777777" w:rsidTr="00E15781">
        <w:trPr>
          <w:trHeight w:val="77"/>
        </w:trPr>
        <w:tc>
          <w:tcPr>
            <w:tcW w:w="1555" w:type="dxa"/>
            <w:shd w:val="clear" w:color="auto" w:fill="FFFFFF" w:themeFill="background1"/>
            <w:vAlign w:val="center"/>
          </w:tcPr>
          <w:p w14:paraId="437AD24B" w14:textId="12E90066"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Proyecto/Guía</w:t>
            </w:r>
          </w:p>
        </w:tc>
        <w:tc>
          <w:tcPr>
            <w:tcW w:w="7229" w:type="dxa"/>
            <w:shd w:val="clear" w:color="auto" w:fill="FFFFFF" w:themeFill="background1"/>
            <w:vAlign w:val="center"/>
          </w:tcPr>
          <w:p w14:paraId="59E2583E" w14:textId="59660952"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Pr>
                <w:rFonts w:ascii="Arial" w:hAnsi="Arial" w:cs="Arial"/>
                <w:sz w:val="18"/>
                <w:szCs w:val="18"/>
              </w:rPr>
              <w:t>Proyecto de g</w:t>
            </w:r>
            <w:r w:rsidRPr="00730154">
              <w:rPr>
                <w:rFonts w:ascii="Arial" w:hAnsi="Arial" w:cs="Arial"/>
                <w:sz w:val="18"/>
                <w:szCs w:val="18"/>
              </w:rPr>
              <w:t xml:space="preserve">uía </w:t>
            </w:r>
            <w:r>
              <w:rPr>
                <w:rFonts w:ascii="Arial" w:hAnsi="Arial" w:cs="Arial"/>
                <w:sz w:val="18"/>
                <w:szCs w:val="18"/>
              </w:rPr>
              <w:t xml:space="preserve">para la determinación de multas en materia de competencia económica en los sectores de telecomunicaciones y radiodifusión. </w:t>
            </w:r>
          </w:p>
        </w:tc>
      </w:tr>
      <w:tr w:rsidR="00327E2B" w:rsidRPr="00730154" w14:paraId="3611C1A9" w14:textId="77777777" w:rsidTr="00E15781">
        <w:trPr>
          <w:trHeight w:val="77"/>
        </w:trPr>
        <w:tc>
          <w:tcPr>
            <w:tcW w:w="1555" w:type="dxa"/>
            <w:shd w:val="clear" w:color="auto" w:fill="FFFFFF" w:themeFill="background1"/>
            <w:vAlign w:val="center"/>
          </w:tcPr>
          <w:p w14:paraId="48C8157E" w14:textId="77777777" w:rsidR="00327E2B" w:rsidRPr="00730154" w:rsidRDefault="00327E2B" w:rsidP="00327E2B">
            <w:pPr>
              <w:autoSpaceDE w:val="0"/>
              <w:autoSpaceDN w:val="0"/>
              <w:adjustRightInd w:val="0"/>
              <w:spacing w:before="120" w:after="120" w:line="23" w:lineRule="atLeast"/>
              <w:jc w:val="center"/>
              <w:rPr>
                <w:rFonts w:ascii="Arial" w:hAnsi="Arial" w:cs="Arial"/>
                <w:b/>
                <w:sz w:val="18"/>
                <w:szCs w:val="18"/>
              </w:rPr>
            </w:pPr>
            <w:r w:rsidRPr="00730154">
              <w:rPr>
                <w:rFonts w:ascii="Arial" w:hAnsi="Arial" w:cs="Arial"/>
                <w:b/>
                <w:sz w:val="18"/>
                <w:szCs w:val="18"/>
              </w:rPr>
              <w:t>UCE</w:t>
            </w:r>
          </w:p>
        </w:tc>
        <w:tc>
          <w:tcPr>
            <w:tcW w:w="7229" w:type="dxa"/>
            <w:shd w:val="clear" w:color="auto" w:fill="FFFFFF" w:themeFill="background1"/>
            <w:vAlign w:val="center"/>
          </w:tcPr>
          <w:p w14:paraId="3EED70EB" w14:textId="3199B704" w:rsidR="00327E2B" w:rsidRPr="00730154" w:rsidRDefault="00327E2B" w:rsidP="00327E2B">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Unidad de competencia Económica</w:t>
            </w:r>
            <w:r>
              <w:rPr>
                <w:rFonts w:ascii="Arial" w:hAnsi="Arial" w:cs="Arial"/>
                <w:sz w:val="18"/>
                <w:szCs w:val="18"/>
              </w:rPr>
              <w:t xml:space="preserve"> del Instituto</w:t>
            </w:r>
            <w:r w:rsidRPr="00730154">
              <w:rPr>
                <w:rFonts w:ascii="Arial" w:hAnsi="Arial" w:cs="Arial"/>
                <w:sz w:val="18"/>
                <w:szCs w:val="18"/>
              </w:rPr>
              <w:t>.</w:t>
            </w:r>
          </w:p>
        </w:tc>
      </w:tr>
    </w:tbl>
    <w:bookmarkEnd w:id="0"/>
    <w:p w14:paraId="37BAEAC6" w14:textId="5CA343AC" w:rsidR="001D2E78" w:rsidRPr="00730154" w:rsidRDefault="00517AF3" w:rsidP="00630FB4">
      <w:pPr>
        <w:pStyle w:val="Ttulo1"/>
        <w:spacing w:before="120" w:after="120"/>
        <w:rPr>
          <w:rFonts w:ascii="Arial" w:hAnsi="Arial" w:cs="Arial"/>
          <w:b/>
          <w:bCs/>
          <w:color w:val="auto"/>
          <w:sz w:val="22"/>
          <w:szCs w:val="22"/>
        </w:rPr>
      </w:pPr>
      <w:r>
        <w:rPr>
          <w:rFonts w:ascii="Arial" w:hAnsi="Arial" w:cs="Arial"/>
          <w:b/>
          <w:bCs/>
          <w:color w:val="auto"/>
          <w:sz w:val="22"/>
          <w:szCs w:val="22"/>
        </w:rPr>
        <w:t>1</w:t>
      </w:r>
      <w:r w:rsidR="001D2E78" w:rsidRPr="00730154">
        <w:rPr>
          <w:rFonts w:ascii="Arial" w:hAnsi="Arial" w:cs="Arial"/>
          <w:b/>
          <w:bCs/>
          <w:color w:val="auto"/>
          <w:sz w:val="22"/>
          <w:szCs w:val="22"/>
        </w:rPr>
        <w:t>. Fecha de Elaboración</w:t>
      </w:r>
    </w:p>
    <w:p w14:paraId="5B919763" w14:textId="57CCD93D" w:rsidR="001D2E78" w:rsidRPr="00730154" w:rsidRDefault="001D2E78" w:rsidP="00630FB4">
      <w:pPr>
        <w:spacing w:before="120" w:after="120" w:line="276" w:lineRule="auto"/>
        <w:jc w:val="both"/>
        <w:rPr>
          <w:rFonts w:ascii="Arial" w:hAnsi="Arial" w:cs="Arial"/>
        </w:rPr>
      </w:pPr>
      <w:r w:rsidRPr="00730154">
        <w:rPr>
          <w:rFonts w:ascii="Arial" w:hAnsi="Arial" w:cs="Arial"/>
        </w:rPr>
        <w:t xml:space="preserve">El Informe se tiene por integrado el </w:t>
      </w:r>
      <w:r w:rsidR="00932D2E">
        <w:rPr>
          <w:rFonts w:ascii="Arial" w:hAnsi="Arial" w:cs="Arial"/>
        </w:rPr>
        <w:t>28</w:t>
      </w:r>
      <w:r w:rsidRPr="00730154">
        <w:rPr>
          <w:rFonts w:ascii="Arial" w:hAnsi="Arial" w:cs="Arial"/>
        </w:rPr>
        <w:t xml:space="preserve"> de </w:t>
      </w:r>
      <w:r w:rsidR="00AC00D4">
        <w:rPr>
          <w:rFonts w:ascii="Arial" w:hAnsi="Arial" w:cs="Arial"/>
        </w:rPr>
        <w:t>septiembre</w:t>
      </w:r>
      <w:r w:rsidRPr="00730154">
        <w:rPr>
          <w:rFonts w:ascii="Arial" w:hAnsi="Arial" w:cs="Arial"/>
        </w:rPr>
        <w:t xml:space="preserve"> de 2021, dentro del plazo legal de 30 </w:t>
      </w:r>
      <w:r w:rsidR="00327E2B">
        <w:rPr>
          <w:rFonts w:ascii="Arial" w:hAnsi="Arial" w:cs="Arial"/>
        </w:rPr>
        <w:t xml:space="preserve">(treinta) </w:t>
      </w:r>
      <w:r w:rsidRPr="00730154">
        <w:rPr>
          <w:rFonts w:ascii="Arial" w:hAnsi="Arial" w:cs="Arial"/>
        </w:rPr>
        <w:t xml:space="preserve">días hábiles posteriores a la conclusión de la consulta pública, </w:t>
      </w:r>
      <w:r w:rsidR="00327E2B">
        <w:rPr>
          <w:rFonts w:ascii="Arial" w:hAnsi="Arial" w:cs="Arial"/>
        </w:rPr>
        <w:t xml:space="preserve">otorgado </w:t>
      </w:r>
      <w:r w:rsidRPr="00730154">
        <w:rPr>
          <w:rFonts w:ascii="Arial" w:hAnsi="Arial" w:cs="Arial"/>
        </w:rPr>
        <w:t xml:space="preserve">en el resolutivo Tercero del </w:t>
      </w:r>
      <w:r w:rsidR="00327E2B">
        <w:rPr>
          <w:rFonts w:ascii="Arial" w:hAnsi="Arial" w:cs="Arial"/>
        </w:rPr>
        <w:t>A</w:t>
      </w:r>
      <w:r w:rsidRPr="00730154">
        <w:rPr>
          <w:rFonts w:ascii="Arial" w:hAnsi="Arial" w:cs="Arial"/>
        </w:rPr>
        <w:t xml:space="preserve">cuerdo P/IFT/090621/265 y </w:t>
      </w:r>
      <w:r w:rsidR="00327E2B">
        <w:rPr>
          <w:rFonts w:ascii="Arial" w:hAnsi="Arial" w:cs="Arial"/>
        </w:rPr>
        <w:t>el</w:t>
      </w:r>
      <w:r w:rsidR="00327E2B" w:rsidRPr="00730154">
        <w:rPr>
          <w:rFonts w:ascii="Arial" w:hAnsi="Arial" w:cs="Arial"/>
        </w:rPr>
        <w:t xml:space="preserve"> </w:t>
      </w:r>
      <w:r w:rsidRPr="00730154">
        <w:rPr>
          <w:rFonts w:ascii="Arial" w:hAnsi="Arial" w:cs="Arial"/>
        </w:rPr>
        <w:t>artículo 138, fracción II, de la LFCE.</w:t>
      </w:r>
    </w:p>
    <w:p w14:paraId="063066FD" w14:textId="7C36D761" w:rsidR="00A878D9" w:rsidRPr="00730154" w:rsidRDefault="001B04AD" w:rsidP="00630FB4">
      <w:pPr>
        <w:pStyle w:val="Ttulo1"/>
        <w:spacing w:before="120" w:after="120"/>
        <w:rPr>
          <w:rFonts w:ascii="Arial" w:hAnsi="Arial" w:cs="Arial"/>
          <w:b/>
          <w:bCs/>
          <w:color w:val="auto"/>
          <w:sz w:val="22"/>
          <w:szCs w:val="22"/>
        </w:rPr>
      </w:pPr>
      <w:r>
        <w:rPr>
          <w:rFonts w:ascii="Arial" w:hAnsi="Arial" w:cs="Arial"/>
          <w:b/>
          <w:bCs/>
          <w:color w:val="auto"/>
          <w:sz w:val="22"/>
          <w:szCs w:val="22"/>
        </w:rPr>
        <w:t>2</w:t>
      </w:r>
      <w:r w:rsidR="00A878D9" w:rsidRPr="00730154">
        <w:rPr>
          <w:rFonts w:ascii="Arial" w:hAnsi="Arial" w:cs="Arial"/>
          <w:b/>
          <w:bCs/>
          <w:color w:val="auto"/>
          <w:sz w:val="22"/>
          <w:szCs w:val="22"/>
        </w:rPr>
        <w:t>. Título o Denominación de la Consulta Pública</w:t>
      </w:r>
    </w:p>
    <w:p w14:paraId="02F319D9" w14:textId="2C0E2827" w:rsidR="00A878D9" w:rsidRPr="00730154" w:rsidRDefault="00327E2B" w:rsidP="00630FB4">
      <w:pPr>
        <w:spacing w:before="120" w:after="120" w:line="276" w:lineRule="auto"/>
        <w:jc w:val="both"/>
        <w:rPr>
          <w:rFonts w:ascii="Arial" w:hAnsi="Arial" w:cs="Arial"/>
        </w:rPr>
      </w:pPr>
      <w:r>
        <w:rPr>
          <w:rFonts w:ascii="Arial" w:hAnsi="Arial" w:cs="Arial"/>
        </w:rPr>
        <w:t>C</w:t>
      </w:r>
      <w:r w:rsidR="00A878D9" w:rsidRPr="00730154">
        <w:rPr>
          <w:rFonts w:ascii="Arial" w:hAnsi="Arial" w:cs="Arial"/>
        </w:rPr>
        <w:t xml:space="preserve">onsulta pública </w:t>
      </w:r>
      <w:r>
        <w:rPr>
          <w:rFonts w:ascii="Arial" w:hAnsi="Arial" w:cs="Arial"/>
        </w:rPr>
        <w:t>d</w:t>
      </w:r>
      <w:r w:rsidR="00A878D9" w:rsidRPr="00730154">
        <w:rPr>
          <w:rFonts w:ascii="Arial" w:hAnsi="Arial" w:cs="Arial"/>
        </w:rPr>
        <w:t>el “</w:t>
      </w:r>
      <w:r w:rsidR="00A878D9" w:rsidRPr="00730154">
        <w:rPr>
          <w:rFonts w:ascii="Arial" w:hAnsi="Arial" w:cs="Arial"/>
          <w:i/>
          <w:iCs/>
        </w:rPr>
        <w:t>Anteproyecto de Guía para la determinación de multas en materia de competencia económica en los sectores de telecomunicaciones y radiodifusión</w:t>
      </w:r>
      <w:r w:rsidR="00A878D9" w:rsidRPr="00730154">
        <w:rPr>
          <w:rFonts w:ascii="Arial" w:hAnsi="Arial" w:cs="Arial"/>
        </w:rPr>
        <w:t>”</w:t>
      </w:r>
      <w:r w:rsidR="00A878D9" w:rsidRPr="00730154">
        <w:rPr>
          <w:rFonts w:ascii="Arial" w:hAnsi="Arial" w:cs="Arial"/>
          <w:bCs/>
          <w:lang w:eastAsia="es-MX"/>
        </w:rPr>
        <w:t>.</w:t>
      </w:r>
    </w:p>
    <w:p w14:paraId="04370D7C" w14:textId="75389E73" w:rsidR="005C5B1C" w:rsidRPr="00730154" w:rsidRDefault="001B04AD" w:rsidP="00630FB4">
      <w:pPr>
        <w:pStyle w:val="Ttulo1"/>
        <w:spacing w:before="120" w:after="120"/>
        <w:rPr>
          <w:rFonts w:ascii="Arial" w:hAnsi="Arial" w:cs="Arial"/>
          <w:b/>
          <w:bCs/>
          <w:color w:val="auto"/>
          <w:sz w:val="22"/>
          <w:szCs w:val="22"/>
        </w:rPr>
      </w:pPr>
      <w:r>
        <w:rPr>
          <w:rFonts w:ascii="Arial" w:hAnsi="Arial" w:cs="Arial"/>
          <w:b/>
          <w:bCs/>
          <w:color w:val="auto"/>
          <w:sz w:val="22"/>
          <w:szCs w:val="22"/>
        </w:rPr>
        <w:lastRenderedPageBreak/>
        <w:t>3</w:t>
      </w:r>
      <w:r w:rsidR="005A67BA" w:rsidRPr="00730154">
        <w:rPr>
          <w:rFonts w:ascii="Arial" w:hAnsi="Arial" w:cs="Arial"/>
          <w:b/>
          <w:bCs/>
          <w:color w:val="auto"/>
          <w:sz w:val="22"/>
          <w:szCs w:val="22"/>
        </w:rPr>
        <w:t xml:space="preserve">. </w:t>
      </w:r>
      <w:r w:rsidR="005C5B1C" w:rsidRPr="00730154">
        <w:rPr>
          <w:rFonts w:ascii="Arial" w:hAnsi="Arial" w:cs="Arial"/>
          <w:b/>
          <w:bCs/>
          <w:color w:val="auto"/>
          <w:sz w:val="22"/>
          <w:szCs w:val="22"/>
        </w:rPr>
        <w:t>Descripción de la Consulta Pública</w:t>
      </w:r>
    </w:p>
    <w:p w14:paraId="384575CE" w14:textId="16207BFC" w:rsidR="005A67BA" w:rsidRPr="00730154" w:rsidRDefault="005A67BA" w:rsidP="00630FB4">
      <w:pPr>
        <w:spacing w:before="120" w:after="120" w:line="276" w:lineRule="auto"/>
        <w:jc w:val="both"/>
        <w:rPr>
          <w:rFonts w:ascii="Arial" w:hAnsi="Arial" w:cs="Arial"/>
          <w:b/>
          <w:bCs/>
        </w:rPr>
      </w:pPr>
      <w:r w:rsidRPr="00730154">
        <w:rPr>
          <w:rFonts w:ascii="Arial" w:hAnsi="Arial" w:cs="Arial"/>
        </w:rPr>
        <w:t xml:space="preserve">El 22 de junio de 2021 se publicó el Anteproyecto en el sitio de Internet del Instituto, así como un extracto en el DOF. La </w:t>
      </w:r>
      <w:r w:rsidR="00327E2B">
        <w:rPr>
          <w:rFonts w:ascii="Arial" w:hAnsi="Arial" w:cs="Arial"/>
        </w:rPr>
        <w:t>C</w:t>
      </w:r>
      <w:r w:rsidRPr="00730154">
        <w:rPr>
          <w:rFonts w:ascii="Arial" w:hAnsi="Arial" w:cs="Arial"/>
        </w:rPr>
        <w:t xml:space="preserve">onsulta </w:t>
      </w:r>
      <w:r w:rsidR="00327E2B">
        <w:rPr>
          <w:rFonts w:ascii="Arial" w:hAnsi="Arial" w:cs="Arial"/>
        </w:rPr>
        <w:t>P</w:t>
      </w:r>
      <w:r w:rsidRPr="00730154">
        <w:rPr>
          <w:rFonts w:ascii="Arial" w:hAnsi="Arial" w:cs="Arial"/>
        </w:rPr>
        <w:t xml:space="preserve">ública se llevó a cabo por un periodo de </w:t>
      </w:r>
      <w:r w:rsidR="00327E2B">
        <w:rPr>
          <w:rFonts w:ascii="Arial" w:hAnsi="Arial" w:cs="Arial"/>
        </w:rPr>
        <w:t>30 (</w:t>
      </w:r>
      <w:r w:rsidRPr="00730154">
        <w:rPr>
          <w:rFonts w:ascii="Arial" w:hAnsi="Arial" w:cs="Arial"/>
        </w:rPr>
        <w:t>treinta</w:t>
      </w:r>
      <w:r w:rsidR="00327E2B">
        <w:rPr>
          <w:rFonts w:ascii="Arial" w:hAnsi="Arial" w:cs="Arial"/>
        </w:rPr>
        <w:t>)</w:t>
      </w:r>
      <w:r w:rsidRPr="00730154">
        <w:rPr>
          <w:rFonts w:ascii="Arial" w:hAnsi="Arial" w:cs="Arial"/>
        </w:rPr>
        <w:t xml:space="preserve"> días hábiles, mismos que transcurrieron del </w:t>
      </w:r>
      <w:r w:rsidR="003B578B">
        <w:rPr>
          <w:rFonts w:ascii="Arial" w:hAnsi="Arial" w:cs="Arial"/>
        </w:rPr>
        <w:t>23</w:t>
      </w:r>
      <w:r w:rsidRPr="00730154">
        <w:rPr>
          <w:rFonts w:ascii="Arial" w:hAnsi="Arial" w:cs="Arial"/>
        </w:rPr>
        <w:t xml:space="preserve"> de junio al </w:t>
      </w:r>
      <w:r w:rsidR="003B578B">
        <w:rPr>
          <w:rFonts w:ascii="Arial" w:hAnsi="Arial" w:cs="Arial"/>
        </w:rPr>
        <w:t>17</w:t>
      </w:r>
      <w:r w:rsidRPr="00730154">
        <w:rPr>
          <w:rFonts w:ascii="Arial" w:hAnsi="Arial" w:cs="Arial"/>
        </w:rPr>
        <w:t xml:space="preserve"> de agosto de </w:t>
      </w:r>
      <w:r w:rsidR="003B578B">
        <w:rPr>
          <w:rFonts w:ascii="Arial" w:hAnsi="Arial" w:cs="Arial"/>
        </w:rPr>
        <w:t>2021</w:t>
      </w:r>
      <w:r w:rsidRPr="00730154">
        <w:rPr>
          <w:rFonts w:ascii="Arial" w:hAnsi="Arial" w:cs="Arial"/>
        </w:rPr>
        <w:t>.</w:t>
      </w:r>
    </w:p>
    <w:p w14:paraId="5C7424E1" w14:textId="262A38A0" w:rsidR="00077345" w:rsidRPr="00730154" w:rsidRDefault="001B04AD" w:rsidP="00630FB4">
      <w:pPr>
        <w:pStyle w:val="Ttulo1"/>
        <w:spacing w:before="120" w:after="120"/>
        <w:rPr>
          <w:rFonts w:ascii="Arial" w:hAnsi="Arial" w:cs="Arial"/>
          <w:b/>
          <w:bCs/>
          <w:color w:val="auto"/>
          <w:sz w:val="22"/>
          <w:szCs w:val="22"/>
        </w:rPr>
      </w:pPr>
      <w:r>
        <w:rPr>
          <w:rFonts w:ascii="Arial" w:hAnsi="Arial" w:cs="Arial"/>
          <w:b/>
          <w:color w:val="auto"/>
          <w:sz w:val="22"/>
          <w:szCs w:val="22"/>
        </w:rPr>
        <w:t>4</w:t>
      </w:r>
      <w:r w:rsidR="00077345" w:rsidRPr="00730154">
        <w:rPr>
          <w:rFonts w:ascii="Arial" w:hAnsi="Arial" w:cs="Arial"/>
          <w:b/>
          <w:color w:val="auto"/>
          <w:sz w:val="22"/>
          <w:szCs w:val="22"/>
        </w:rPr>
        <w:t>. Objetivo</w:t>
      </w:r>
      <w:r w:rsidR="005A67BA" w:rsidRPr="00730154">
        <w:rPr>
          <w:rFonts w:ascii="Arial" w:hAnsi="Arial" w:cs="Arial"/>
          <w:b/>
          <w:color w:val="auto"/>
          <w:sz w:val="22"/>
          <w:szCs w:val="22"/>
        </w:rPr>
        <w:t>s</w:t>
      </w:r>
      <w:r w:rsidR="00077345" w:rsidRPr="00730154">
        <w:rPr>
          <w:rFonts w:ascii="Arial" w:hAnsi="Arial" w:cs="Arial"/>
          <w:b/>
          <w:color w:val="auto"/>
          <w:sz w:val="22"/>
          <w:szCs w:val="22"/>
        </w:rPr>
        <w:t xml:space="preserve"> de la Consulta Pública</w:t>
      </w:r>
    </w:p>
    <w:p w14:paraId="63257786" w14:textId="79A4A4F3" w:rsidR="005A67BA" w:rsidRPr="00730154" w:rsidRDefault="005A67BA" w:rsidP="00630FB4">
      <w:pPr>
        <w:spacing w:before="120" w:after="120" w:line="276" w:lineRule="auto"/>
        <w:jc w:val="both"/>
        <w:rPr>
          <w:rFonts w:ascii="Arial" w:hAnsi="Arial" w:cs="Arial"/>
        </w:rPr>
      </w:pPr>
      <w:r w:rsidRPr="00730154">
        <w:rPr>
          <w:rFonts w:ascii="Arial" w:hAnsi="Arial" w:cs="Arial"/>
        </w:rPr>
        <w:t>Transparentar y fomentar la participación ciudadana en el proceso de elaboración o modificación de guías que hace referencia el artículo 12, fracción XXII, de la LFCE, recabando información, comentarios, opiniones, aportaciones u otros elementos de análisis por parte de cualquier persona, sobre algún tema de interés del Instituto, que le aporte elementos de manera previa a la emisión o realización de las guías dirigidas a los sectores o mercados de telecomunicaciones o radiodifusión; así como en materia de competencia económica en dichos sectores, mercados y mercados relacionados.</w:t>
      </w:r>
    </w:p>
    <w:p w14:paraId="505A3445" w14:textId="56013B54" w:rsidR="00B9227A" w:rsidRPr="00730154" w:rsidRDefault="001B04AD" w:rsidP="00630FB4">
      <w:pPr>
        <w:pStyle w:val="Ttulo1"/>
        <w:spacing w:before="120" w:after="120"/>
        <w:rPr>
          <w:rFonts w:ascii="Arial" w:hAnsi="Arial" w:cs="Arial"/>
          <w:b/>
          <w:bCs/>
          <w:color w:val="auto"/>
          <w:sz w:val="22"/>
          <w:szCs w:val="22"/>
        </w:rPr>
      </w:pPr>
      <w:r>
        <w:rPr>
          <w:rFonts w:ascii="Arial" w:hAnsi="Arial" w:cs="Arial"/>
          <w:b/>
          <w:bCs/>
          <w:color w:val="auto"/>
          <w:sz w:val="22"/>
          <w:szCs w:val="22"/>
        </w:rPr>
        <w:t>5</w:t>
      </w:r>
      <w:r w:rsidR="00964B56" w:rsidRPr="00730154">
        <w:rPr>
          <w:rFonts w:ascii="Arial" w:hAnsi="Arial" w:cs="Arial"/>
          <w:b/>
          <w:bCs/>
          <w:color w:val="auto"/>
          <w:sz w:val="22"/>
          <w:szCs w:val="22"/>
        </w:rPr>
        <w:t xml:space="preserve">. </w:t>
      </w:r>
      <w:r w:rsidR="005A67BA" w:rsidRPr="00730154">
        <w:rPr>
          <w:rFonts w:ascii="Arial" w:hAnsi="Arial" w:cs="Arial"/>
          <w:b/>
          <w:bCs/>
          <w:color w:val="auto"/>
          <w:sz w:val="22"/>
          <w:szCs w:val="22"/>
        </w:rPr>
        <w:t>Unidad responsable de la Consulta Pública</w:t>
      </w:r>
    </w:p>
    <w:p w14:paraId="351B2FC2" w14:textId="6CB83AC2" w:rsidR="00E15781" w:rsidRPr="00730154" w:rsidRDefault="00E15781" w:rsidP="00630FB4">
      <w:pPr>
        <w:spacing w:before="120" w:after="120" w:line="276" w:lineRule="auto"/>
        <w:jc w:val="both"/>
        <w:rPr>
          <w:rFonts w:ascii="Arial" w:eastAsia="Times New Roman" w:hAnsi="Arial" w:cs="Arial"/>
          <w:bCs/>
          <w:color w:val="000000"/>
          <w:lang w:eastAsia="es-MX"/>
        </w:rPr>
      </w:pPr>
      <w:r w:rsidRPr="00730154">
        <w:rPr>
          <w:rFonts w:ascii="Arial" w:hAnsi="Arial" w:cs="Arial"/>
        </w:rPr>
        <w:t>La UCE</w:t>
      </w:r>
      <w:r w:rsidR="00E054DA" w:rsidRPr="00730154">
        <w:rPr>
          <w:rFonts w:ascii="Arial" w:eastAsia="Times New Roman" w:hAnsi="Arial" w:cs="Arial"/>
          <w:bCs/>
          <w:color w:val="000000"/>
          <w:lang w:eastAsia="es-MX"/>
        </w:rPr>
        <w:t>.</w:t>
      </w:r>
    </w:p>
    <w:p w14:paraId="47CC9719" w14:textId="3058C265" w:rsidR="003E2214" w:rsidRPr="00730154" w:rsidRDefault="001B04AD" w:rsidP="00630FB4">
      <w:pPr>
        <w:pStyle w:val="Ttulo1"/>
        <w:spacing w:before="120" w:after="120"/>
        <w:rPr>
          <w:rFonts w:ascii="Arial" w:hAnsi="Arial" w:cs="Arial"/>
          <w:b/>
          <w:color w:val="auto"/>
          <w:sz w:val="22"/>
          <w:szCs w:val="22"/>
        </w:rPr>
      </w:pPr>
      <w:r>
        <w:rPr>
          <w:rFonts w:ascii="Arial" w:hAnsi="Arial" w:cs="Arial"/>
          <w:b/>
          <w:color w:val="auto"/>
          <w:sz w:val="22"/>
          <w:szCs w:val="22"/>
        </w:rPr>
        <w:t>6</w:t>
      </w:r>
      <w:r w:rsidR="003E2214" w:rsidRPr="00730154">
        <w:rPr>
          <w:rFonts w:ascii="Arial" w:hAnsi="Arial" w:cs="Arial"/>
          <w:b/>
          <w:color w:val="auto"/>
          <w:sz w:val="22"/>
          <w:szCs w:val="22"/>
        </w:rPr>
        <w:t xml:space="preserve">. </w:t>
      </w:r>
      <w:r w:rsidR="00E15781" w:rsidRPr="00730154">
        <w:rPr>
          <w:rFonts w:ascii="Arial" w:hAnsi="Arial" w:cs="Arial"/>
          <w:b/>
          <w:color w:val="auto"/>
          <w:sz w:val="22"/>
          <w:szCs w:val="22"/>
        </w:rPr>
        <w:t xml:space="preserve">Descripción </w:t>
      </w:r>
      <w:r w:rsidR="004F3A1C" w:rsidRPr="00730154">
        <w:rPr>
          <w:rFonts w:ascii="Arial" w:hAnsi="Arial" w:cs="Arial"/>
          <w:b/>
          <w:color w:val="auto"/>
          <w:sz w:val="22"/>
          <w:szCs w:val="22"/>
        </w:rPr>
        <w:t>de los participantes de la Consulta Pública</w:t>
      </w:r>
    </w:p>
    <w:p w14:paraId="3A05F8B6" w14:textId="5DA4382E" w:rsidR="004F3A1C" w:rsidRPr="00730154" w:rsidRDefault="004F3A1C" w:rsidP="00630FB4">
      <w:pPr>
        <w:pStyle w:val="Listavistosa-nfasis11"/>
        <w:spacing w:before="120" w:after="120" w:line="276" w:lineRule="auto"/>
        <w:ind w:left="0" w:right="51"/>
        <w:contextualSpacing w:val="0"/>
        <w:jc w:val="both"/>
        <w:rPr>
          <w:rFonts w:ascii="Arial" w:hAnsi="Arial" w:cs="Arial"/>
          <w:szCs w:val="14"/>
        </w:rPr>
      </w:pPr>
      <w:r w:rsidRPr="00730154">
        <w:rPr>
          <w:rFonts w:ascii="Arial" w:hAnsi="Arial" w:cs="Arial"/>
          <w:szCs w:val="14"/>
        </w:rPr>
        <w:t xml:space="preserve">En el proceso de </w:t>
      </w:r>
      <w:r w:rsidR="00327E2B">
        <w:rPr>
          <w:rFonts w:ascii="Arial" w:hAnsi="Arial" w:cs="Arial"/>
          <w:szCs w:val="14"/>
        </w:rPr>
        <w:t>C</w:t>
      </w:r>
      <w:r w:rsidRPr="00730154">
        <w:rPr>
          <w:rFonts w:ascii="Arial" w:hAnsi="Arial" w:cs="Arial"/>
          <w:szCs w:val="14"/>
        </w:rPr>
        <w:t xml:space="preserve">onsulta </w:t>
      </w:r>
      <w:r w:rsidR="00327E2B">
        <w:rPr>
          <w:rFonts w:ascii="Arial" w:hAnsi="Arial" w:cs="Arial"/>
          <w:szCs w:val="14"/>
        </w:rPr>
        <w:t>P</w:t>
      </w:r>
      <w:r w:rsidRPr="00730154">
        <w:rPr>
          <w:rFonts w:ascii="Arial" w:hAnsi="Arial" w:cs="Arial"/>
          <w:szCs w:val="14"/>
        </w:rPr>
        <w:t>ública s</w:t>
      </w:r>
      <w:r w:rsidRPr="00730154">
        <w:rPr>
          <w:rFonts w:ascii="Arial" w:hAnsi="Arial" w:cs="Arial"/>
        </w:rPr>
        <w:t xml:space="preserve">e recibieron 4 </w:t>
      </w:r>
      <w:r w:rsidR="00327E2B">
        <w:rPr>
          <w:rFonts w:ascii="Arial" w:hAnsi="Arial" w:cs="Arial"/>
        </w:rPr>
        <w:t xml:space="preserve">(escritos) </w:t>
      </w:r>
      <w:r w:rsidRPr="00730154">
        <w:rPr>
          <w:rFonts w:ascii="Arial" w:hAnsi="Arial" w:cs="Arial"/>
        </w:rPr>
        <w:t>escritos de participantes a través del correo electrónico habilitado para tal efecto y por medio de la oficialía de partes del Instituto, mismos que se describen e identifican en el cuadro siguiente: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0"/>
        <w:gridCol w:w="1701"/>
        <w:gridCol w:w="1854"/>
        <w:gridCol w:w="2682"/>
      </w:tblGrid>
      <w:tr w:rsidR="004F3A1C" w:rsidRPr="00730154" w14:paraId="19BEE22A" w14:textId="77777777" w:rsidTr="004F3A1C">
        <w:trPr>
          <w:tblHeader/>
          <w:jc w:val="center"/>
        </w:trPr>
        <w:tc>
          <w:tcPr>
            <w:tcW w:w="2400" w:type="dxa"/>
            <w:shd w:val="clear" w:color="auto" w:fill="92D050"/>
            <w:tcMar>
              <w:top w:w="0" w:type="dxa"/>
              <w:left w:w="108" w:type="dxa"/>
              <w:bottom w:w="0" w:type="dxa"/>
              <w:right w:w="108" w:type="dxa"/>
            </w:tcMar>
            <w:vAlign w:val="center"/>
            <w:hideMark/>
          </w:tcPr>
          <w:p w14:paraId="16AE7D8E" w14:textId="77777777" w:rsidR="004F3A1C" w:rsidRPr="00730154" w:rsidRDefault="004F3A1C" w:rsidP="00730154">
            <w:pPr>
              <w:spacing w:before="120" w:after="120" w:line="23" w:lineRule="atLeast"/>
              <w:jc w:val="center"/>
              <w:rPr>
                <w:rFonts w:ascii="Arial" w:hAnsi="Arial" w:cs="Arial"/>
                <w:b/>
                <w:bCs/>
                <w:sz w:val="18"/>
                <w:szCs w:val="18"/>
              </w:rPr>
            </w:pPr>
            <w:r w:rsidRPr="00730154">
              <w:rPr>
                <w:rFonts w:ascii="Arial" w:hAnsi="Arial" w:cs="Arial"/>
                <w:b/>
                <w:bCs/>
                <w:sz w:val="18"/>
                <w:szCs w:val="18"/>
              </w:rPr>
              <w:t>Participantes</w:t>
            </w:r>
          </w:p>
        </w:tc>
        <w:tc>
          <w:tcPr>
            <w:tcW w:w="1701" w:type="dxa"/>
            <w:shd w:val="clear" w:color="auto" w:fill="92D050"/>
            <w:tcMar>
              <w:top w:w="0" w:type="dxa"/>
              <w:left w:w="108" w:type="dxa"/>
              <w:bottom w:w="0" w:type="dxa"/>
              <w:right w:w="108" w:type="dxa"/>
            </w:tcMar>
            <w:vAlign w:val="center"/>
            <w:hideMark/>
          </w:tcPr>
          <w:p w14:paraId="3F136ACE" w14:textId="77777777" w:rsidR="004F3A1C" w:rsidRPr="00730154" w:rsidRDefault="004F3A1C" w:rsidP="00730154">
            <w:pPr>
              <w:spacing w:before="120" w:after="120" w:line="23" w:lineRule="atLeast"/>
              <w:jc w:val="center"/>
              <w:rPr>
                <w:rFonts w:ascii="Arial" w:hAnsi="Arial" w:cs="Arial"/>
                <w:b/>
                <w:bCs/>
                <w:sz w:val="18"/>
                <w:szCs w:val="18"/>
              </w:rPr>
            </w:pPr>
            <w:r w:rsidRPr="00730154">
              <w:rPr>
                <w:rFonts w:ascii="Arial" w:hAnsi="Arial" w:cs="Arial"/>
                <w:b/>
                <w:bCs/>
                <w:sz w:val="18"/>
                <w:szCs w:val="18"/>
              </w:rPr>
              <w:t>Fecha de presentación</w:t>
            </w:r>
          </w:p>
        </w:tc>
        <w:tc>
          <w:tcPr>
            <w:tcW w:w="1854" w:type="dxa"/>
            <w:shd w:val="clear" w:color="auto" w:fill="92D050"/>
            <w:tcMar>
              <w:top w:w="0" w:type="dxa"/>
              <w:left w:w="108" w:type="dxa"/>
              <w:bottom w:w="0" w:type="dxa"/>
              <w:right w:w="108" w:type="dxa"/>
            </w:tcMar>
            <w:vAlign w:val="center"/>
            <w:hideMark/>
          </w:tcPr>
          <w:p w14:paraId="66F53FD8" w14:textId="77777777" w:rsidR="004F3A1C" w:rsidRPr="00730154" w:rsidRDefault="004F3A1C" w:rsidP="00730154">
            <w:pPr>
              <w:spacing w:before="120" w:after="120" w:line="23" w:lineRule="atLeast"/>
              <w:jc w:val="center"/>
              <w:rPr>
                <w:rFonts w:ascii="Arial" w:hAnsi="Arial" w:cs="Arial"/>
                <w:b/>
                <w:bCs/>
                <w:sz w:val="18"/>
                <w:szCs w:val="18"/>
              </w:rPr>
            </w:pPr>
            <w:r w:rsidRPr="00730154">
              <w:rPr>
                <w:rFonts w:ascii="Arial" w:hAnsi="Arial" w:cs="Arial"/>
                <w:b/>
                <w:bCs/>
                <w:sz w:val="18"/>
                <w:szCs w:val="18"/>
              </w:rPr>
              <w:t>Hora de presentación</w:t>
            </w:r>
          </w:p>
        </w:tc>
        <w:tc>
          <w:tcPr>
            <w:tcW w:w="2682" w:type="dxa"/>
            <w:shd w:val="clear" w:color="auto" w:fill="92D050"/>
            <w:vAlign w:val="center"/>
            <w:hideMark/>
          </w:tcPr>
          <w:p w14:paraId="699F2798" w14:textId="77777777" w:rsidR="004F3A1C" w:rsidRPr="00730154" w:rsidRDefault="004F3A1C" w:rsidP="00730154">
            <w:pPr>
              <w:spacing w:before="120" w:after="120" w:line="23" w:lineRule="atLeast"/>
              <w:jc w:val="center"/>
              <w:rPr>
                <w:rFonts w:ascii="Arial" w:hAnsi="Arial" w:cs="Arial"/>
                <w:b/>
                <w:bCs/>
                <w:sz w:val="18"/>
                <w:szCs w:val="18"/>
              </w:rPr>
            </w:pPr>
            <w:r w:rsidRPr="00730154">
              <w:rPr>
                <w:rFonts w:ascii="Arial" w:hAnsi="Arial" w:cs="Arial"/>
                <w:b/>
                <w:bCs/>
                <w:sz w:val="18"/>
                <w:szCs w:val="18"/>
              </w:rPr>
              <w:t>Formato de presentación</w:t>
            </w:r>
          </w:p>
        </w:tc>
      </w:tr>
      <w:tr w:rsidR="004F3A1C" w:rsidRPr="00730154" w14:paraId="3FE2FC4B" w14:textId="77777777" w:rsidTr="004F3A1C">
        <w:trPr>
          <w:trHeight w:val="449"/>
          <w:jc w:val="center"/>
        </w:trPr>
        <w:tc>
          <w:tcPr>
            <w:tcW w:w="2400" w:type="dxa"/>
            <w:shd w:val="clear" w:color="auto" w:fill="auto"/>
            <w:tcMar>
              <w:top w:w="0" w:type="dxa"/>
              <w:left w:w="108" w:type="dxa"/>
              <w:bottom w:w="0" w:type="dxa"/>
              <w:right w:w="108" w:type="dxa"/>
            </w:tcMar>
            <w:vAlign w:val="center"/>
          </w:tcPr>
          <w:p w14:paraId="4AF726F8" w14:textId="77777777" w:rsidR="004F3A1C" w:rsidRPr="00730154" w:rsidRDefault="004F3A1C" w:rsidP="00730154">
            <w:pPr>
              <w:spacing w:before="120" w:after="120" w:line="23" w:lineRule="atLeast"/>
              <w:jc w:val="both"/>
              <w:rPr>
                <w:rFonts w:ascii="Arial" w:hAnsi="Arial" w:cs="Arial"/>
                <w:sz w:val="18"/>
                <w:szCs w:val="18"/>
              </w:rPr>
            </w:pPr>
            <w:r w:rsidRPr="00730154">
              <w:rPr>
                <w:rFonts w:ascii="Arial" w:hAnsi="Arial" w:cs="Arial"/>
                <w:sz w:val="18"/>
                <w:szCs w:val="18"/>
              </w:rPr>
              <w:t>Participante 1</w:t>
            </w:r>
          </w:p>
        </w:tc>
        <w:tc>
          <w:tcPr>
            <w:tcW w:w="1701" w:type="dxa"/>
            <w:shd w:val="clear" w:color="auto" w:fill="auto"/>
            <w:tcMar>
              <w:top w:w="0" w:type="dxa"/>
              <w:left w:w="108" w:type="dxa"/>
              <w:bottom w:w="0" w:type="dxa"/>
              <w:right w:w="108" w:type="dxa"/>
            </w:tcMar>
            <w:vAlign w:val="center"/>
          </w:tcPr>
          <w:p w14:paraId="069EDD67" w14:textId="77777777" w:rsidR="004F3A1C" w:rsidRPr="00730154" w:rsidRDefault="004F3A1C" w:rsidP="00730154">
            <w:pPr>
              <w:spacing w:before="120" w:after="120" w:line="23" w:lineRule="atLeast"/>
              <w:jc w:val="center"/>
              <w:rPr>
                <w:rFonts w:ascii="Arial" w:hAnsi="Arial" w:cs="Arial"/>
                <w:b/>
                <w:sz w:val="18"/>
                <w:szCs w:val="18"/>
              </w:rPr>
            </w:pPr>
            <w:r w:rsidRPr="00730154">
              <w:rPr>
                <w:rFonts w:ascii="Arial" w:hAnsi="Arial" w:cs="Arial"/>
                <w:b/>
                <w:sz w:val="18"/>
                <w:szCs w:val="18"/>
              </w:rPr>
              <w:t>17/08/2021</w:t>
            </w:r>
          </w:p>
        </w:tc>
        <w:tc>
          <w:tcPr>
            <w:tcW w:w="1854" w:type="dxa"/>
            <w:shd w:val="clear" w:color="auto" w:fill="auto"/>
            <w:tcMar>
              <w:top w:w="0" w:type="dxa"/>
              <w:left w:w="108" w:type="dxa"/>
              <w:bottom w:w="0" w:type="dxa"/>
              <w:right w:w="108" w:type="dxa"/>
            </w:tcMar>
            <w:vAlign w:val="center"/>
          </w:tcPr>
          <w:p w14:paraId="17A05BB6" w14:textId="77777777" w:rsidR="004F3A1C" w:rsidRPr="00730154" w:rsidRDefault="004F3A1C" w:rsidP="00730154">
            <w:pPr>
              <w:spacing w:before="120" w:after="120" w:line="23" w:lineRule="atLeast"/>
              <w:jc w:val="center"/>
              <w:rPr>
                <w:rFonts w:ascii="Arial" w:hAnsi="Arial" w:cs="Arial"/>
                <w:b/>
                <w:sz w:val="18"/>
                <w:szCs w:val="18"/>
              </w:rPr>
            </w:pPr>
            <w:r w:rsidRPr="00730154">
              <w:rPr>
                <w:rFonts w:ascii="Arial" w:hAnsi="Arial" w:cs="Arial"/>
                <w:b/>
                <w:sz w:val="18"/>
                <w:szCs w:val="18"/>
              </w:rPr>
              <w:t>18:08</w:t>
            </w:r>
          </w:p>
        </w:tc>
        <w:tc>
          <w:tcPr>
            <w:tcW w:w="2682" w:type="dxa"/>
            <w:shd w:val="clear" w:color="auto" w:fill="auto"/>
            <w:vAlign w:val="center"/>
          </w:tcPr>
          <w:p w14:paraId="7DEB1DCB" w14:textId="77777777" w:rsidR="004F3A1C" w:rsidRPr="00730154" w:rsidRDefault="004F3A1C" w:rsidP="00730154">
            <w:pPr>
              <w:spacing w:before="120" w:after="120" w:line="23" w:lineRule="atLeast"/>
              <w:jc w:val="center"/>
              <w:rPr>
                <w:rFonts w:ascii="Arial" w:hAnsi="Arial" w:cs="Arial"/>
                <w:sz w:val="18"/>
                <w:szCs w:val="18"/>
              </w:rPr>
            </w:pPr>
            <w:r w:rsidRPr="00730154">
              <w:rPr>
                <w:rFonts w:ascii="Arial" w:hAnsi="Arial" w:cs="Arial"/>
                <w:sz w:val="18"/>
                <w:szCs w:val="18"/>
              </w:rPr>
              <w:t>Oficio presentado en oficialía de partes del Instituto.</w:t>
            </w:r>
          </w:p>
        </w:tc>
      </w:tr>
      <w:tr w:rsidR="004F3A1C" w:rsidRPr="00730154" w14:paraId="1FBE1A78" w14:textId="77777777" w:rsidTr="004F3A1C">
        <w:trPr>
          <w:trHeight w:val="449"/>
          <w:jc w:val="center"/>
        </w:trPr>
        <w:tc>
          <w:tcPr>
            <w:tcW w:w="2400" w:type="dxa"/>
            <w:shd w:val="clear" w:color="auto" w:fill="auto"/>
            <w:tcMar>
              <w:top w:w="0" w:type="dxa"/>
              <w:left w:w="108" w:type="dxa"/>
              <w:bottom w:w="0" w:type="dxa"/>
              <w:right w:w="108" w:type="dxa"/>
            </w:tcMar>
            <w:vAlign w:val="center"/>
          </w:tcPr>
          <w:p w14:paraId="01F5935B" w14:textId="77777777" w:rsidR="004F3A1C" w:rsidRPr="00730154" w:rsidRDefault="004F3A1C" w:rsidP="00730154">
            <w:pPr>
              <w:spacing w:before="120" w:after="120" w:line="23" w:lineRule="atLeast"/>
              <w:jc w:val="both"/>
              <w:rPr>
                <w:rFonts w:ascii="Arial" w:hAnsi="Arial" w:cs="Arial"/>
                <w:sz w:val="18"/>
                <w:szCs w:val="18"/>
              </w:rPr>
            </w:pPr>
            <w:r w:rsidRPr="00730154">
              <w:rPr>
                <w:rFonts w:ascii="Arial" w:hAnsi="Arial" w:cs="Arial"/>
                <w:sz w:val="18"/>
                <w:szCs w:val="18"/>
              </w:rPr>
              <w:t>Participante 2</w:t>
            </w:r>
          </w:p>
        </w:tc>
        <w:tc>
          <w:tcPr>
            <w:tcW w:w="1701" w:type="dxa"/>
            <w:shd w:val="clear" w:color="auto" w:fill="auto"/>
            <w:tcMar>
              <w:top w:w="0" w:type="dxa"/>
              <w:left w:w="108" w:type="dxa"/>
              <w:bottom w:w="0" w:type="dxa"/>
              <w:right w:w="108" w:type="dxa"/>
            </w:tcMar>
            <w:vAlign w:val="center"/>
          </w:tcPr>
          <w:p w14:paraId="4522AFD3" w14:textId="77777777" w:rsidR="004F3A1C" w:rsidRPr="00730154" w:rsidRDefault="004F3A1C" w:rsidP="00730154">
            <w:pPr>
              <w:spacing w:before="120" w:after="120" w:line="23" w:lineRule="atLeast"/>
              <w:jc w:val="center"/>
              <w:rPr>
                <w:rFonts w:ascii="Arial" w:hAnsi="Arial" w:cs="Arial"/>
                <w:b/>
                <w:sz w:val="18"/>
                <w:szCs w:val="18"/>
              </w:rPr>
            </w:pPr>
            <w:r w:rsidRPr="00730154">
              <w:rPr>
                <w:rFonts w:ascii="Arial" w:hAnsi="Arial" w:cs="Arial"/>
                <w:b/>
                <w:sz w:val="18"/>
                <w:szCs w:val="18"/>
              </w:rPr>
              <w:t>17/08/2021</w:t>
            </w:r>
          </w:p>
        </w:tc>
        <w:tc>
          <w:tcPr>
            <w:tcW w:w="1854" w:type="dxa"/>
            <w:shd w:val="clear" w:color="auto" w:fill="auto"/>
            <w:tcMar>
              <w:top w:w="0" w:type="dxa"/>
              <w:left w:w="108" w:type="dxa"/>
              <w:bottom w:w="0" w:type="dxa"/>
              <w:right w:w="108" w:type="dxa"/>
            </w:tcMar>
            <w:vAlign w:val="center"/>
          </w:tcPr>
          <w:p w14:paraId="5EBFFA1C" w14:textId="77777777" w:rsidR="004F3A1C" w:rsidRPr="00730154" w:rsidRDefault="004F3A1C" w:rsidP="00730154">
            <w:pPr>
              <w:spacing w:before="120" w:after="120" w:line="23" w:lineRule="atLeast"/>
              <w:jc w:val="center"/>
              <w:rPr>
                <w:rFonts w:ascii="Arial" w:hAnsi="Arial" w:cs="Arial"/>
                <w:b/>
                <w:sz w:val="18"/>
                <w:szCs w:val="18"/>
              </w:rPr>
            </w:pPr>
            <w:r w:rsidRPr="00730154">
              <w:rPr>
                <w:rFonts w:ascii="Arial" w:hAnsi="Arial" w:cs="Arial"/>
                <w:b/>
                <w:sz w:val="18"/>
                <w:szCs w:val="18"/>
              </w:rPr>
              <w:t>18:11</w:t>
            </w:r>
          </w:p>
        </w:tc>
        <w:tc>
          <w:tcPr>
            <w:tcW w:w="2682" w:type="dxa"/>
            <w:shd w:val="clear" w:color="auto" w:fill="auto"/>
            <w:vAlign w:val="center"/>
          </w:tcPr>
          <w:p w14:paraId="05EAE775" w14:textId="77777777" w:rsidR="004F3A1C" w:rsidRPr="00730154" w:rsidRDefault="004F3A1C" w:rsidP="00730154">
            <w:pPr>
              <w:spacing w:before="120" w:after="120" w:line="23" w:lineRule="atLeast"/>
              <w:jc w:val="center"/>
              <w:rPr>
                <w:rFonts w:ascii="Arial" w:hAnsi="Arial" w:cs="Arial"/>
                <w:sz w:val="18"/>
                <w:szCs w:val="18"/>
              </w:rPr>
            </w:pPr>
            <w:r w:rsidRPr="00730154">
              <w:rPr>
                <w:rFonts w:ascii="Arial" w:hAnsi="Arial" w:cs="Arial"/>
                <w:sz w:val="18"/>
                <w:szCs w:val="18"/>
              </w:rPr>
              <w:t>Correo electrónico</w:t>
            </w:r>
          </w:p>
        </w:tc>
      </w:tr>
      <w:tr w:rsidR="004F3A1C" w:rsidRPr="00730154" w14:paraId="63EABA00" w14:textId="77777777" w:rsidTr="004F3A1C">
        <w:trPr>
          <w:trHeight w:val="449"/>
          <w:jc w:val="center"/>
        </w:trPr>
        <w:tc>
          <w:tcPr>
            <w:tcW w:w="2400" w:type="dxa"/>
            <w:shd w:val="clear" w:color="auto" w:fill="auto"/>
            <w:tcMar>
              <w:top w:w="0" w:type="dxa"/>
              <w:left w:w="108" w:type="dxa"/>
              <w:bottom w:w="0" w:type="dxa"/>
              <w:right w:w="108" w:type="dxa"/>
            </w:tcMar>
            <w:vAlign w:val="center"/>
          </w:tcPr>
          <w:p w14:paraId="5B0A3274" w14:textId="77777777" w:rsidR="004F3A1C" w:rsidRPr="00730154" w:rsidRDefault="004F3A1C" w:rsidP="00730154">
            <w:pPr>
              <w:spacing w:before="120" w:after="120" w:line="23" w:lineRule="atLeast"/>
              <w:jc w:val="both"/>
              <w:rPr>
                <w:rFonts w:ascii="Arial" w:hAnsi="Arial" w:cs="Arial"/>
                <w:sz w:val="18"/>
                <w:szCs w:val="18"/>
              </w:rPr>
            </w:pPr>
            <w:r w:rsidRPr="00730154">
              <w:rPr>
                <w:rFonts w:ascii="Arial" w:hAnsi="Arial" w:cs="Arial"/>
                <w:sz w:val="18"/>
                <w:szCs w:val="18"/>
              </w:rPr>
              <w:t>Participante 3</w:t>
            </w:r>
          </w:p>
        </w:tc>
        <w:tc>
          <w:tcPr>
            <w:tcW w:w="1701" w:type="dxa"/>
            <w:shd w:val="clear" w:color="auto" w:fill="auto"/>
            <w:tcMar>
              <w:top w:w="0" w:type="dxa"/>
              <w:left w:w="108" w:type="dxa"/>
              <w:bottom w:w="0" w:type="dxa"/>
              <w:right w:w="108" w:type="dxa"/>
            </w:tcMar>
          </w:tcPr>
          <w:p w14:paraId="313E6335" w14:textId="77777777" w:rsidR="004F3A1C" w:rsidRPr="00730154" w:rsidRDefault="004F3A1C" w:rsidP="00730154">
            <w:pPr>
              <w:spacing w:before="120" w:after="120" w:line="23" w:lineRule="atLeast"/>
              <w:jc w:val="center"/>
              <w:rPr>
                <w:rFonts w:ascii="Arial" w:hAnsi="Arial" w:cs="Arial"/>
                <w:b/>
                <w:sz w:val="18"/>
                <w:szCs w:val="18"/>
              </w:rPr>
            </w:pPr>
            <w:r w:rsidRPr="00730154">
              <w:rPr>
                <w:rFonts w:ascii="Arial" w:hAnsi="Arial" w:cs="Arial"/>
                <w:b/>
                <w:sz w:val="18"/>
                <w:szCs w:val="18"/>
              </w:rPr>
              <w:t>17/08/2021</w:t>
            </w:r>
          </w:p>
        </w:tc>
        <w:tc>
          <w:tcPr>
            <w:tcW w:w="1854" w:type="dxa"/>
            <w:shd w:val="clear" w:color="auto" w:fill="auto"/>
            <w:tcMar>
              <w:top w:w="0" w:type="dxa"/>
              <w:left w:w="108" w:type="dxa"/>
              <w:bottom w:w="0" w:type="dxa"/>
              <w:right w:w="108" w:type="dxa"/>
            </w:tcMar>
          </w:tcPr>
          <w:p w14:paraId="4170C4A4" w14:textId="77777777" w:rsidR="004F3A1C" w:rsidRPr="00730154" w:rsidRDefault="004F3A1C" w:rsidP="00730154">
            <w:pPr>
              <w:spacing w:before="120" w:after="120" w:line="23" w:lineRule="atLeast"/>
              <w:jc w:val="center"/>
              <w:rPr>
                <w:rFonts w:ascii="Arial" w:hAnsi="Arial" w:cs="Arial"/>
                <w:b/>
                <w:sz w:val="18"/>
                <w:szCs w:val="18"/>
              </w:rPr>
            </w:pPr>
            <w:r w:rsidRPr="00730154">
              <w:rPr>
                <w:rFonts w:ascii="Arial" w:hAnsi="Arial" w:cs="Arial"/>
                <w:b/>
                <w:sz w:val="18"/>
                <w:szCs w:val="18"/>
              </w:rPr>
              <w:t>19:22</w:t>
            </w:r>
          </w:p>
        </w:tc>
        <w:tc>
          <w:tcPr>
            <w:tcW w:w="2682" w:type="dxa"/>
            <w:shd w:val="clear" w:color="auto" w:fill="auto"/>
          </w:tcPr>
          <w:p w14:paraId="1E349FFF" w14:textId="77777777" w:rsidR="004F3A1C" w:rsidRPr="00730154" w:rsidRDefault="004F3A1C" w:rsidP="00730154">
            <w:pPr>
              <w:spacing w:before="120" w:after="120" w:line="23" w:lineRule="atLeast"/>
              <w:jc w:val="center"/>
              <w:rPr>
                <w:rFonts w:ascii="Arial" w:hAnsi="Arial" w:cs="Arial"/>
                <w:sz w:val="18"/>
                <w:szCs w:val="18"/>
              </w:rPr>
            </w:pPr>
            <w:r w:rsidRPr="00730154">
              <w:rPr>
                <w:rFonts w:ascii="Arial" w:hAnsi="Arial" w:cs="Arial"/>
                <w:sz w:val="18"/>
                <w:szCs w:val="18"/>
              </w:rPr>
              <w:t>Correo electrónico.</w:t>
            </w:r>
          </w:p>
        </w:tc>
      </w:tr>
      <w:tr w:rsidR="004F3A1C" w:rsidRPr="00730154" w14:paraId="602A78C2" w14:textId="77777777" w:rsidTr="004F3A1C">
        <w:trPr>
          <w:trHeight w:val="449"/>
          <w:jc w:val="center"/>
        </w:trPr>
        <w:tc>
          <w:tcPr>
            <w:tcW w:w="2400" w:type="dxa"/>
            <w:shd w:val="clear" w:color="auto" w:fill="auto"/>
            <w:tcMar>
              <w:top w:w="0" w:type="dxa"/>
              <w:left w:w="108" w:type="dxa"/>
              <w:bottom w:w="0" w:type="dxa"/>
              <w:right w:w="108" w:type="dxa"/>
            </w:tcMar>
            <w:vAlign w:val="center"/>
          </w:tcPr>
          <w:p w14:paraId="3EEE6CF7" w14:textId="77777777" w:rsidR="004F3A1C" w:rsidRPr="00730154" w:rsidRDefault="004F3A1C" w:rsidP="00730154">
            <w:pPr>
              <w:spacing w:before="120" w:after="120" w:line="23" w:lineRule="atLeast"/>
              <w:jc w:val="both"/>
              <w:rPr>
                <w:rFonts w:ascii="Arial" w:hAnsi="Arial" w:cs="Arial"/>
                <w:sz w:val="18"/>
                <w:szCs w:val="18"/>
              </w:rPr>
            </w:pPr>
            <w:r w:rsidRPr="00730154">
              <w:rPr>
                <w:rFonts w:ascii="Arial" w:hAnsi="Arial" w:cs="Arial"/>
                <w:sz w:val="18"/>
                <w:szCs w:val="18"/>
              </w:rPr>
              <w:t>Participante 4</w:t>
            </w:r>
          </w:p>
        </w:tc>
        <w:tc>
          <w:tcPr>
            <w:tcW w:w="1701" w:type="dxa"/>
            <w:shd w:val="clear" w:color="auto" w:fill="auto"/>
            <w:tcMar>
              <w:top w:w="0" w:type="dxa"/>
              <w:left w:w="108" w:type="dxa"/>
              <w:bottom w:w="0" w:type="dxa"/>
              <w:right w:w="108" w:type="dxa"/>
            </w:tcMar>
          </w:tcPr>
          <w:p w14:paraId="5BD706D6" w14:textId="77777777" w:rsidR="004F3A1C" w:rsidRPr="00730154" w:rsidRDefault="004F3A1C" w:rsidP="00730154">
            <w:pPr>
              <w:spacing w:before="120" w:after="120" w:line="23" w:lineRule="atLeast"/>
              <w:jc w:val="center"/>
              <w:rPr>
                <w:rFonts w:ascii="Arial" w:hAnsi="Arial" w:cs="Arial"/>
                <w:b/>
                <w:sz w:val="18"/>
                <w:szCs w:val="18"/>
              </w:rPr>
            </w:pPr>
            <w:r w:rsidRPr="00730154">
              <w:rPr>
                <w:rFonts w:ascii="Arial" w:hAnsi="Arial" w:cs="Arial"/>
                <w:b/>
                <w:sz w:val="18"/>
                <w:szCs w:val="18"/>
              </w:rPr>
              <w:t>17/08/2021</w:t>
            </w:r>
          </w:p>
        </w:tc>
        <w:tc>
          <w:tcPr>
            <w:tcW w:w="1854" w:type="dxa"/>
            <w:shd w:val="clear" w:color="auto" w:fill="auto"/>
            <w:tcMar>
              <w:top w:w="0" w:type="dxa"/>
              <w:left w:w="108" w:type="dxa"/>
              <w:bottom w:w="0" w:type="dxa"/>
              <w:right w:w="108" w:type="dxa"/>
            </w:tcMar>
          </w:tcPr>
          <w:p w14:paraId="632E280A" w14:textId="77777777" w:rsidR="004F3A1C" w:rsidRPr="00730154" w:rsidRDefault="004F3A1C" w:rsidP="00730154">
            <w:pPr>
              <w:spacing w:before="120" w:after="120" w:line="23" w:lineRule="atLeast"/>
              <w:jc w:val="center"/>
              <w:rPr>
                <w:rFonts w:ascii="Arial" w:hAnsi="Arial" w:cs="Arial"/>
                <w:b/>
                <w:sz w:val="18"/>
                <w:szCs w:val="18"/>
              </w:rPr>
            </w:pPr>
            <w:r w:rsidRPr="00730154">
              <w:rPr>
                <w:rFonts w:ascii="Arial" w:hAnsi="Arial" w:cs="Arial"/>
                <w:b/>
                <w:sz w:val="18"/>
                <w:szCs w:val="18"/>
              </w:rPr>
              <w:t>22:33</w:t>
            </w:r>
          </w:p>
        </w:tc>
        <w:tc>
          <w:tcPr>
            <w:tcW w:w="2682" w:type="dxa"/>
            <w:shd w:val="clear" w:color="auto" w:fill="auto"/>
          </w:tcPr>
          <w:p w14:paraId="7CC301D6" w14:textId="77777777" w:rsidR="004F3A1C" w:rsidRPr="00730154" w:rsidRDefault="004F3A1C" w:rsidP="00730154">
            <w:pPr>
              <w:spacing w:before="120" w:after="120" w:line="23" w:lineRule="atLeast"/>
              <w:jc w:val="center"/>
              <w:rPr>
                <w:rFonts w:ascii="Arial" w:hAnsi="Arial" w:cs="Arial"/>
                <w:sz w:val="18"/>
                <w:szCs w:val="18"/>
              </w:rPr>
            </w:pPr>
            <w:r w:rsidRPr="00730154">
              <w:rPr>
                <w:rFonts w:ascii="Arial" w:hAnsi="Arial" w:cs="Arial"/>
                <w:sz w:val="18"/>
                <w:szCs w:val="18"/>
              </w:rPr>
              <w:t>Correo electrónico.</w:t>
            </w:r>
          </w:p>
        </w:tc>
      </w:tr>
    </w:tbl>
    <w:p w14:paraId="70CD8BA6" w14:textId="74BB78CF" w:rsidR="003E2214" w:rsidRPr="00730154" w:rsidRDefault="00A35818" w:rsidP="00730154">
      <w:pPr>
        <w:spacing w:before="120" w:after="120" w:line="23" w:lineRule="atLeast"/>
        <w:jc w:val="both"/>
        <w:rPr>
          <w:rFonts w:ascii="Arial" w:hAnsi="Arial" w:cs="Arial"/>
          <w:szCs w:val="14"/>
        </w:rPr>
      </w:pPr>
      <w:r w:rsidRPr="00730154">
        <w:rPr>
          <w:rFonts w:ascii="Arial" w:hAnsi="Arial" w:cs="Arial"/>
        </w:rPr>
        <w:t xml:space="preserve">Los comentarios presentados </w:t>
      </w:r>
      <w:r w:rsidR="00327E2B">
        <w:rPr>
          <w:rFonts w:ascii="Arial" w:hAnsi="Arial" w:cs="Arial"/>
        </w:rPr>
        <w:t>se encuentran disponible</w:t>
      </w:r>
      <w:r w:rsidR="00E574C1">
        <w:rPr>
          <w:rFonts w:ascii="Arial" w:hAnsi="Arial" w:cs="Arial"/>
        </w:rPr>
        <w:t>s</w:t>
      </w:r>
      <w:r w:rsidR="00327E2B">
        <w:rPr>
          <w:rFonts w:ascii="Arial" w:hAnsi="Arial" w:cs="Arial"/>
        </w:rPr>
        <w:t xml:space="preserve"> en </w:t>
      </w:r>
      <w:hyperlink r:id="rId11" w:history="1">
        <w:r w:rsidR="00327E2B" w:rsidRPr="00DE3249">
          <w:rPr>
            <w:rStyle w:val="Hipervnculo"/>
            <w:rFonts w:ascii="Arial" w:hAnsi="Arial" w:cs="Arial"/>
          </w:rPr>
          <w:t>http://www.ift.org.mx/industria/consultas-publicas/guia-para-la-determinacion-de-multas-en-materia-de-competencia-economica-en-los-sectores-de-0</w:t>
        </w:r>
      </w:hyperlink>
      <w:r w:rsidRPr="00730154">
        <w:rPr>
          <w:rFonts w:ascii="Arial" w:hAnsi="Arial" w:cs="Arial"/>
          <w:szCs w:val="14"/>
        </w:rPr>
        <w:t>.</w:t>
      </w:r>
    </w:p>
    <w:p w14:paraId="450A8D15" w14:textId="526261D5" w:rsidR="003E2214" w:rsidRPr="00730154" w:rsidRDefault="001B04AD" w:rsidP="00730154">
      <w:pPr>
        <w:pStyle w:val="Ttulo1"/>
        <w:spacing w:before="120" w:after="120" w:line="23" w:lineRule="atLeast"/>
        <w:jc w:val="both"/>
        <w:rPr>
          <w:rFonts w:ascii="Arial" w:hAnsi="Arial" w:cs="Arial"/>
        </w:rPr>
      </w:pPr>
      <w:r>
        <w:rPr>
          <w:rFonts w:ascii="Arial" w:hAnsi="Arial" w:cs="Arial"/>
          <w:b/>
          <w:color w:val="auto"/>
          <w:sz w:val="22"/>
          <w:szCs w:val="22"/>
        </w:rPr>
        <w:t>7</w:t>
      </w:r>
      <w:r w:rsidR="003E2214" w:rsidRPr="00730154">
        <w:rPr>
          <w:rFonts w:ascii="Arial" w:hAnsi="Arial" w:cs="Arial"/>
          <w:b/>
          <w:color w:val="auto"/>
          <w:sz w:val="22"/>
          <w:szCs w:val="22"/>
        </w:rPr>
        <w:t xml:space="preserve">. </w:t>
      </w:r>
      <w:r w:rsidR="0032362F" w:rsidRPr="00730154">
        <w:rPr>
          <w:rFonts w:ascii="Arial" w:hAnsi="Arial" w:cs="Arial"/>
          <w:b/>
          <w:color w:val="auto"/>
          <w:sz w:val="22"/>
          <w:szCs w:val="22"/>
        </w:rPr>
        <w:t xml:space="preserve">Respuestas o posicionamientos </w:t>
      </w:r>
      <w:r w:rsidR="00E574C1">
        <w:rPr>
          <w:rFonts w:ascii="Arial" w:hAnsi="Arial" w:cs="Arial"/>
          <w:b/>
          <w:color w:val="auto"/>
          <w:sz w:val="22"/>
          <w:szCs w:val="22"/>
        </w:rPr>
        <w:t xml:space="preserve">de la UCE </w:t>
      </w:r>
      <w:r w:rsidR="0032362F" w:rsidRPr="00730154">
        <w:rPr>
          <w:rFonts w:ascii="Arial" w:hAnsi="Arial" w:cs="Arial"/>
          <w:b/>
          <w:color w:val="auto"/>
          <w:sz w:val="22"/>
          <w:szCs w:val="22"/>
        </w:rPr>
        <w:t>que correspondan a los comentarios, opiniones y propuestas recibidas</w:t>
      </w:r>
    </w:p>
    <w:p w14:paraId="1D1D43D9" w14:textId="2AC7DED2" w:rsidR="0032362F" w:rsidRPr="00730154" w:rsidRDefault="0032362F" w:rsidP="00730154">
      <w:pPr>
        <w:spacing w:before="120" w:after="120" w:line="23" w:lineRule="atLeast"/>
        <w:jc w:val="both"/>
        <w:rPr>
          <w:rFonts w:ascii="Arial" w:hAnsi="Arial" w:cs="Arial"/>
        </w:rPr>
      </w:pPr>
      <w:r w:rsidRPr="00730154">
        <w:rPr>
          <w:rFonts w:ascii="Arial" w:hAnsi="Arial" w:cs="Arial"/>
        </w:rPr>
        <w:t xml:space="preserve">A continuación, se presenta </w:t>
      </w:r>
      <w:r w:rsidR="00E574C1">
        <w:rPr>
          <w:rFonts w:ascii="Arial" w:hAnsi="Arial" w:cs="Arial"/>
        </w:rPr>
        <w:t>una síntesis</w:t>
      </w:r>
      <w:r w:rsidRPr="00730154">
        <w:rPr>
          <w:rFonts w:ascii="Arial" w:hAnsi="Arial" w:cs="Arial"/>
        </w:rPr>
        <w:t xml:space="preserve"> de los comentarios recibidos y se identifican los apartados específicos del </w:t>
      </w:r>
      <w:r w:rsidRPr="00057CFC">
        <w:rPr>
          <w:rFonts w:ascii="Arial" w:hAnsi="Arial" w:cs="Arial"/>
        </w:rPr>
        <w:t>Anteproyecto al que fueron dirigidos. En concreto, se recibieron comentarios respecto de los apartados 1. Introducción, 2. Criterios Generales en la determinación de multas, 2.1 Ingresos, 2.2 Temporalidad, 2.3 Reincidencia, 2.4 Ausencia de información de ingresos, 2.5 Sujetos de las multas</w:t>
      </w:r>
      <w:r w:rsidR="00057CFC" w:rsidRPr="00057CFC">
        <w:rPr>
          <w:rFonts w:ascii="Arial" w:hAnsi="Arial" w:cs="Arial"/>
        </w:rPr>
        <w:t>,</w:t>
      </w:r>
      <w:r w:rsidRPr="00057CFC">
        <w:rPr>
          <w:rFonts w:ascii="Arial" w:hAnsi="Arial" w:cs="Arial"/>
        </w:rPr>
        <w:t xml:space="preserve"> 2.7 Reducción de multas, 2.8 Información falsa, </w:t>
      </w:r>
      <w:r w:rsidR="00BF1120" w:rsidRPr="00057CFC">
        <w:rPr>
          <w:rFonts w:ascii="Arial" w:hAnsi="Arial" w:cs="Arial"/>
        </w:rPr>
        <w:t xml:space="preserve">2.9 Montos en términos de UMA, </w:t>
      </w:r>
      <w:r w:rsidRPr="00057CFC">
        <w:rPr>
          <w:rFonts w:ascii="Arial" w:hAnsi="Arial" w:cs="Arial"/>
        </w:rPr>
        <w:t xml:space="preserve">3. Montos de </w:t>
      </w:r>
      <w:r w:rsidR="00057CFC" w:rsidRPr="00057CFC">
        <w:rPr>
          <w:rFonts w:ascii="Arial" w:hAnsi="Arial" w:cs="Arial"/>
        </w:rPr>
        <w:t xml:space="preserve">las </w:t>
      </w:r>
      <w:r w:rsidRPr="00057CFC">
        <w:rPr>
          <w:rFonts w:ascii="Arial" w:hAnsi="Arial" w:cs="Arial"/>
        </w:rPr>
        <w:t>multas, 3.6 Insumos esenciales y barreras a la competencia, 4.1 Gravedad de la infracción, 4.2 Daño causado, 4.3 Indicios de intencionalidad, 4.5 Duración de la práctica o concentración ilícita</w:t>
      </w:r>
      <w:r w:rsidR="00BF1120" w:rsidRPr="00057CFC">
        <w:rPr>
          <w:rFonts w:ascii="Arial" w:hAnsi="Arial" w:cs="Arial"/>
        </w:rPr>
        <w:t xml:space="preserve">, 4.6 Capacidad económica </w:t>
      </w:r>
      <w:r w:rsidRPr="00057CFC">
        <w:rPr>
          <w:rFonts w:ascii="Arial" w:hAnsi="Arial" w:cs="Arial"/>
        </w:rPr>
        <w:t>y 4.7 Afectación al ejercicio de las atribuciones del IFT.</w:t>
      </w:r>
    </w:p>
    <w:p w14:paraId="79C8882E" w14:textId="2A4FFD75" w:rsidR="0032362F" w:rsidRPr="00730154" w:rsidRDefault="0032362F" w:rsidP="00730154">
      <w:pPr>
        <w:spacing w:before="120" w:after="120" w:line="23" w:lineRule="atLeast"/>
        <w:jc w:val="both"/>
        <w:rPr>
          <w:rFonts w:ascii="Arial" w:hAnsi="Arial" w:cs="Arial"/>
        </w:rPr>
      </w:pPr>
      <w:r w:rsidRPr="00730154">
        <w:rPr>
          <w:rFonts w:ascii="Arial" w:hAnsi="Arial" w:cs="Arial"/>
        </w:rPr>
        <w:lastRenderedPageBreak/>
        <w:t xml:space="preserve">Sin prejuzgar sobre lo que determine el Pleno del Instituto al emitir </w:t>
      </w:r>
      <w:r w:rsidR="00E574C1">
        <w:rPr>
          <w:rFonts w:ascii="Arial" w:hAnsi="Arial" w:cs="Arial"/>
        </w:rPr>
        <w:t>la</w:t>
      </w:r>
      <w:r w:rsidRPr="00730154">
        <w:rPr>
          <w:rFonts w:ascii="Arial" w:hAnsi="Arial" w:cs="Arial"/>
        </w:rPr>
        <w:t xml:space="preserve"> Guía, a continuación, </w:t>
      </w:r>
      <w:r w:rsidR="00E574C1">
        <w:rPr>
          <w:rFonts w:ascii="Arial" w:hAnsi="Arial" w:cs="Arial"/>
        </w:rPr>
        <w:t>la UCE</w:t>
      </w:r>
      <w:r w:rsidRPr="00730154">
        <w:rPr>
          <w:rFonts w:ascii="Arial" w:hAnsi="Arial" w:cs="Arial"/>
        </w:rPr>
        <w:t xml:space="preserve"> analiza los comentarios recibidos </w:t>
      </w:r>
      <w:r w:rsidR="00E574C1">
        <w:rPr>
          <w:rFonts w:ascii="Arial" w:hAnsi="Arial" w:cs="Arial"/>
        </w:rPr>
        <w:t>en la Consulta Pública</w:t>
      </w:r>
      <w:r w:rsidRPr="00730154">
        <w:rPr>
          <w:rFonts w:ascii="Arial" w:hAnsi="Arial" w:cs="Arial"/>
        </w:rPr>
        <w:t xml:space="preserve">, los cuales han sido ponderados y se presenta una </w:t>
      </w:r>
      <w:r w:rsidR="00E574C1">
        <w:rPr>
          <w:rFonts w:ascii="Arial" w:hAnsi="Arial" w:cs="Arial"/>
        </w:rPr>
        <w:t xml:space="preserve">consideración, </w:t>
      </w:r>
      <w:r w:rsidRPr="00730154">
        <w:rPr>
          <w:rFonts w:ascii="Arial" w:hAnsi="Arial" w:cs="Arial"/>
        </w:rPr>
        <w:t>respuesta o posicionamiento sobre ellos.</w:t>
      </w:r>
    </w:p>
    <w:p w14:paraId="20BF8AE3" w14:textId="523DAFD0" w:rsidR="005826FC" w:rsidRPr="00730154" w:rsidRDefault="001B04AD" w:rsidP="00730154">
      <w:pPr>
        <w:pStyle w:val="Ttulo2"/>
        <w:spacing w:before="120" w:after="120" w:line="23" w:lineRule="atLeast"/>
        <w:rPr>
          <w:rFonts w:ascii="Arial" w:hAnsi="Arial" w:cs="Arial"/>
          <w:b/>
          <w:bCs/>
          <w:color w:val="auto"/>
          <w:sz w:val="22"/>
          <w:szCs w:val="22"/>
        </w:rPr>
      </w:pPr>
      <w:r>
        <w:rPr>
          <w:rFonts w:ascii="Arial" w:hAnsi="Arial" w:cs="Arial"/>
          <w:b/>
          <w:color w:val="auto"/>
          <w:sz w:val="22"/>
          <w:szCs w:val="22"/>
        </w:rPr>
        <w:t>8</w:t>
      </w:r>
      <w:r w:rsidR="003E2214" w:rsidRPr="00730154">
        <w:rPr>
          <w:rFonts w:ascii="Arial" w:hAnsi="Arial" w:cs="Arial"/>
          <w:b/>
          <w:color w:val="auto"/>
          <w:sz w:val="22"/>
          <w:szCs w:val="22"/>
        </w:rPr>
        <w:t xml:space="preserve">.1. </w:t>
      </w:r>
      <w:r w:rsidR="005826FC" w:rsidRPr="00730154">
        <w:rPr>
          <w:rFonts w:ascii="Arial" w:hAnsi="Arial" w:cs="Arial"/>
          <w:b/>
          <w:bCs/>
          <w:color w:val="auto"/>
          <w:sz w:val="22"/>
          <w:szCs w:val="22"/>
        </w:rPr>
        <w:t>Apartado 1. Introducción</w:t>
      </w:r>
    </w:p>
    <w:p w14:paraId="400B620F" w14:textId="31DB092F" w:rsidR="00C200B9" w:rsidRPr="00730154" w:rsidRDefault="001B04AD" w:rsidP="00730154">
      <w:pPr>
        <w:pStyle w:val="Ttulo3"/>
        <w:spacing w:before="120" w:after="120" w:line="23" w:lineRule="atLeast"/>
        <w:rPr>
          <w:rFonts w:ascii="Arial" w:hAnsi="Arial" w:cs="Arial"/>
          <w:b/>
          <w:color w:val="auto"/>
          <w:sz w:val="22"/>
          <w:szCs w:val="22"/>
        </w:rPr>
      </w:pPr>
      <w:r>
        <w:rPr>
          <w:rFonts w:ascii="Arial" w:hAnsi="Arial" w:cs="Arial"/>
          <w:b/>
          <w:bCs/>
          <w:color w:val="auto"/>
          <w:sz w:val="22"/>
          <w:szCs w:val="22"/>
        </w:rPr>
        <w:t>8</w:t>
      </w:r>
      <w:r w:rsidR="00C200B9" w:rsidRPr="00730154">
        <w:rPr>
          <w:rFonts w:ascii="Arial" w:hAnsi="Arial" w:cs="Arial"/>
          <w:b/>
          <w:bCs/>
          <w:color w:val="auto"/>
          <w:sz w:val="22"/>
          <w:szCs w:val="22"/>
        </w:rPr>
        <w:t>.</w:t>
      </w:r>
      <w:r w:rsidR="00B63D7D" w:rsidRPr="00730154">
        <w:rPr>
          <w:rFonts w:ascii="Arial" w:hAnsi="Arial" w:cs="Arial"/>
          <w:b/>
          <w:bCs/>
          <w:color w:val="auto"/>
          <w:sz w:val="22"/>
          <w:szCs w:val="22"/>
        </w:rPr>
        <w:t>1.1. Síntesis de</w:t>
      </w:r>
      <w:r w:rsidR="00B63D7D" w:rsidRPr="00730154">
        <w:rPr>
          <w:rFonts w:ascii="Arial" w:hAnsi="Arial" w:cs="Arial"/>
          <w:b/>
          <w:color w:val="auto"/>
          <w:sz w:val="22"/>
          <w:szCs w:val="22"/>
        </w:rPr>
        <w:t xml:space="preserve"> los comentarios recibidos respecto de la propuesta del apartado 1. Introducción</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E574C1" w:rsidRPr="00730154" w14:paraId="256C5872" w14:textId="2096AE50" w:rsidTr="00E574C1">
        <w:trPr>
          <w:tblHeader/>
        </w:trPr>
        <w:tc>
          <w:tcPr>
            <w:tcW w:w="3348" w:type="dxa"/>
            <w:tcBorders>
              <w:bottom w:val="single" w:sz="8" w:space="0" w:color="auto"/>
            </w:tcBorders>
            <w:shd w:val="clear" w:color="auto" w:fill="70AD47" w:themeFill="accent6"/>
          </w:tcPr>
          <w:p w14:paraId="36A7C3E8" w14:textId="77777777" w:rsidR="00E574C1" w:rsidRPr="00730154" w:rsidRDefault="00E574C1" w:rsidP="00730154">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4D252795" w14:textId="77777777" w:rsidR="00E574C1" w:rsidRPr="00730154" w:rsidRDefault="00E574C1" w:rsidP="00730154">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4FA9F659" w14:textId="51C8883E" w:rsidR="00E574C1" w:rsidRPr="00730154" w:rsidRDefault="00E574C1" w:rsidP="00730154">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E574C1" w:rsidRPr="00730154" w14:paraId="6AB09A5B" w14:textId="465C9284" w:rsidTr="00517AF3">
        <w:tc>
          <w:tcPr>
            <w:tcW w:w="9384" w:type="dxa"/>
            <w:gridSpan w:val="3"/>
            <w:tcBorders>
              <w:bottom w:val="single" w:sz="8" w:space="0" w:color="auto"/>
            </w:tcBorders>
            <w:shd w:val="clear" w:color="auto" w:fill="C5E0B3" w:themeFill="accent6" w:themeFillTint="66"/>
          </w:tcPr>
          <w:p w14:paraId="686DB827" w14:textId="2A2F2176" w:rsidR="00E574C1" w:rsidRPr="00730154" w:rsidRDefault="00E574C1" w:rsidP="00730154">
            <w:pPr>
              <w:spacing w:before="120" w:after="120" w:line="23" w:lineRule="atLeast"/>
              <w:jc w:val="center"/>
              <w:rPr>
                <w:rFonts w:ascii="Arial" w:hAnsi="Arial" w:cs="Arial"/>
                <w:b/>
                <w:sz w:val="18"/>
                <w:szCs w:val="18"/>
              </w:rPr>
            </w:pPr>
            <w:r w:rsidRPr="00730154">
              <w:rPr>
                <w:rFonts w:ascii="Arial" w:hAnsi="Arial" w:cs="Arial"/>
                <w:b/>
                <w:sz w:val="18"/>
                <w:szCs w:val="18"/>
              </w:rPr>
              <w:t xml:space="preserve">1. Introducción </w:t>
            </w:r>
          </w:p>
        </w:tc>
      </w:tr>
      <w:tr w:rsidR="00E574C1" w:rsidRPr="00730154" w14:paraId="09C49E42" w14:textId="543EA714" w:rsidTr="00E574C1">
        <w:tc>
          <w:tcPr>
            <w:tcW w:w="3348" w:type="dxa"/>
            <w:shd w:val="clear" w:color="auto" w:fill="FFFFFF" w:themeFill="background1"/>
          </w:tcPr>
          <w:p w14:paraId="141E8707" w14:textId="77777777" w:rsidR="00E574C1" w:rsidRPr="00730154" w:rsidRDefault="00E574C1" w:rsidP="00730154">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“En este sentido, la Guía tiene los propósitos de i) orientar a los AE, a los interesados y a la sociedad en general, respecto de los criterios o pautas que podrá adoptar el Instituto en la determinación e individualización de multas en materia de competencia económica en los sectores de TyR, ii) contribuir a que los criterios que utilice el Instituto para determinar multas en materia de competencia económica en los sectores de las TyR sean transparentes y consistentes, iii) dar certidumbre a los AE sobre el ejercicio de las atribuciones del Instituto como autoridad en materia de competencia económica y como órgano regulador en los sectores de TyR y iv) contribuir en las labores de promoción y abogacía de la competencia económica y libre concurrencia en los sectores de TyR.”</w:t>
            </w:r>
          </w:p>
        </w:tc>
        <w:tc>
          <w:tcPr>
            <w:tcW w:w="3280" w:type="dxa"/>
            <w:shd w:val="clear" w:color="auto" w:fill="FFFFFF" w:themeFill="background1"/>
          </w:tcPr>
          <w:p w14:paraId="722ED595" w14:textId="0E9767EE" w:rsidR="00E574C1" w:rsidRPr="00730154" w:rsidRDefault="00E574C1" w:rsidP="00730154">
            <w:pPr>
              <w:spacing w:before="120" w:after="120" w:line="23" w:lineRule="atLeast"/>
              <w:jc w:val="both"/>
              <w:rPr>
                <w:rFonts w:ascii="Arial" w:hAnsi="Arial" w:cs="Arial"/>
                <w:b/>
                <w:sz w:val="18"/>
                <w:szCs w:val="18"/>
              </w:rPr>
            </w:pPr>
            <w:r w:rsidRPr="00730154">
              <w:rPr>
                <w:rFonts w:ascii="Arial" w:hAnsi="Arial" w:cs="Arial"/>
                <w:bCs/>
                <w:sz w:val="18"/>
                <w:szCs w:val="18"/>
              </w:rPr>
              <w:t>Sugiere que no se establezca que la guía puede servir a la autoridad como referencia, sino que expresamente debe señalarse el alcance exclusivamente informativo de la guía y señalar que la guía sólo tiene el fin de orientar a los agentes económicos y a los interesados y a la sociedad en general.</w:t>
            </w:r>
          </w:p>
        </w:tc>
        <w:tc>
          <w:tcPr>
            <w:tcW w:w="2756" w:type="dxa"/>
            <w:shd w:val="clear" w:color="auto" w:fill="FFFFFF" w:themeFill="background1"/>
          </w:tcPr>
          <w:p w14:paraId="7EB119B5" w14:textId="2DF50A2D" w:rsidR="00E574C1" w:rsidRPr="00E574C1" w:rsidRDefault="00E574C1" w:rsidP="00730154">
            <w:pPr>
              <w:spacing w:before="120" w:after="120" w:line="23" w:lineRule="atLeast"/>
              <w:jc w:val="both"/>
              <w:rPr>
                <w:rFonts w:ascii="Arial" w:hAnsi="Arial" w:cs="Arial"/>
                <w:bCs/>
                <w:sz w:val="18"/>
                <w:szCs w:val="18"/>
              </w:rPr>
            </w:pPr>
            <w:r>
              <w:rPr>
                <w:rFonts w:ascii="Arial" w:hAnsi="Arial" w:cs="Arial"/>
                <w:bCs/>
                <w:sz w:val="18"/>
                <w:szCs w:val="18"/>
              </w:rPr>
              <w:t>S</w:t>
            </w:r>
            <w:r w:rsidRPr="00E574C1">
              <w:rPr>
                <w:rFonts w:ascii="Arial" w:hAnsi="Arial" w:cs="Arial"/>
                <w:bCs/>
                <w:sz w:val="18"/>
                <w:szCs w:val="18"/>
              </w:rPr>
              <w:t>e considera improcedente en atención a que la Guía no tiene el carácter de vinculante, solo es un referente para la autoridad y uno de sus propósitos consiste en orientar a los agentes económicos, interesados y sociedad en general.</w:t>
            </w:r>
          </w:p>
          <w:p w14:paraId="029C8E39" w14:textId="4868FCA5" w:rsidR="00E574C1" w:rsidRDefault="00E574C1" w:rsidP="00730154">
            <w:pPr>
              <w:spacing w:before="120" w:after="120" w:line="23" w:lineRule="atLeast"/>
              <w:jc w:val="both"/>
              <w:rPr>
                <w:rFonts w:ascii="Arial" w:hAnsi="Arial" w:cs="Arial"/>
                <w:b/>
                <w:sz w:val="18"/>
                <w:szCs w:val="18"/>
              </w:rPr>
            </w:pPr>
          </w:p>
        </w:tc>
      </w:tr>
      <w:tr w:rsidR="00E574C1" w:rsidRPr="00730154" w14:paraId="15CABEA6" w14:textId="4B08E005" w:rsidTr="00E574C1">
        <w:tc>
          <w:tcPr>
            <w:tcW w:w="3348" w:type="dxa"/>
            <w:shd w:val="clear" w:color="auto" w:fill="FFFFFF" w:themeFill="background1"/>
          </w:tcPr>
          <w:p w14:paraId="56F7F775" w14:textId="77777777" w:rsidR="00E574C1" w:rsidRPr="00730154" w:rsidRDefault="00E574C1" w:rsidP="00730154">
            <w:pPr>
              <w:spacing w:before="120" w:after="120" w:line="23" w:lineRule="atLeast"/>
              <w:jc w:val="both"/>
              <w:rPr>
                <w:rFonts w:ascii="Arial" w:hAnsi="Arial" w:cs="Arial"/>
                <w:sz w:val="18"/>
                <w:szCs w:val="18"/>
                <w:lang w:val="es-ES"/>
              </w:rPr>
            </w:pPr>
            <w:r w:rsidRPr="00730154">
              <w:rPr>
                <w:rFonts w:ascii="Arial" w:hAnsi="Arial" w:cs="Arial"/>
                <w:bCs/>
                <w:sz w:val="18"/>
                <w:szCs w:val="18"/>
                <w:lang w:val="es-ES"/>
              </w:rPr>
              <w:t xml:space="preserve">"La Guía constituye un marco de </w:t>
            </w:r>
            <w:r w:rsidRPr="00093612">
              <w:rPr>
                <w:rFonts w:ascii="Arial" w:hAnsi="Arial" w:cs="Arial"/>
                <w:bCs/>
                <w:sz w:val="18"/>
                <w:szCs w:val="18"/>
                <w:lang w:val="es-ES"/>
              </w:rPr>
              <w:t>referencia que podrá seguir el Instituto para la determinación de multas en materia de competencia económica en los sectores de TyR en asuntos que se tramiten en términos de la LFCE, sin embargo, no tiene carácter vinculante para el Pleno del Instituto</w:t>
            </w:r>
            <w:r w:rsidRPr="00730154">
              <w:rPr>
                <w:rFonts w:ascii="Arial" w:hAnsi="Arial" w:cs="Arial"/>
                <w:bCs/>
                <w:sz w:val="18"/>
                <w:szCs w:val="18"/>
                <w:lang w:val="es-ES"/>
              </w:rPr>
              <w:t>. […]"</w:t>
            </w:r>
          </w:p>
        </w:tc>
        <w:tc>
          <w:tcPr>
            <w:tcW w:w="3280" w:type="dxa"/>
            <w:shd w:val="clear" w:color="auto" w:fill="FFFFFF" w:themeFill="background1"/>
          </w:tcPr>
          <w:p w14:paraId="01DD272A" w14:textId="3680F50E" w:rsidR="00E574C1" w:rsidRPr="00730154" w:rsidRDefault="00E574C1" w:rsidP="00730154">
            <w:pPr>
              <w:spacing w:before="120" w:after="120" w:line="23" w:lineRule="atLeast"/>
              <w:jc w:val="both"/>
              <w:rPr>
                <w:rFonts w:ascii="Arial" w:hAnsi="Arial" w:cs="Arial"/>
                <w:bCs/>
                <w:sz w:val="18"/>
                <w:szCs w:val="18"/>
              </w:rPr>
            </w:pPr>
            <w:r w:rsidRPr="00730154">
              <w:rPr>
                <w:rFonts w:ascii="Arial" w:hAnsi="Arial" w:cs="Arial"/>
                <w:bCs/>
                <w:sz w:val="18"/>
                <w:szCs w:val="18"/>
              </w:rPr>
              <w:t xml:space="preserve">Sugiere sustituir la palabra “podrá” por “deberá” toda vez que emplear la palabra “podrá” atenta contra la seguridad jurídica de los particulares. </w:t>
            </w:r>
          </w:p>
          <w:p w14:paraId="1C3419B4" w14:textId="77777777" w:rsidR="00E574C1" w:rsidRPr="00730154" w:rsidRDefault="00E574C1" w:rsidP="00730154">
            <w:pPr>
              <w:spacing w:before="120" w:after="120" w:line="23" w:lineRule="atLeast"/>
              <w:jc w:val="center"/>
              <w:rPr>
                <w:rFonts w:ascii="Arial" w:hAnsi="Arial" w:cs="Arial"/>
                <w:b/>
                <w:sz w:val="18"/>
                <w:szCs w:val="18"/>
              </w:rPr>
            </w:pPr>
          </w:p>
        </w:tc>
        <w:tc>
          <w:tcPr>
            <w:tcW w:w="2756" w:type="dxa"/>
            <w:shd w:val="clear" w:color="auto" w:fill="FFFFFF" w:themeFill="background1"/>
          </w:tcPr>
          <w:p w14:paraId="2E870C51" w14:textId="0DE4E283" w:rsidR="00E574C1" w:rsidRPr="009A56B9" w:rsidRDefault="00C575DE" w:rsidP="00730154">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toda vez que en la Guía se emplea la palabra “podrá” dado que ésta no es vinculante para el Instituto. </w:t>
            </w:r>
          </w:p>
        </w:tc>
      </w:tr>
      <w:tr w:rsidR="00C575DE" w:rsidRPr="00730154" w14:paraId="511CE852" w14:textId="0DF04A82" w:rsidTr="00E574C1">
        <w:tc>
          <w:tcPr>
            <w:tcW w:w="3348" w:type="dxa"/>
            <w:vMerge w:val="restart"/>
            <w:shd w:val="clear" w:color="auto" w:fill="FFFFFF" w:themeFill="background1"/>
          </w:tcPr>
          <w:p w14:paraId="3FE0D698" w14:textId="4B2964B2" w:rsidR="00C575DE" w:rsidRDefault="00C575DE" w:rsidP="00730154">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 xml:space="preserve">"La Guía de ninguna manera establece </w:t>
            </w:r>
            <w:r w:rsidRPr="00093612">
              <w:rPr>
                <w:rFonts w:ascii="Arial" w:hAnsi="Arial" w:cs="Arial"/>
                <w:sz w:val="18"/>
                <w:szCs w:val="18"/>
                <w:lang w:val="es-ES"/>
              </w:rPr>
              <w:t>presunción de legalidad ni constituye un listado exhaustivo de aspectos a considerar en la determinación e individualización de las multas referidas, por lo que el Pleno del Instituto se reserva en todo momento la discrecionalidad técnica y normativa, a fin de interpretar, apreciar y decidir sobre la aplicación de circunstancias técnicas, económicas y fácticas, así como normas jurídicas que resulten aplicables a los asuntos de su competencia.</w:t>
            </w:r>
          </w:p>
          <w:p w14:paraId="1E00AFE3" w14:textId="14E2EA3A" w:rsidR="00586397" w:rsidRPr="00586397" w:rsidRDefault="00586397" w:rsidP="00586397">
            <w:pPr>
              <w:jc w:val="both"/>
              <w:rPr>
                <w:sz w:val="18"/>
                <w:szCs w:val="18"/>
              </w:rPr>
            </w:pPr>
            <w:r w:rsidRPr="009266F4">
              <w:rPr>
                <w:rFonts w:ascii="Arial" w:eastAsia="Times New Roman" w:hAnsi="Arial" w:cs="Arial"/>
                <w:sz w:val="18"/>
                <w:szCs w:val="18"/>
              </w:rPr>
              <w:lastRenderedPageBreak/>
              <w:t>En ningún caso el Pleno del Instituto impondrá una multa en materia de competencia económica en los sectores de TyR basándose exclusivamente en esta Guía, sino que su determinación se fundará en lo previsto en la LFCE, en las DRLFCE y demás disposiciones jurídicas aplicables a cada caso en particular y se motivará con base en los hechos y constancias que integren el expediente en que se actúe</w:t>
            </w:r>
            <w:r>
              <w:rPr>
                <w:rFonts w:ascii="Arial" w:eastAsia="Times New Roman" w:hAnsi="Arial" w:cs="Arial"/>
                <w:sz w:val="18"/>
                <w:szCs w:val="18"/>
              </w:rPr>
              <w:t>”.</w:t>
            </w:r>
          </w:p>
        </w:tc>
        <w:tc>
          <w:tcPr>
            <w:tcW w:w="3280" w:type="dxa"/>
            <w:shd w:val="clear" w:color="auto" w:fill="FFFFFF" w:themeFill="background1"/>
          </w:tcPr>
          <w:p w14:paraId="0D31F8A7" w14:textId="0E1901B1" w:rsidR="00C575DE" w:rsidRPr="00730154" w:rsidRDefault="00C575DE" w:rsidP="00730154">
            <w:pPr>
              <w:spacing w:before="120" w:after="120" w:line="23" w:lineRule="atLeast"/>
              <w:jc w:val="both"/>
              <w:rPr>
                <w:rFonts w:ascii="Arial" w:hAnsi="Arial" w:cs="Arial"/>
                <w:sz w:val="18"/>
                <w:szCs w:val="18"/>
              </w:rPr>
            </w:pPr>
            <w:r w:rsidRPr="00730154">
              <w:rPr>
                <w:rFonts w:ascii="Arial" w:hAnsi="Arial" w:cs="Arial"/>
                <w:bCs/>
                <w:sz w:val="18"/>
                <w:szCs w:val="18"/>
              </w:rPr>
              <w:lastRenderedPageBreak/>
              <w:t xml:space="preserve">Resulta incongruente que la guía no constituya un listado exhaustivo de aspectos a considerar en la determinación e individualización de las multas, toda vez que la guía sí debe significar un listado exhaustivo y no limitativo de aspectos a considerar. </w:t>
            </w:r>
          </w:p>
        </w:tc>
        <w:tc>
          <w:tcPr>
            <w:tcW w:w="2756" w:type="dxa"/>
            <w:shd w:val="clear" w:color="auto" w:fill="FFFFFF" w:themeFill="background1"/>
          </w:tcPr>
          <w:p w14:paraId="38B02222" w14:textId="12E302F6" w:rsidR="00535042" w:rsidRDefault="00C575DE" w:rsidP="00730154">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w:t>
            </w:r>
            <w:r w:rsidR="00535042">
              <w:rPr>
                <w:rFonts w:ascii="Arial" w:hAnsi="Arial" w:cs="Arial"/>
                <w:bCs/>
                <w:sz w:val="18"/>
                <w:szCs w:val="18"/>
              </w:rPr>
              <w:t>en atención a</w:t>
            </w:r>
            <w:r>
              <w:rPr>
                <w:rFonts w:ascii="Arial" w:hAnsi="Arial" w:cs="Arial"/>
                <w:bCs/>
                <w:sz w:val="18"/>
                <w:szCs w:val="18"/>
              </w:rPr>
              <w:t xml:space="preserve"> que no es posible prever en una guía de carácter orientativo </w:t>
            </w:r>
            <w:r w:rsidR="00535042">
              <w:rPr>
                <w:rFonts w:ascii="Arial" w:hAnsi="Arial" w:cs="Arial"/>
                <w:bCs/>
                <w:sz w:val="18"/>
                <w:szCs w:val="18"/>
              </w:rPr>
              <w:t xml:space="preserve">los elementos que se aplicarán en todos los casos que puedan suscitarse. </w:t>
            </w:r>
          </w:p>
          <w:p w14:paraId="566710DA" w14:textId="40E661EB" w:rsidR="00C575DE" w:rsidRPr="009A56B9" w:rsidRDefault="00C575DE" w:rsidP="00730154">
            <w:pPr>
              <w:spacing w:before="120" w:after="120" w:line="23" w:lineRule="atLeast"/>
              <w:jc w:val="both"/>
              <w:rPr>
                <w:rFonts w:ascii="Arial" w:hAnsi="Arial" w:cs="Arial"/>
                <w:bCs/>
                <w:sz w:val="18"/>
                <w:szCs w:val="18"/>
              </w:rPr>
            </w:pPr>
          </w:p>
        </w:tc>
      </w:tr>
      <w:tr w:rsidR="00C575DE" w:rsidRPr="00730154" w14:paraId="0B63FF26" w14:textId="77777777" w:rsidTr="00E574C1">
        <w:tc>
          <w:tcPr>
            <w:tcW w:w="3348" w:type="dxa"/>
            <w:vMerge/>
            <w:shd w:val="clear" w:color="auto" w:fill="FFFFFF" w:themeFill="background1"/>
          </w:tcPr>
          <w:p w14:paraId="6FD2F3C6" w14:textId="77777777" w:rsidR="00C575DE" w:rsidRPr="00730154" w:rsidRDefault="00C575DE" w:rsidP="00730154">
            <w:pPr>
              <w:spacing w:before="120" w:after="120" w:line="23" w:lineRule="atLeast"/>
              <w:jc w:val="both"/>
              <w:rPr>
                <w:rFonts w:ascii="Arial" w:hAnsi="Arial" w:cs="Arial"/>
                <w:sz w:val="18"/>
                <w:szCs w:val="18"/>
                <w:lang w:val="es-ES"/>
              </w:rPr>
            </w:pPr>
          </w:p>
        </w:tc>
        <w:tc>
          <w:tcPr>
            <w:tcW w:w="3280" w:type="dxa"/>
            <w:shd w:val="clear" w:color="auto" w:fill="FFFFFF" w:themeFill="background1"/>
          </w:tcPr>
          <w:p w14:paraId="0ADED89C" w14:textId="13B30490" w:rsidR="00C575DE" w:rsidDel="00E574C1" w:rsidRDefault="00C575DE" w:rsidP="00730154">
            <w:pPr>
              <w:spacing w:before="120" w:after="120" w:line="23" w:lineRule="atLeast"/>
              <w:jc w:val="both"/>
              <w:rPr>
                <w:rFonts w:ascii="Arial" w:hAnsi="Arial" w:cs="Arial"/>
                <w:b/>
                <w:sz w:val="18"/>
                <w:szCs w:val="18"/>
              </w:rPr>
            </w:pPr>
            <w:r w:rsidRPr="00730154">
              <w:rPr>
                <w:rFonts w:ascii="Arial" w:hAnsi="Arial" w:cs="Arial"/>
                <w:bCs/>
                <w:sz w:val="18"/>
                <w:szCs w:val="18"/>
              </w:rPr>
              <w:t xml:space="preserve">Es cuestionable la discrecionalidad técnica y normativa del Pleno del Instituto, toda vez que, si bien cuenta con la potestad de discrecionalidad, al señalar que la autoridad se reserva en todo momento dicha potestad, se deja en estado de inseguridad jurídica a los </w:t>
            </w:r>
            <w:r w:rsidRPr="00730154">
              <w:rPr>
                <w:rFonts w:ascii="Arial" w:hAnsi="Arial" w:cs="Arial"/>
                <w:bCs/>
                <w:sz w:val="18"/>
                <w:szCs w:val="18"/>
              </w:rPr>
              <w:lastRenderedPageBreak/>
              <w:t>agentes económicos, quienes deben tener certeza acerca de los criterios técnicos y normativos que resulten aplicables a los asuntos de su competencia.</w:t>
            </w:r>
          </w:p>
        </w:tc>
        <w:tc>
          <w:tcPr>
            <w:tcW w:w="2756" w:type="dxa"/>
            <w:shd w:val="clear" w:color="auto" w:fill="FFFFFF" w:themeFill="background1"/>
          </w:tcPr>
          <w:p w14:paraId="53EF7895" w14:textId="77777777" w:rsidR="00586397" w:rsidRDefault="00AF5946" w:rsidP="00730154">
            <w:pPr>
              <w:spacing w:before="120" w:after="120" w:line="23" w:lineRule="atLeast"/>
              <w:jc w:val="both"/>
              <w:rPr>
                <w:rFonts w:ascii="Arial" w:hAnsi="Arial" w:cs="Arial"/>
                <w:bCs/>
                <w:sz w:val="18"/>
                <w:szCs w:val="18"/>
              </w:rPr>
            </w:pPr>
            <w:r>
              <w:rPr>
                <w:rFonts w:ascii="Arial" w:hAnsi="Arial" w:cs="Arial"/>
                <w:bCs/>
                <w:sz w:val="18"/>
                <w:szCs w:val="18"/>
              </w:rPr>
              <w:lastRenderedPageBreak/>
              <w:t>Se considera improcedente</w:t>
            </w:r>
            <w:r w:rsidR="00586397">
              <w:rPr>
                <w:rFonts w:ascii="Arial" w:hAnsi="Arial" w:cs="Arial"/>
                <w:bCs/>
                <w:sz w:val="18"/>
                <w:szCs w:val="18"/>
              </w:rPr>
              <w:t xml:space="preserve"> por una parte</w:t>
            </w:r>
            <w:r>
              <w:rPr>
                <w:rFonts w:ascii="Arial" w:hAnsi="Arial" w:cs="Arial"/>
                <w:bCs/>
                <w:sz w:val="18"/>
                <w:szCs w:val="18"/>
              </w:rPr>
              <w:t xml:space="preserve"> toda vez que </w:t>
            </w:r>
            <w:r w:rsidR="006310A8">
              <w:rPr>
                <w:rFonts w:ascii="Arial" w:hAnsi="Arial" w:cs="Arial"/>
                <w:bCs/>
                <w:sz w:val="18"/>
                <w:szCs w:val="18"/>
              </w:rPr>
              <w:t xml:space="preserve">el PJF ha señalado que la autoridad en materia de competencia en la determinación de las multas dispone de márgenes de discrecionalidad amplios, que </w:t>
            </w:r>
            <w:r w:rsidR="006310A8">
              <w:rPr>
                <w:rFonts w:ascii="Arial" w:hAnsi="Arial" w:cs="Arial"/>
                <w:bCs/>
                <w:sz w:val="18"/>
                <w:szCs w:val="18"/>
              </w:rPr>
              <w:lastRenderedPageBreak/>
              <w:t xml:space="preserve">se encuentran únicamente acotados por los principios de razonabilidad, proporcionalidad y disuasión. </w:t>
            </w:r>
          </w:p>
          <w:p w14:paraId="06402342" w14:textId="395C7DF2" w:rsidR="00EC5B89" w:rsidRPr="00EC5B89" w:rsidRDefault="00586397" w:rsidP="00EC5B89">
            <w:pPr>
              <w:spacing w:before="120" w:after="120" w:line="23" w:lineRule="atLeast"/>
              <w:jc w:val="both"/>
              <w:rPr>
                <w:rFonts w:ascii="Arial" w:hAnsi="Arial" w:cs="Arial"/>
                <w:bCs/>
                <w:sz w:val="18"/>
                <w:szCs w:val="18"/>
              </w:rPr>
            </w:pPr>
            <w:r>
              <w:rPr>
                <w:rFonts w:ascii="Arial" w:hAnsi="Arial" w:cs="Arial"/>
                <w:bCs/>
                <w:sz w:val="18"/>
                <w:szCs w:val="18"/>
              </w:rPr>
              <w:t xml:space="preserve">No obstante, se realiza una modificación al apartado para brindar mayor claridad. </w:t>
            </w:r>
          </w:p>
          <w:tbl>
            <w:tblPr>
              <w:tblStyle w:val="Tablaconcuadrcula"/>
              <w:tblW w:w="0" w:type="auto"/>
              <w:jc w:val="center"/>
              <w:tblLook w:val="04A0" w:firstRow="1" w:lastRow="0" w:firstColumn="1" w:lastColumn="0" w:noHBand="0" w:noVBand="1"/>
            </w:tblPr>
            <w:tblGrid>
              <w:gridCol w:w="2530"/>
            </w:tblGrid>
            <w:tr w:rsidR="00EC5B89" w:rsidRPr="00730154" w14:paraId="29C1E2E7"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5953FEA" w14:textId="77777777" w:rsidR="00EC5B89" w:rsidRPr="00730154" w:rsidRDefault="00EC5B89" w:rsidP="00EC5B89">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EC5B89" w:rsidRPr="00730154" w14:paraId="11299C88"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CAD2CE0" w14:textId="77777777" w:rsidR="00EC5B89" w:rsidRDefault="00EC5B89" w:rsidP="00EC5B89">
                  <w:pPr>
                    <w:spacing w:line="23" w:lineRule="atLeast"/>
                    <w:jc w:val="both"/>
                    <w:rPr>
                      <w:rFonts w:ascii="Arial" w:eastAsia="Times New Roman" w:hAnsi="Arial" w:cs="Arial"/>
                      <w:sz w:val="18"/>
                      <w:szCs w:val="18"/>
                    </w:rPr>
                  </w:pPr>
                  <w:r w:rsidRPr="00335477">
                    <w:rPr>
                      <w:rFonts w:ascii="Arial" w:eastAsia="Times New Roman" w:hAnsi="Arial" w:cs="Arial"/>
                      <w:strike/>
                      <w:sz w:val="18"/>
                      <w:szCs w:val="18"/>
                    </w:rPr>
                    <w:t>En ningún caso el Pleno del Instituto impondrá una multa en materia de competencia económica en los sectores de TyR basándose exclusivamente en esta Guía, sino que su determinación se fundará en lo previsto en la LFCE, en las DRLFCE y demás disposiciones jurídicas aplicables a cada caso en particular y se motivará con base en los hechos y constancias que integren el expediente en que se actúe.</w:t>
                  </w:r>
                </w:p>
                <w:p w14:paraId="5A9F6CC2" w14:textId="77777777" w:rsidR="00EC5B89" w:rsidRDefault="00EC5B89" w:rsidP="00EC5B89">
                  <w:pPr>
                    <w:spacing w:line="23" w:lineRule="atLeast"/>
                    <w:jc w:val="both"/>
                    <w:rPr>
                      <w:rFonts w:ascii="Arial" w:eastAsia="Times New Roman" w:hAnsi="Arial" w:cs="Arial"/>
                      <w:sz w:val="18"/>
                      <w:szCs w:val="18"/>
                    </w:rPr>
                  </w:pPr>
                </w:p>
                <w:p w14:paraId="0E2A8B2B" w14:textId="311C3115" w:rsidR="00EC5B89" w:rsidRPr="00730154" w:rsidRDefault="00EC5B89" w:rsidP="00EC5B89">
                  <w:pPr>
                    <w:pStyle w:val="Textoindependiente"/>
                    <w:spacing w:before="120" w:line="23" w:lineRule="atLeast"/>
                    <w:jc w:val="both"/>
                    <w:rPr>
                      <w:rFonts w:ascii="Arial" w:hAnsi="Arial" w:cs="Arial"/>
                      <w:sz w:val="18"/>
                      <w:szCs w:val="18"/>
                    </w:rPr>
                  </w:pPr>
                  <w:r w:rsidRPr="006D08F3">
                    <w:rPr>
                      <w:rFonts w:ascii="Arial" w:eastAsia="Times New Roman" w:hAnsi="Arial" w:cs="Arial"/>
                      <w:b/>
                      <w:bCs/>
                      <w:sz w:val="18"/>
                      <w:szCs w:val="18"/>
                    </w:rPr>
                    <w:t>Las multas se impondrán con fundamento en lo previsto en la LFCE y en las DRLFCE, sin perjuicio de que el Pleno pueda referirse a la presente Guía. En cualquier caso, las multas a las que se refiere la presente Guía se motivarán con base en los hechos y constancias que integren el expediente en que se actúe, caso por caso.</w:t>
                  </w:r>
                </w:p>
              </w:tc>
            </w:tr>
          </w:tbl>
          <w:p w14:paraId="22289EE2" w14:textId="5A51976C" w:rsidR="00EC5B89" w:rsidRPr="00AF5946" w:rsidRDefault="00EC5B89" w:rsidP="00730154">
            <w:pPr>
              <w:spacing w:before="120" w:after="120" w:line="23" w:lineRule="atLeast"/>
              <w:jc w:val="both"/>
              <w:rPr>
                <w:rFonts w:ascii="Arial" w:hAnsi="Arial" w:cs="Arial"/>
                <w:bCs/>
                <w:sz w:val="18"/>
                <w:szCs w:val="18"/>
              </w:rPr>
            </w:pPr>
          </w:p>
        </w:tc>
      </w:tr>
    </w:tbl>
    <w:p w14:paraId="7E9F8C08" w14:textId="7596368D" w:rsidR="00995ECE" w:rsidRPr="00730154" w:rsidRDefault="001B04AD"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lastRenderedPageBreak/>
        <w:t>8</w:t>
      </w:r>
      <w:r w:rsidR="003E2214" w:rsidRPr="00730154">
        <w:rPr>
          <w:rFonts w:ascii="Arial" w:hAnsi="Arial" w:cs="Arial"/>
          <w:b/>
          <w:color w:val="auto"/>
          <w:sz w:val="22"/>
          <w:szCs w:val="22"/>
        </w:rPr>
        <w:t>.</w:t>
      </w:r>
      <w:r w:rsidR="00490991" w:rsidRPr="00730154">
        <w:rPr>
          <w:rFonts w:ascii="Arial" w:hAnsi="Arial" w:cs="Arial"/>
          <w:b/>
          <w:color w:val="auto"/>
          <w:sz w:val="22"/>
          <w:szCs w:val="22"/>
        </w:rPr>
        <w:t>2</w:t>
      </w:r>
      <w:r w:rsidR="003E2214" w:rsidRPr="00730154">
        <w:rPr>
          <w:rFonts w:ascii="Arial" w:hAnsi="Arial" w:cs="Arial"/>
          <w:b/>
          <w:color w:val="auto"/>
          <w:sz w:val="22"/>
          <w:szCs w:val="22"/>
        </w:rPr>
        <w:t xml:space="preserve">. </w:t>
      </w:r>
      <w:r w:rsidR="00413890" w:rsidRPr="00730154">
        <w:rPr>
          <w:rFonts w:ascii="Arial" w:hAnsi="Arial" w:cs="Arial"/>
          <w:b/>
          <w:color w:val="auto"/>
          <w:sz w:val="22"/>
          <w:szCs w:val="22"/>
        </w:rPr>
        <w:t>Apartado</w:t>
      </w:r>
      <w:r w:rsidR="00A95DA7" w:rsidRPr="00730154">
        <w:rPr>
          <w:rFonts w:ascii="Arial" w:hAnsi="Arial" w:cs="Arial"/>
          <w:b/>
          <w:color w:val="auto"/>
          <w:sz w:val="22"/>
          <w:szCs w:val="22"/>
        </w:rPr>
        <w:t xml:space="preserve"> 2. Criterios Generales en la determinación de multas</w:t>
      </w:r>
    </w:p>
    <w:p w14:paraId="25710A53" w14:textId="066ED602" w:rsidR="00A95DA7" w:rsidRDefault="001B04AD"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3E2214" w:rsidRPr="00730154">
        <w:rPr>
          <w:rFonts w:ascii="Arial" w:hAnsi="Arial" w:cs="Arial"/>
          <w:b/>
          <w:color w:val="auto"/>
          <w:sz w:val="22"/>
          <w:szCs w:val="22"/>
        </w:rPr>
        <w:t>.</w:t>
      </w:r>
      <w:r w:rsidR="00490991" w:rsidRPr="00730154">
        <w:rPr>
          <w:rFonts w:ascii="Arial" w:hAnsi="Arial" w:cs="Arial"/>
          <w:b/>
          <w:color w:val="auto"/>
          <w:sz w:val="22"/>
          <w:szCs w:val="22"/>
        </w:rPr>
        <w:t>2</w:t>
      </w:r>
      <w:r w:rsidR="003E2214" w:rsidRPr="00730154">
        <w:rPr>
          <w:rFonts w:ascii="Arial" w:hAnsi="Arial" w:cs="Arial"/>
          <w:b/>
          <w:color w:val="auto"/>
          <w:sz w:val="22"/>
          <w:szCs w:val="22"/>
        </w:rPr>
        <w:t xml:space="preserve">.1. </w:t>
      </w:r>
      <w:r w:rsidR="00A95DA7" w:rsidRPr="00730154">
        <w:rPr>
          <w:rFonts w:ascii="Arial" w:hAnsi="Arial" w:cs="Arial"/>
          <w:b/>
          <w:bCs/>
          <w:color w:val="auto"/>
          <w:sz w:val="22"/>
          <w:szCs w:val="22"/>
        </w:rPr>
        <w:t>Síntesis de</w:t>
      </w:r>
      <w:r w:rsidR="00A95DA7" w:rsidRPr="00730154">
        <w:rPr>
          <w:rFonts w:ascii="Arial" w:hAnsi="Arial" w:cs="Arial"/>
          <w:b/>
          <w:color w:val="auto"/>
          <w:sz w:val="22"/>
          <w:szCs w:val="22"/>
        </w:rPr>
        <w:t xml:space="preserve"> los comentarios recibidos respecto de la propuesta del apartado 2. Criterios Generales en la determinación de multas</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6477A4" w:rsidRPr="00730154" w14:paraId="17C95A65" w14:textId="77777777" w:rsidTr="009F6BE3">
        <w:trPr>
          <w:tblHeader/>
        </w:trPr>
        <w:tc>
          <w:tcPr>
            <w:tcW w:w="3348" w:type="dxa"/>
            <w:tcBorders>
              <w:bottom w:val="single" w:sz="8" w:space="0" w:color="auto"/>
            </w:tcBorders>
            <w:shd w:val="clear" w:color="auto" w:fill="70AD47" w:themeFill="accent6"/>
          </w:tcPr>
          <w:p w14:paraId="189D3DD2" w14:textId="77777777" w:rsidR="006477A4" w:rsidRPr="00730154" w:rsidRDefault="006477A4"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635957C3" w14:textId="77777777" w:rsidR="006477A4" w:rsidRPr="00730154" w:rsidRDefault="006477A4"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7588AFB3" w14:textId="77777777" w:rsidR="006477A4" w:rsidRPr="00730154" w:rsidRDefault="006477A4"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6477A4" w:rsidRPr="00730154" w14:paraId="1101E559" w14:textId="77777777" w:rsidTr="009F6BE3">
        <w:tc>
          <w:tcPr>
            <w:tcW w:w="9384" w:type="dxa"/>
            <w:gridSpan w:val="3"/>
            <w:tcBorders>
              <w:bottom w:val="single" w:sz="8" w:space="0" w:color="auto"/>
            </w:tcBorders>
            <w:shd w:val="clear" w:color="auto" w:fill="C5E0B3" w:themeFill="accent6" w:themeFillTint="66"/>
          </w:tcPr>
          <w:p w14:paraId="229D8B9E" w14:textId="33639A0F" w:rsidR="006477A4" w:rsidRPr="00730154" w:rsidRDefault="006477A4" w:rsidP="009F6BE3">
            <w:pPr>
              <w:spacing w:before="120" w:after="120" w:line="23" w:lineRule="atLeast"/>
              <w:jc w:val="center"/>
              <w:rPr>
                <w:rFonts w:ascii="Arial" w:hAnsi="Arial" w:cs="Arial"/>
                <w:b/>
                <w:sz w:val="18"/>
                <w:szCs w:val="18"/>
              </w:rPr>
            </w:pPr>
            <w:r w:rsidRPr="00730154">
              <w:rPr>
                <w:rFonts w:ascii="Arial" w:hAnsi="Arial" w:cs="Arial"/>
                <w:b/>
                <w:bCs/>
                <w:sz w:val="18"/>
                <w:szCs w:val="18"/>
                <w:lang w:val="es-ES"/>
              </w:rPr>
              <w:t>2. Criterios Generales en la determinación de multas</w:t>
            </w:r>
          </w:p>
        </w:tc>
      </w:tr>
      <w:tr w:rsidR="006477A4" w14:paraId="2BECAB6C" w14:textId="77777777" w:rsidTr="009F6BE3">
        <w:tc>
          <w:tcPr>
            <w:tcW w:w="3348" w:type="dxa"/>
            <w:shd w:val="clear" w:color="auto" w:fill="FFFFFF" w:themeFill="background1"/>
          </w:tcPr>
          <w:p w14:paraId="16021F95" w14:textId="77777777" w:rsidR="006477A4" w:rsidRPr="00730154" w:rsidRDefault="006477A4" w:rsidP="006477A4">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 xml:space="preserve">"[El principio con el que] el Instituto se asegura de guardar una relación razonable entre el monto determinado </w:t>
            </w:r>
            <w:r w:rsidRPr="00730154">
              <w:rPr>
                <w:rFonts w:ascii="Arial" w:hAnsi="Arial" w:cs="Arial"/>
                <w:sz w:val="18"/>
                <w:szCs w:val="18"/>
                <w:lang w:val="es-ES"/>
              </w:rPr>
              <w:lastRenderedPageBreak/>
              <w:t>de la multa y los fines que se persiguen con su imposición."</w:t>
            </w:r>
          </w:p>
          <w:p w14:paraId="6A824A3A" w14:textId="77777777" w:rsidR="006477A4" w:rsidRPr="00730154" w:rsidRDefault="006477A4" w:rsidP="006477A4">
            <w:pPr>
              <w:spacing w:before="120" w:after="120" w:line="23" w:lineRule="atLeast"/>
              <w:jc w:val="both"/>
              <w:rPr>
                <w:rFonts w:ascii="Arial" w:hAnsi="Arial" w:cs="Arial"/>
                <w:sz w:val="18"/>
                <w:szCs w:val="18"/>
                <w:lang w:val="es-ES"/>
              </w:rPr>
            </w:pPr>
          </w:p>
          <w:p w14:paraId="10C83C9C" w14:textId="23668EA1" w:rsidR="006477A4" w:rsidRPr="00730154" w:rsidRDefault="006477A4" w:rsidP="006477A4">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"En estrecha relación con el principio de razonabilidad, el principio de proporcionalidad, reconocido en el artículo 22 de la CPEUM, consiste en la obligación a cargo de la autoridad de imponer sanciones adecuadas, necesarias y proporcionales al propósito perseguido, a la importancia de los valores involucrados y a la repercusión de la conducta que pretende normarse."</w:t>
            </w:r>
          </w:p>
        </w:tc>
        <w:tc>
          <w:tcPr>
            <w:tcW w:w="3280" w:type="dxa"/>
            <w:shd w:val="clear" w:color="auto" w:fill="FFFFFF" w:themeFill="background1"/>
          </w:tcPr>
          <w:p w14:paraId="6CC9E5C4" w14:textId="4298913F" w:rsidR="006477A4" w:rsidRPr="00730154" w:rsidRDefault="006477A4" w:rsidP="009F6BE3">
            <w:pPr>
              <w:spacing w:before="120" w:after="120" w:line="23" w:lineRule="atLeast"/>
              <w:jc w:val="both"/>
              <w:rPr>
                <w:rFonts w:ascii="Arial" w:hAnsi="Arial" w:cs="Arial"/>
                <w:b/>
                <w:sz w:val="18"/>
                <w:szCs w:val="18"/>
              </w:rPr>
            </w:pPr>
            <w:r w:rsidRPr="00730154">
              <w:rPr>
                <w:rFonts w:ascii="Arial" w:hAnsi="Arial" w:cs="Arial"/>
                <w:bCs/>
                <w:sz w:val="18"/>
                <w:szCs w:val="18"/>
              </w:rPr>
              <w:lastRenderedPageBreak/>
              <w:t xml:space="preserve">Se somete a consideración modificar la redacción de estos apartados, ya que dichas definiciones no son del </w:t>
            </w:r>
            <w:r w:rsidRPr="00730154">
              <w:rPr>
                <w:rFonts w:ascii="Arial" w:hAnsi="Arial" w:cs="Arial"/>
                <w:bCs/>
                <w:sz w:val="18"/>
                <w:szCs w:val="18"/>
              </w:rPr>
              <w:lastRenderedPageBreak/>
              <w:t>todo claras, pudieran dar lugar a confusión entre los propios conceptos.</w:t>
            </w:r>
          </w:p>
        </w:tc>
        <w:tc>
          <w:tcPr>
            <w:tcW w:w="2756" w:type="dxa"/>
            <w:shd w:val="clear" w:color="auto" w:fill="FFFFFF" w:themeFill="background1"/>
          </w:tcPr>
          <w:p w14:paraId="13CC9E96" w14:textId="07FB1CE8" w:rsidR="006477A4" w:rsidRPr="00E717C5" w:rsidRDefault="00573642" w:rsidP="006477A4">
            <w:pPr>
              <w:spacing w:before="120" w:after="120" w:line="23" w:lineRule="atLeast"/>
              <w:jc w:val="both"/>
              <w:rPr>
                <w:rFonts w:ascii="Arial" w:hAnsi="Arial" w:cs="Arial"/>
                <w:bCs/>
                <w:sz w:val="18"/>
                <w:szCs w:val="18"/>
              </w:rPr>
            </w:pPr>
            <w:r>
              <w:rPr>
                <w:rFonts w:ascii="Arial" w:hAnsi="Arial" w:cs="Arial"/>
                <w:bCs/>
                <w:sz w:val="18"/>
                <w:szCs w:val="18"/>
              </w:rPr>
              <w:lastRenderedPageBreak/>
              <w:t xml:space="preserve">Se considera improcedente toda vez que no se señala qué aspecto de los conceptos no es claro o en qué sentido se </w:t>
            </w:r>
            <w:r>
              <w:rPr>
                <w:rFonts w:ascii="Arial" w:hAnsi="Arial" w:cs="Arial"/>
                <w:bCs/>
                <w:sz w:val="18"/>
                <w:szCs w:val="18"/>
              </w:rPr>
              <w:lastRenderedPageBreak/>
              <w:t xml:space="preserve">genera una supuesta confusión entre estos. </w:t>
            </w:r>
          </w:p>
        </w:tc>
      </w:tr>
      <w:tr w:rsidR="006477A4" w:rsidRPr="006477A4" w14:paraId="53A2DF50" w14:textId="77777777" w:rsidTr="009F6BE3">
        <w:tc>
          <w:tcPr>
            <w:tcW w:w="3348" w:type="dxa"/>
            <w:shd w:val="clear" w:color="auto" w:fill="FFFFFF" w:themeFill="background1"/>
          </w:tcPr>
          <w:p w14:paraId="31791A4A" w14:textId="40600A90" w:rsidR="006477A4" w:rsidRPr="00730154" w:rsidRDefault="004336B7" w:rsidP="009F6BE3">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lastRenderedPageBreak/>
              <w:t>"A efecto de que las multas tengan un efecto disuasorio, éstas podrán ser superiores al beneficio que, en su caso, perciban los AE por la comisión de conductas o prácticas contrarias a la LFCE, pero sin superar los límites máximos establecidos en esa ley para cada conducta. En caso de que no se cuente con elementos para determinar o distinguir el beneficio de los AE por la comisión de su conducta o práctica ilícita, el Instituto tendrá la discrecionalidad para establecer o ponderar razonadamente el factor disuasorio necesario al cálculo de la multa, ciñéndose a los elementos establecidos en el artículo 130 de la LFCE;"</w:t>
            </w:r>
          </w:p>
        </w:tc>
        <w:tc>
          <w:tcPr>
            <w:tcW w:w="3280" w:type="dxa"/>
            <w:shd w:val="clear" w:color="auto" w:fill="FFFFFF" w:themeFill="background1"/>
          </w:tcPr>
          <w:p w14:paraId="1E96A107" w14:textId="5AE3E576" w:rsidR="004336B7" w:rsidRPr="00730154" w:rsidRDefault="004336B7" w:rsidP="004336B7">
            <w:pPr>
              <w:spacing w:before="120" w:after="120" w:line="23" w:lineRule="atLeast"/>
              <w:jc w:val="both"/>
              <w:rPr>
                <w:rFonts w:ascii="Arial" w:hAnsi="Arial" w:cs="Arial"/>
                <w:bCs/>
                <w:sz w:val="18"/>
                <w:szCs w:val="18"/>
              </w:rPr>
            </w:pPr>
            <w:r w:rsidRPr="00730154">
              <w:rPr>
                <w:rFonts w:ascii="Arial" w:hAnsi="Arial" w:cs="Arial"/>
                <w:bCs/>
                <w:sz w:val="18"/>
                <w:szCs w:val="18"/>
              </w:rPr>
              <w:t xml:space="preserve">La guía excede los límites y alcances de la misma al incorporar el principio de disuasión, toda vez que éste no se encuentra previsto en la LFCE y se estarían violando los principios de legalidad y seguridad jurídica. </w:t>
            </w:r>
          </w:p>
          <w:p w14:paraId="231BEEE9" w14:textId="77777777" w:rsidR="006477A4" w:rsidRPr="00730154" w:rsidRDefault="006477A4" w:rsidP="006477A4">
            <w:pPr>
              <w:spacing w:before="120" w:after="120" w:line="23" w:lineRule="atLeast"/>
              <w:jc w:val="both"/>
              <w:rPr>
                <w:rFonts w:ascii="Arial" w:hAnsi="Arial" w:cs="Arial"/>
                <w:b/>
                <w:sz w:val="18"/>
                <w:szCs w:val="18"/>
              </w:rPr>
            </w:pPr>
          </w:p>
        </w:tc>
        <w:tc>
          <w:tcPr>
            <w:tcW w:w="2756" w:type="dxa"/>
            <w:shd w:val="clear" w:color="auto" w:fill="FFFFFF" w:themeFill="background1"/>
          </w:tcPr>
          <w:p w14:paraId="01A936AB" w14:textId="1125C282" w:rsidR="006477A4" w:rsidRPr="00E717C5" w:rsidRDefault="00573642"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toda vez que contrario a lo señalado, la guía no excede sus límites y alcances al incorporar el principio de disuasión ya que no es necesario que la ley prevea la aplicación de este principio. </w:t>
            </w:r>
          </w:p>
        </w:tc>
      </w:tr>
      <w:tr w:rsidR="004336B7" w:rsidRPr="006477A4" w14:paraId="5B9878BC" w14:textId="77777777" w:rsidTr="009F6BE3">
        <w:tc>
          <w:tcPr>
            <w:tcW w:w="3348" w:type="dxa"/>
            <w:vMerge w:val="restart"/>
            <w:shd w:val="clear" w:color="auto" w:fill="FFFFFF" w:themeFill="background1"/>
          </w:tcPr>
          <w:p w14:paraId="17E3539F" w14:textId="4183DBFB" w:rsidR="004336B7" w:rsidRPr="00730154" w:rsidRDefault="004336B7" w:rsidP="009F6BE3">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 xml:space="preserve">“A efecto de que las multas tengan un efecto disuasorio, éstas podrán ser superiores al beneficio que, en su caso, perciban los AE por la comisión de conductas o prácticas contrarias a la LFCE, pero sin superar los límites máximos establecidos en esa ley para cada conducta. </w:t>
            </w:r>
            <w:r w:rsidRPr="00730154">
              <w:rPr>
                <w:rFonts w:ascii="Arial" w:eastAsia="Times New Roman" w:hAnsi="Arial" w:cs="Arial"/>
                <w:sz w:val="18"/>
                <w:szCs w:val="18"/>
              </w:rPr>
              <w:t>En caso de que no se cuente con elementos para determinar o distinguir el beneficio de los AE por la comisión de su conducta o práctica ilícita, el Instituto tendrá la discrecionalidad para establecer o ponderar razonadamente el factor disuasorio necesario al cálculo de la multa, ciñéndose a los elementos establecidos en el artículo 130 de la LFCE</w:t>
            </w:r>
            <w:r w:rsidRPr="00730154">
              <w:rPr>
                <w:rFonts w:ascii="Arial" w:hAnsi="Arial" w:cs="Arial"/>
                <w:sz w:val="18"/>
                <w:szCs w:val="18"/>
                <w:lang w:val="es-ES"/>
              </w:rPr>
              <w:t>”.</w:t>
            </w:r>
          </w:p>
        </w:tc>
        <w:tc>
          <w:tcPr>
            <w:tcW w:w="3280" w:type="dxa"/>
            <w:shd w:val="clear" w:color="auto" w:fill="FFFFFF" w:themeFill="background1"/>
          </w:tcPr>
          <w:p w14:paraId="49422D27" w14:textId="73E6B74E" w:rsidR="004336B7" w:rsidRPr="00730154" w:rsidRDefault="004336B7" w:rsidP="004336B7">
            <w:pPr>
              <w:spacing w:before="120" w:after="120" w:line="23" w:lineRule="atLeast"/>
              <w:jc w:val="both"/>
              <w:rPr>
                <w:rFonts w:ascii="Arial" w:hAnsi="Arial" w:cs="Arial"/>
                <w:bCs/>
                <w:sz w:val="18"/>
                <w:szCs w:val="18"/>
              </w:rPr>
            </w:pPr>
            <w:r w:rsidRPr="00730154">
              <w:rPr>
                <w:rFonts w:ascii="Arial" w:hAnsi="Arial" w:cs="Arial"/>
                <w:bCs/>
                <w:sz w:val="18"/>
                <w:szCs w:val="18"/>
              </w:rPr>
              <w:t>Se recomienda explicar que en la mayoría de los casos se estima o cuantifica subestimando los montos a los cuales ascendió el daño causado debido a la información que se encuentra disponible en cada expediente aunado a que los efectos adversos que tienen las referidas conductas sobre el bienestar del consumidor y/o el daño adicional provocado “efecto sombrilla” difícilmente se puede estimar o cuantificar con exactitud, para evidenciar el motivo por el cual diversos expertos sostienen que la disuasión efectiva requiere imponer multas que superen incluso por varias veces el monto de ganancia ilícita por la actividad que se estima y/o cuantifica como daño causado.</w:t>
            </w:r>
          </w:p>
          <w:p w14:paraId="070BA819" w14:textId="77777777" w:rsidR="004336B7" w:rsidRPr="00730154" w:rsidRDefault="004336B7" w:rsidP="006477A4">
            <w:pPr>
              <w:spacing w:before="120" w:after="120" w:line="23" w:lineRule="atLeast"/>
              <w:jc w:val="both"/>
              <w:rPr>
                <w:rFonts w:ascii="Arial" w:hAnsi="Arial" w:cs="Arial"/>
                <w:b/>
                <w:sz w:val="18"/>
                <w:szCs w:val="18"/>
              </w:rPr>
            </w:pPr>
          </w:p>
        </w:tc>
        <w:tc>
          <w:tcPr>
            <w:tcW w:w="2756" w:type="dxa"/>
            <w:shd w:val="clear" w:color="auto" w:fill="FFFFFF" w:themeFill="background1"/>
          </w:tcPr>
          <w:p w14:paraId="7784AF5E" w14:textId="77777777" w:rsidR="004336B7" w:rsidRDefault="00573642"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procedente ya que contribuye a robustecer la importancia de que las multas tengan una disuasión efectiva. </w:t>
            </w:r>
          </w:p>
          <w:p w14:paraId="3848A6A7" w14:textId="09917F5B" w:rsidR="00C325CE" w:rsidRDefault="00C325CE" w:rsidP="00C325CE">
            <w:pPr>
              <w:spacing w:before="120" w:after="120" w:line="23" w:lineRule="atLeast"/>
              <w:jc w:val="both"/>
              <w:rPr>
                <w:rFonts w:ascii="Arial" w:hAnsi="Arial" w:cs="Arial"/>
                <w:sz w:val="18"/>
                <w:szCs w:val="18"/>
              </w:rPr>
            </w:pPr>
            <w:r w:rsidRPr="00077AFA">
              <w:rPr>
                <w:rFonts w:ascii="Arial" w:hAnsi="Arial" w:cs="Arial"/>
                <w:sz w:val="18"/>
                <w:szCs w:val="18"/>
              </w:rPr>
              <w:t>Conforme a lo anterior, se</w:t>
            </w:r>
            <w:r w:rsidR="002C4854">
              <w:rPr>
                <w:rFonts w:ascii="Arial" w:hAnsi="Arial" w:cs="Arial"/>
                <w:sz w:val="18"/>
                <w:szCs w:val="18"/>
              </w:rPr>
              <w:t xml:space="preserve"> </w:t>
            </w:r>
            <w:r>
              <w:rPr>
                <w:rFonts w:ascii="Arial" w:hAnsi="Arial" w:cs="Arial"/>
                <w:sz w:val="18"/>
                <w:szCs w:val="18"/>
              </w:rPr>
              <w:t>adiciona</w:t>
            </w:r>
            <w:r w:rsidRPr="00077AFA">
              <w:rPr>
                <w:rFonts w:ascii="Arial" w:hAnsi="Arial" w:cs="Arial"/>
                <w:sz w:val="18"/>
                <w:szCs w:val="18"/>
              </w:rPr>
              <w:t xml:space="preserve"> al Proyecto el siguiente párrafo:</w:t>
            </w:r>
          </w:p>
          <w:tbl>
            <w:tblPr>
              <w:tblStyle w:val="Tablaconcuadrcula"/>
              <w:tblW w:w="0" w:type="auto"/>
              <w:jc w:val="center"/>
              <w:tblLook w:val="04A0" w:firstRow="1" w:lastRow="0" w:firstColumn="1" w:lastColumn="0" w:noHBand="0" w:noVBand="1"/>
            </w:tblPr>
            <w:tblGrid>
              <w:gridCol w:w="2530"/>
            </w:tblGrid>
            <w:tr w:rsidR="00C325CE" w:rsidRPr="00730154" w14:paraId="462AF258"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62E3819" w14:textId="1D4F7E20" w:rsidR="00C325CE" w:rsidRPr="00730154" w:rsidRDefault="002C4854" w:rsidP="00C325CE">
                  <w:pPr>
                    <w:spacing w:before="120" w:after="120" w:line="23" w:lineRule="atLeast"/>
                    <w:jc w:val="center"/>
                    <w:rPr>
                      <w:rFonts w:ascii="Arial" w:hAnsi="Arial" w:cs="Arial"/>
                      <w:b/>
                      <w:sz w:val="18"/>
                      <w:szCs w:val="18"/>
                    </w:rPr>
                  </w:pPr>
                  <w:r>
                    <w:rPr>
                      <w:rFonts w:ascii="Arial" w:hAnsi="Arial" w:cs="Arial"/>
                      <w:b/>
                      <w:sz w:val="18"/>
                      <w:szCs w:val="18"/>
                    </w:rPr>
                    <w:t>Adición</w:t>
                  </w:r>
                  <w:r w:rsidR="00C325CE" w:rsidRPr="00730154">
                    <w:rPr>
                      <w:rFonts w:ascii="Arial" w:hAnsi="Arial" w:cs="Arial"/>
                      <w:b/>
                      <w:sz w:val="18"/>
                      <w:szCs w:val="18"/>
                    </w:rPr>
                    <w:t xml:space="preserve"> al Proyecto </w:t>
                  </w:r>
                </w:p>
              </w:tc>
            </w:tr>
            <w:tr w:rsidR="00C325CE" w:rsidRPr="00730154" w14:paraId="2CB7CE18"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9FFCF2" w14:textId="3A32249C" w:rsidR="00C325CE" w:rsidRPr="00730154" w:rsidRDefault="00C325CE" w:rsidP="00C325CE">
                  <w:pPr>
                    <w:pStyle w:val="Textoindependiente"/>
                    <w:spacing w:before="120" w:line="23" w:lineRule="atLeast"/>
                    <w:jc w:val="both"/>
                    <w:rPr>
                      <w:rFonts w:ascii="Arial" w:hAnsi="Arial" w:cs="Arial"/>
                      <w:sz w:val="18"/>
                      <w:szCs w:val="18"/>
                    </w:rPr>
                  </w:pPr>
                  <w:r>
                    <w:rPr>
                      <w:rFonts w:ascii="Arial" w:hAnsi="Arial" w:cs="Arial"/>
                      <w:sz w:val="18"/>
                      <w:szCs w:val="18"/>
                    </w:rPr>
                    <w:t xml:space="preserve">Al respecto, en la literatura especializada se identifica que el motivo por el cual </w:t>
                  </w:r>
                  <w:r w:rsidRPr="00730154">
                    <w:rPr>
                      <w:rFonts w:ascii="Arial" w:hAnsi="Arial" w:cs="Arial"/>
                      <w:sz w:val="18"/>
                      <w:szCs w:val="18"/>
                    </w:rPr>
                    <w:t xml:space="preserve">la disuasión efectiva requiere imponer multas que superen incluso por varias veces el monto de ganancia ilícita </w:t>
                  </w:r>
                  <w:r>
                    <w:rPr>
                      <w:rFonts w:ascii="Arial" w:hAnsi="Arial" w:cs="Arial"/>
                      <w:sz w:val="18"/>
                      <w:szCs w:val="18"/>
                    </w:rPr>
                    <w:t xml:space="preserve">radica en que en la mayoría de los casos se subestiman los montos del daño causado, debido a la </w:t>
                  </w:r>
                  <w:r w:rsidRPr="00127F65">
                    <w:rPr>
                      <w:rFonts w:ascii="Arial" w:hAnsi="Arial" w:cs="Arial"/>
                      <w:sz w:val="18"/>
                      <w:szCs w:val="18"/>
                    </w:rPr>
                    <w:t xml:space="preserve">falta de información que se </w:t>
                  </w:r>
                  <w:r w:rsidRPr="00127F65">
                    <w:rPr>
                      <w:rFonts w:ascii="Arial" w:hAnsi="Arial" w:cs="Arial"/>
                      <w:sz w:val="18"/>
                      <w:szCs w:val="18"/>
                    </w:rPr>
                    <w:lastRenderedPageBreak/>
                    <w:t>encuentra disponible en cada expediente y a que los efectos adversos que tienen las referidas conductas sobre el bienestar del consumidor difícilmente se puede estimar o cuantificar con exactitud.</w:t>
                  </w:r>
                  <w:r w:rsidRPr="00127F65">
                    <w:rPr>
                      <w:rStyle w:val="Refdenotaalpie"/>
                      <w:rFonts w:ascii="Arial" w:eastAsia="Times New Roman" w:hAnsi="Arial" w:cs="Arial"/>
                      <w:sz w:val="18"/>
                      <w:szCs w:val="18"/>
                      <w:shd w:val="clear" w:color="auto" w:fill="FFFFFF"/>
                    </w:rPr>
                    <w:footnoteReference w:id="3"/>
                  </w:r>
                </w:p>
              </w:tc>
            </w:tr>
          </w:tbl>
          <w:p w14:paraId="653C766F" w14:textId="3D83774E" w:rsidR="00C325CE" w:rsidRPr="00E717C5" w:rsidRDefault="00C325CE" w:rsidP="009F6BE3">
            <w:pPr>
              <w:spacing w:before="120" w:after="120" w:line="23" w:lineRule="atLeast"/>
              <w:jc w:val="both"/>
              <w:rPr>
                <w:rFonts w:ascii="Arial" w:hAnsi="Arial" w:cs="Arial"/>
                <w:bCs/>
                <w:sz w:val="18"/>
                <w:szCs w:val="18"/>
              </w:rPr>
            </w:pPr>
          </w:p>
        </w:tc>
      </w:tr>
      <w:tr w:rsidR="004336B7" w:rsidRPr="006477A4" w14:paraId="513E217A" w14:textId="77777777" w:rsidTr="009F6BE3">
        <w:tc>
          <w:tcPr>
            <w:tcW w:w="3348" w:type="dxa"/>
            <w:vMerge/>
            <w:shd w:val="clear" w:color="auto" w:fill="FFFFFF" w:themeFill="background1"/>
          </w:tcPr>
          <w:p w14:paraId="0E940F8A" w14:textId="77777777" w:rsidR="004336B7" w:rsidRPr="00730154" w:rsidRDefault="004336B7" w:rsidP="009F6BE3">
            <w:pPr>
              <w:spacing w:before="120" w:after="120" w:line="23" w:lineRule="atLeast"/>
              <w:jc w:val="both"/>
              <w:rPr>
                <w:rFonts w:ascii="Arial" w:hAnsi="Arial" w:cs="Arial"/>
                <w:sz w:val="18"/>
                <w:szCs w:val="18"/>
                <w:lang w:val="es-ES"/>
              </w:rPr>
            </w:pPr>
          </w:p>
        </w:tc>
        <w:tc>
          <w:tcPr>
            <w:tcW w:w="3280" w:type="dxa"/>
            <w:shd w:val="clear" w:color="auto" w:fill="FFFFFF" w:themeFill="background1"/>
          </w:tcPr>
          <w:p w14:paraId="6124E7B7" w14:textId="7D6EFD76" w:rsidR="004336B7" w:rsidRPr="00730154" w:rsidRDefault="004336B7" w:rsidP="006477A4">
            <w:pPr>
              <w:spacing w:before="120" w:after="120" w:line="23" w:lineRule="atLeast"/>
              <w:jc w:val="both"/>
              <w:rPr>
                <w:rFonts w:ascii="Arial" w:hAnsi="Arial" w:cs="Arial"/>
                <w:b/>
                <w:sz w:val="18"/>
                <w:szCs w:val="18"/>
              </w:rPr>
            </w:pPr>
            <w:r w:rsidRPr="00730154">
              <w:rPr>
                <w:rFonts w:ascii="Arial" w:hAnsi="Arial" w:cs="Arial"/>
                <w:bCs/>
                <w:sz w:val="18"/>
                <w:szCs w:val="18"/>
              </w:rPr>
              <w:t>En relación con el concepto “efecto disuasorio” y referencias a “otros elementos necesarios para determinar el monto de la multa impuesta” sugiere el empleo de metodologías o parámetros más concretos para que existan bases objetivas en la ponderación de estas circunstancias.</w:t>
            </w:r>
          </w:p>
        </w:tc>
        <w:tc>
          <w:tcPr>
            <w:tcW w:w="2756" w:type="dxa"/>
            <w:shd w:val="clear" w:color="auto" w:fill="FFFFFF" w:themeFill="background1"/>
          </w:tcPr>
          <w:p w14:paraId="5FDA355D" w14:textId="6DE38FFB" w:rsidR="004336B7" w:rsidRPr="00E717C5" w:rsidRDefault="00573642" w:rsidP="009F6BE3">
            <w:pPr>
              <w:spacing w:before="120" w:after="120" w:line="23" w:lineRule="atLeast"/>
              <w:jc w:val="both"/>
              <w:rPr>
                <w:rFonts w:ascii="Arial" w:hAnsi="Arial" w:cs="Arial"/>
                <w:bCs/>
                <w:sz w:val="18"/>
                <w:szCs w:val="18"/>
              </w:rPr>
            </w:pPr>
            <w:r>
              <w:rPr>
                <w:rFonts w:ascii="Arial" w:hAnsi="Arial" w:cs="Arial"/>
                <w:bCs/>
                <w:sz w:val="18"/>
                <w:szCs w:val="18"/>
              </w:rPr>
              <w:t>Se considera improcedente toda vez que la Guía contiene parámetros para la aplicación de los elementos previstos en la LFCE para la determinación de multas. Asimismo, contiene una descripción de metodologías que fueron empleadas por el Instituto.</w:t>
            </w:r>
          </w:p>
        </w:tc>
      </w:tr>
      <w:tr w:rsidR="006477A4" w:rsidRPr="006477A4" w14:paraId="06FE51F4" w14:textId="77777777" w:rsidTr="009F6BE3">
        <w:tc>
          <w:tcPr>
            <w:tcW w:w="3348" w:type="dxa"/>
            <w:shd w:val="clear" w:color="auto" w:fill="FFFFFF" w:themeFill="background1"/>
          </w:tcPr>
          <w:p w14:paraId="73E1F2DD" w14:textId="27419CDC" w:rsidR="006477A4" w:rsidRPr="00730154" w:rsidRDefault="004336B7" w:rsidP="009F6BE3">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 xml:space="preserve">“Margen de discrecionalidad. Por lo general, las conductas anticompetitivas tratan de ser ocultadas por sus autores o partícipes, quienes evitan dejar evidencia o vestigio alguno de su existencia. En razón de ello, el PJF ha señalado que la autoridad en materia de competencia, al resolver respecto de ciertos elementos, entre los que se encuentran gravedad, duración, tamaño del mercado, participación, daño causado,  indicios de intencionalidad, capacidad económica, entre otros, dispone de márgenes de discrecionalidad tan amplios, que se encuentran únicamente acotados por los principios de razonabilidad, proporcionalidad y disuasión referidos con anterioridad, por lo que la autoridad está en posibilidad de considerar </w:t>
            </w:r>
            <w:r w:rsidRPr="00730154">
              <w:rPr>
                <w:rFonts w:ascii="Arial" w:hAnsi="Arial" w:cs="Arial"/>
                <w:sz w:val="18"/>
                <w:szCs w:val="18"/>
                <w:lang w:val="es-ES"/>
              </w:rPr>
              <w:lastRenderedPageBreak/>
              <w:t>cualquier otro elemento para individualizar la sanción que en su caso corresponda […]”.</w:t>
            </w:r>
          </w:p>
        </w:tc>
        <w:tc>
          <w:tcPr>
            <w:tcW w:w="3280" w:type="dxa"/>
            <w:shd w:val="clear" w:color="auto" w:fill="FFFFFF" w:themeFill="background1"/>
          </w:tcPr>
          <w:p w14:paraId="3E2F0198" w14:textId="6C846615" w:rsidR="006477A4" w:rsidRPr="00730154" w:rsidRDefault="004336B7" w:rsidP="006477A4">
            <w:pPr>
              <w:spacing w:before="120" w:after="120" w:line="23" w:lineRule="atLeast"/>
              <w:jc w:val="both"/>
              <w:rPr>
                <w:rFonts w:ascii="Arial" w:hAnsi="Arial" w:cs="Arial"/>
                <w:b/>
                <w:sz w:val="18"/>
                <w:szCs w:val="18"/>
              </w:rPr>
            </w:pPr>
            <w:r w:rsidRPr="00730154">
              <w:rPr>
                <w:rFonts w:ascii="Arial" w:hAnsi="Arial" w:cs="Arial"/>
                <w:bCs/>
                <w:sz w:val="18"/>
                <w:szCs w:val="18"/>
              </w:rPr>
              <w:lastRenderedPageBreak/>
              <w:t>En la guía se realiza una interpretación errónea de una tesis aislada del Poder Judicial Federal citada en el proyecto, la cual refiere que la discrecionalidad del IFT está sujeta a los términos indicados, es decir, a la valoración de los elementos constitutivos de ciertas prácticas anticompetitivas, y no a considerar, como erróneamente se pretende introducir en la guía, cualquier otro elemento no previsto en la ley, como el principio de disuasión.</w:t>
            </w:r>
          </w:p>
        </w:tc>
        <w:tc>
          <w:tcPr>
            <w:tcW w:w="2756" w:type="dxa"/>
            <w:shd w:val="clear" w:color="auto" w:fill="FFFFFF" w:themeFill="background1"/>
          </w:tcPr>
          <w:p w14:paraId="2C5D010E" w14:textId="107A8B07" w:rsidR="006477A4" w:rsidRPr="006477A4" w:rsidRDefault="008B621F" w:rsidP="009F6BE3">
            <w:pPr>
              <w:spacing w:before="120" w:after="120" w:line="23" w:lineRule="atLeast"/>
              <w:jc w:val="both"/>
              <w:rPr>
                <w:rFonts w:ascii="Arial" w:hAnsi="Arial" w:cs="Arial"/>
                <w:b/>
                <w:sz w:val="18"/>
                <w:szCs w:val="18"/>
              </w:rPr>
            </w:pPr>
            <w:r>
              <w:rPr>
                <w:rFonts w:ascii="Arial" w:hAnsi="Arial" w:cs="Arial"/>
                <w:bCs/>
                <w:sz w:val="18"/>
                <w:szCs w:val="18"/>
              </w:rPr>
              <w:t>Se considera improcedente toda vez que contrario a lo señalado, la guía no excede sus límites y alcances al incorporar el principio de disuasión ya que no es necesario que la ley prevea la aplicación de este principio.</w:t>
            </w:r>
          </w:p>
        </w:tc>
      </w:tr>
    </w:tbl>
    <w:p w14:paraId="132B269C" w14:textId="77777777" w:rsidR="006477A4" w:rsidRPr="006477A4" w:rsidRDefault="006477A4" w:rsidP="006477A4"/>
    <w:p w14:paraId="628DCAA2" w14:textId="2AE94AAC" w:rsidR="00485290" w:rsidRPr="00730154" w:rsidRDefault="00D01E28"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.3. Apartado 2.1 Ingresos</w:t>
      </w:r>
    </w:p>
    <w:p w14:paraId="74A38EFA" w14:textId="54DFB0A5" w:rsidR="00485290" w:rsidRDefault="00D01E28"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 xml:space="preserve">.3.1. </w:t>
      </w:r>
      <w:r w:rsidR="00485290" w:rsidRPr="00730154">
        <w:rPr>
          <w:rFonts w:ascii="Arial" w:hAnsi="Arial" w:cs="Arial"/>
          <w:b/>
          <w:bCs/>
          <w:color w:val="auto"/>
          <w:sz w:val="22"/>
          <w:szCs w:val="22"/>
        </w:rPr>
        <w:t>Síntesis de</w:t>
      </w:r>
      <w:r w:rsidR="00485290" w:rsidRPr="00730154">
        <w:rPr>
          <w:rFonts w:ascii="Arial" w:hAnsi="Arial" w:cs="Arial"/>
          <w:b/>
          <w:color w:val="auto"/>
          <w:sz w:val="22"/>
          <w:szCs w:val="22"/>
        </w:rPr>
        <w:t xml:space="preserve"> los comentarios recibidos respecto de la propuesta del apartado 2.1 Ingresos</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D91128" w:rsidRPr="00730154" w14:paraId="339BDABE" w14:textId="77777777" w:rsidTr="009F6BE3">
        <w:trPr>
          <w:tblHeader/>
        </w:trPr>
        <w:tc>
          <w:tcPr>
            <w:tcW w:w="3348" w:type="dxa"/>
            <w:tcBorders>
              <w:bottom w:val="single" w:sz="8" w:space="0" w:color="auto"/>
            </w:tcBorders>
            <w:shd w:val="clear" w:color="auto" w:fill="70AD47" w:themeFill="accent6"/>
          </w:tcPr>
          <w:p w14:paraId="06603AEC" w14:textId="77777777" w:rsidR="00D91128" w:rsidRPr="00730154" w:rsidRDefault="00D91128"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34C12443" w14:textId="77777777" w:rsidR="00D91128" w:rsidRPr="00730154" w:rsidRDefault="00D91128"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7098DE7A" w14:textId="77777777" w:rsidR="00D91128" w:rsidRPr="00730154" w:rsidRDefault="00D91128"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D91128" w:rsidRPr="00730154" w14:paraId="55BB6ED2" w14:textId="77777777" w:rsidTr="009F6BE3">
        <w:tc>
          <w:tcPr>
            <w:tcW w:w="9384" w:type="dxa"/>
            <w:gridSpan w:val="3"/>
            <w:tcBorders>
              <w:bottom w:val="single" w:sz="8" w:space="0" w:color="auto"/>
            </w:tcBorders>
            <w:shd w:val="clear" w:color="auto" w:fill="C5E0B3" w:themeFill="accent6" w:themeFillTint="66"/>
          </w:tcPr>
          <w:p w14:paraId="7D237E91" w14:textId="6580205B" w:rsidR="00D91128" w:rsidRPr="00730154" w:rsidRDefault="00D91128" w:rsidP="009F6BE3">
            <w:pPr>
              <w:spacing w:before="120" w:after="120" w:line="23" w:lineRule="atLeast"/>
              <w:jc w:val="center"/>
              <w:rPr>
                <w:rFonts w:ascii="Arial" w:hAnsi="Arial" w:cs="Arial"/>
                <w:b/>
                <w:sz w:val="18"/>
                <w:szCs w:val="18"/>
              </w:rPr>
            </w:pPr>
            <w:r w:rsidRPr="00730154">
              <w:rPr>
                <w:rFonts w:ascii="Arial" w:hAnsi="Arial" w:cs="Arial"/>
                <w:b/>
                <w:bCs/>
                <w:sz w:val="18"/>
                <w:szCs w:val="18"/>
              </w:rPr>
              <w:t>2.1 Ingresos</w:t>
            </w:r>
          </w:p>
        </w:tc>
      </w:tr>
      <w:tr w:rsidR="00D91128" w:rsidRPr="00D91FA4" w14:paraId="57020EE1" w14:textId="77777777" w:rsidTr="009F6BE3">
        <w:tc>
          <w:tcPr>
            <w:tcW w:w="3348" w:type="dxa"/>
            <w:shd w:val="clear" w:color="auto" w:fill="FFFFFF" w:themeFill="background1"/>
          </w:tcPr>
          <w:p w14:paraId="06AEDAEA" w14:textId="658F8EA3" w:rsidR="00D91128" w:rsidRPr="00730154" w:rsidRDefault="00D91128" w:rsidP="00D91128">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"Las multas previstas en los artículos 126, fracción II, 127 y 128 de la LFCE y que se abordan en esta Guía, se establecen en términos de UMAS o como porcentaje de los ingresos acumulables de los infractores."</w:t>
            </w:r>
          </w:p>
        </w:tc>
        <w:tc>
          <w:tcPr>
            <w:tcW w:w="3280" w:type="dxa"/>
            <w:shd w:val="clear" w:color="auto" w:fill="FFFFFF" w:themeFill="background1"/>
          </w:tcPr>
          <w:p w14:paraId="7D10EDDD" w14:textId="21B2BF40" w:rsidR="00D91128" w:rsidRPr="00730154" w:rsidRDefault="00D91128" w:rsidP="009F6BE3">
            <w:pPr>
              <w:spacing w:before="120" w:after="120" w:line="23" w:lineRule="atLeast"/>
              <w:jc w:val="both"/>
              <w:rPr>
                <w:rFonts w:ascii="Arial" w:hAnsi="Arial" w:cs="Arial"/>
                <w:b/>
                <w:sz w:val="18"/>
                <w:szCs w:val="18"/>
              </w:rPr>
            </w:pPr>
            <w:r w:rsidRPr="00730154">
              <w:rPr>
                <w:rFonts w:ascii="Arial" w:hAnsi="Arial" w:cs="Arial"/>
                <w:bCs/>
                <w:sz w:val="18"/>
                <w:szCs w:val="18"/>
              </w:rPr>
              <w:t>Sería recomendable adicionar que, en términos de lo dispuesto por los artículos 120 de la LFCE y 176 de las DRLFCE, independientemente de que se llegue a reportar o no la obtención de ingresos acumulables, las autoridades podrán tomar en cuenta, en caso de ser aplicable y como hecho notorio, información tal como el monto de la transacción, los activos de la sociedad objeto o montos de activos, los costos de producción, entre otros elementos que pudieran revelar la capacidad económica de los infractores.</w:t>
            </w:r>
          </w:p>
        </w:tc>
        <w:tc>
          <w:tcPr>
            <w:tcW w:w="2756" w:type="dxa"/>
            <w:shd w:val="clear" w:color="auto" w:fill="FFFFFF" w:themeFill="background1"/>
          </w:tcPr>
          <w:p w14:paraId="0E21A44F" w14:textId="77777777" w:rsidR="00D91128" w:rsidRDefault="00D91128"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procedente toda vez que aporta elementos que pueden ser de utilidad para la identificación de los ingresos de los infractores, empleados en el cálculo y determinación de las multas. </w:t>
            </w:r>
          </w:p>
          <w:p w14:paraId="3BA92777" w14:textId="77777777" w:rsidR="003F5DAA" w:rsidRDefault="003F5DAA" w:rsidP="003F5DAA">
            <w:pPr>
              <w:spacing w:before="120" w:after="120" w:line="23" w:lineRule="atLeast"/>
              <w:jc w:val="both"/>
              <w:rPr>
                <w:rFonts w:ascii="Arial" w:hAnsi="Arial" w:cs="Arial"/>
                <w:sz w:val="18"/>
                <w:szCs w:val="18"/>
              </w:rPr>
            </w:pPr>
            <w:r w:rsidRPr="00077AFA">
              <w:rPr>
                <w:rFonts w:ascii="Arial" w:hAnsi="Arial" w:cs="Arial"/>
                <w:sz w:val="18"/>
                <w:szCs w:val="18"/>
              </w:rPr>
              <w:t>Conforme a lo anterior, se modifica al Proyecto el siguiente párrafo:</w:t>
            </w:r>
          </w:p>
          <w:tbl>
            <w:tblPr>
              <w:tblStyle w:val="Tablaconcuadrcula"/>
              <w:tblW w:w="0" w:type="auto"/>
              <w:jc w:val="center"/>
              <w:tblLook w:val="04A0" w:firstRow="1" w:lastRow="0" w:firstColumn="1" w:lastColumn="0" w:noHBand="0" w:noVBand="1"/>
            </w:tblPr>
            <w:tblGrid>
              <w:gridCol w:w="2530"/>
            </w:tblGrid>
            <w:tr w:rsidR="003F5DAA" w:rsidRPr="00730154" w14:paraId="5792C1A6"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35BE5FB" w14:textId="77777777" w:rsidR="003F5DAA" w:rsidRPr="00730154" w:rsidRDefault="003F5DAA" w:rsidP="003F5DAA">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3F5DAA" w:rsidRPr="00730154" w14:paraId="2A925E31"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41BD3A0" w14:textId="05AE4901" w:rsidR="003F5DAA" w:rsidRPr="00730154" w:rsidRDefault="003F5DAA" w:rsidP="009D2C4C">
                  <w:pPr>
                    <w:pStyle w:val="Textoindependiente"/>
                    <w:spacing w:before="120" w:after="0" w:line="23" w:lineRule="atLeast"/>
                    <w:jc w:val="both"/>
                    <w:rPr>
                      <w:rFonts w:ascii="Arial" w:hAnsi="Arial" w:cs="Arial"/>
                      <w:sz w:val="18"/>
                      <w:szCs w:val="18"/>
                    </w:rPr>
                  </w:pPr>
                  <w:r w:rsidRPr="00DC3C61">
                    <w:rPr>
                      <w:rFonts w:ascii="Arial" w:eastAsia="Times New Roman" w:hAnsi="Arial" w:cs="Arial"/>
                      <w:sz w:val="18"/>
                      <w:szCs w:val="18"/>
                    </w:rPr>
                    <w:t xml:space="preserve">El Instituto podrá solicitar a los AE o a la autoridad competente la información fiscal necesaria para determinar el monto de las multas. </w:t>
                  </w:r>
                  <w:r w:rsidRPr="00D91FA4">
                    <w:rPr>
                      <w:rFonts w:ascii="Arial" w:eastAsia="Times New Roman" w:hAnsi="Arial" w:cs="Arial"/>
                      <w:b/>
                      <w:bCs/>
                      <w:sz w:val="18"/>
                      <w:szCs w:val="18"/>
                    </w:rPr>
                    <w:t xml:space="preserve">Asimismo, en caso de que no se cuente con información de los ingresos acumulables o los AE reporten ingresos acumulables iguales a cero, el Instituto podrá tomar en cuenta, en caso de ser aplicable y como hecho notorio, información sobre el monto de la transacción (cuando se trate de concentraciones ilícitas, concentraciones no notificadas e incumplimiento a condiciones establecidas en una resolución de concentración), los activos del infractor, los costos de producción, entre otros elementos que pudieran </w:t>
                  </w:r>
                  <w:r w:rsidRPr="00D91FA4">
                    <w:rPr>
                      <w:rFonts w:ascii="Arial" w:eastAsia="Times New Roman" w:hAnsi="Arial" w:cs="Arial"/>
                      <w:b/>
                      <w:bCs/>
                      <w:sz w:val="18"/>
                      <w:szCs w:val="18"/>
                    </w:rPr>
                    <w:lastRenderedPageBreak/>
                    <w:t>revelar los ingresos de los infractores.</w:t>
                  </w:r>
                  <w:r w:rsidRPr="00D91FA4">
                    <w:rPr>
                      <w:rStyle w:val="Refdenotaalpie"/>
                      <w:rFonts w:ascii="Arial" w:eastAsia="Times New Roman" w:hAnsi="Arial" w:cs="Arial"/>
                      <w:sz w:val="18"/>
                      <w:szCs w:val="18"/>
                    </w:rPr>
                    <w:footnoteReference w:id="4"/>
                  </w:r>
                </w:p>
              </w:tc>
            </w:tr>
          </w:tbl>
          <w:p w14:paraId="0D823398" w14:textId="7B47D775" w:rsidR="003F5DAA" w:rsidRPr="00D91FA4" w:rsidRDefault="003F5DAA" w:rsidP="009F6BE3">
            <w:pPr>
              <w:spacing w:before="120" w:after="120" w:line="23" w:lineRule="atLeast"/>
              <w:jc w:val="both"/>
              <w:rPr>
                <w:rFonts w:ascii="Arial" w:hAnsi="Arial" w:cs="Arial"/>
                <w:bCs/>
                <w:sz w:val="18"/>
                <w:szCs w:val="18"/>
              </w:rPr>
            </w:pPr>
          </w:p>
        </w:tc>
      </w:tr>
      <w:tr w:rsidR="00D91128" w:rsidRPr="00D91FA4" w14:paraId="02C03E55" w14:textId="77777777" w:rsidTr="009F6BE3">
        <w:tc>
          <w:tcPr>
            <w:tcW w:w="3348" w:type="dxa"/>
            <w:shd w:val="clear" w:color="auto" w:fill="FFFFFF" w:themeFill="background1"/>
          </w:tcPr>
          <w:p w14:paraId="29269254" w14:textId="77777777" w:rsidR="00D91128" w:rsidRPr="00730154" w:rsidRDefault="00D91128" w:rsidP="00D91128">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lastRenderedPageBreak/>
              <w:t>"En aquellos casos en que exista una definición de mercado y existan elementos objetivos para determinar que los ingresos provienen efectivamente de dicho mercado, se considerarán los ingresos que éstos hayan percibido del mercado afectado. En caso de que no exista dicha definición o no sea posible distinguir los ingresos que provinieron de dicho mercado, se considerarán los ingresos acumulables percibidos por el infractor durante el tiempo en que se haya cometido la conducta o práctica sancionada;</w:t>
            </w:r>
          </w:p>
          <w:p w14:paraId="47C87556" w14:textId="77777777" w:rsidR="00D91128" w:rsidRPr="00730154" w:rsidRDefault="00D91128" w:rsidP="00D91128">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w:t>
            </w:r>
          </w:p>
          <w:p w14:paraId="0501C494" w14:textId="704A2F65" w:rsidR="00D91128" w:rsidRPr="00730154" w:rsidRDefault="00D91128" w:rsidP="00D91128">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"El Instituto podrá solicitar a los AE o a la autoridad competente la información fiscal necesaria para determinar el monto de las multas."</w:t>
            </w:r>
          </w:p>
        </w:tc>
        <w:tc>
          <w:tcPr>
            <w:tcW w:w="3280" w:type="dxa"/>
            <w:shd w:val="clear" w:color="auto" w:fill="FFFFFF" w:themeFill="background1"/>
          </w:tcPr>
          <w:p w14:paraId="1CB777C4" w14:textId="5D4FAA2D" w:rsidR="00D91128" w:rsidRPr="00730154" w:rsidRDefault="00D91128" w:rsidP="00D91128">
            <w:pPr>
              <w:spacing w:before="120" w:after="120" w:line="23" w:lineRule="atLeast"/>
              <w:jc w:val="both"/>
              <w:rPr>
                <w:rFonts w:ascii="Arial" w:hAnsi="Arial" w:cs="Arial"/>
                <w:b/>
                <w:sz w:val="18"/>
                <w:szCs w:val="18"/>
              </w:rPr>
            </w:pPr>
            <w:r w:rsidRPr="00730154">
              <w:rPr>
                <w:rFonts w:ascii="Arial" w:hAnsi="Arial" w:cs="Arial"/>
                <w:bCs/>
                <w:sz w:val="18"/>
                <w:szCs w:val="18"/>
              </w:rPr>
              <w:t>Considera que solicitar información fiscal deja en estado de indefensión y contraviene el párrafo segundo, con relación a que la información fiscal que puedan obtener no está dada por el mercado, ya que es información de carácter general.</w:t>
            </w:r>
          </w:p>
        </w:tc>
        <w:tc>
          <w:tcPr>
            <w:tcW w:w="2756" w:type="dxa"/>
            <w:shd w:val="clear" w:color="auto" w:fill="FFFFFF" w:themeFill="background1"/>
          </w:tcPr>
          <w:p w14:paraId="457A5FF6" w14:textId="1576C041" w:rsidR="00D91128" w:rsidRPr="00D91FA4" w:rsidRDefault="00BD2229"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en atención a que la LFCE establece que los ingresos que deben tomarse como referencia para el cálculo de las multas serán los acumulables para los efectos del Impuesto Sobre la Renta del último ejercicio fiscal en que se haya incurrido en la infracción respectiva. De no estar disponible, la LFCE prescribe que se utilizará la base de cálculo correspondiente al ejercicio fiscal anterior. </w:t>
            </w:r>
          </w:p>
        </w:tc>
      </w:tr>
    </w:tbl>
    <w:p w14:paraId="4C6E35A0" w14:textId="77777777" w:rsidR="00D91128" w:rsidRPr="00D91128" w:rsidRDefault="00D91128" w:rsidP="00D91128"/>
    <w:p w14:paraId="2E82FF83" w14:textId="25D52E94" w:rsidR="00485290" w:rsidRPr="00730154" w:rsidRDefault="00D01E28"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.4. Apartado 2.2 Temporalidad</w:t>
      </w:r>
    </w:p>
    <w:p w14:paraId="72911E5A" w14:textId="0FDD7BE9" w:rsidR="00485290" w:rsidRDefault="00D01E28"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 xml:space="preserve">.4.1. </w:t>
      </w:r>
      <w:r w:rsidR="00485290" w:rsidRPr="00730154">
        <w:rPr>
          <w:rFonts w:ascii="Arial" w:hAnsi="Arial" w:cs="Arial"/>
          <w:b/>
          <w:bCs/>
          <w:color w:val="auto"/>
          <w:sz w:val="22"/>
          <w:szCs w:val="22"/>
        </w:rPr>
        <w:t>Síntesis de</w:t>
      </w:r>
      <w:r w:rsidR="00485290" w:rsidRPr="00730154">
        <w:rPr>
          <w:rFonts w:ascii="Arial" w:hAnsi="Arial" w:cs="Arial"/>
          <w:b/>
          <w:color w:val="auto"/>
          <w:sz w:val="22"/>
          <w:szCs w:val="22"/>
        </w:rPr>
        <w:t xml:space="preserve"> los comentarios recibidos respecto de la propuesta del apartado 2.2 Temporalidad</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9F649E" w:rsidRPr="00730154" w14:paraId="08DDE817" w14:textId="77777777" w:rsidTr="009F6BE3">
        <w:trPr>
          <w:tblHeader/>
        </w:trPr>
        <w:tc>
          <w:tcPr>
            <w:tcW w:w="3348" w:type="dxa"/>
            <w:tcBorders>
              <w:bottom w:val="single" w:sz="8" w:space="0" w:color="auto"/>
            </w:tcBorders>
            <w:shd w:val="clear" w:color="auto" w:fill="70AD47" w:themeFill="accent6"/>
          </w:tcPr>
          <w:p w14:paraId="7D303031" w14:textId="77777777" w:rsidR="009F649E" w:rsidRPr="00730154" w:rsidRDefault="009F649E"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3CB5BEB6" w14:textId="77777777" w:rsidR="009F649E" w:rsidRPr="00730154" w:rsidRDefault="009F649E"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23623026" w14:textId="77777777" w:rsidR="009F649E" w:rsidRPr="00730154" w:rsidRDefault="009F649E"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9F649E" w:rsidRPr="00730154" w14:paraId="3A38FCF6" w14:textId="77777777" w:rsidTr="009F6BE3">
        <w:tc>
          <w:tcPr>
            <w:tcW w:w="9384" w:type="dxa"/>
            <w:gridSpan w:val="3"/>
            <w:tcBorders>
              <w:bottom w:val="single" w:sz="8" w:space="0" w:color="auto"/>
            </w:tcBorders>
            <w:shd w:val="clear" w:color="auto" w:fill="C5E0B3" w:themeFill="accent6" w:themeFillTint="66"/>
          </w:tcPr>
          <w:p w14:paraId="441D7C5E" w14:textId="035A899A" w:rsidR="009F649E" w:rsidRPr="00730154" w:rsidRDefault="009F649E" w:rsidP="009F6BE3">
            <w:pPr>
              <w:spacing w:before="120" w:after="120" w:line="23" w:lineRule="atLeast"/>
              <w:jc w:val="center"/>
              <w:rPr>
                <w:rFonts w:ascii="Arial" w:hAnsi="Arial" w:cs="Arial"/>
                <w:b/>
                <w:sz w:val="18"/>
                <w:szCs w:val="18"/>
              </w:rPr>
            </w:pPr>
            <w:r w:rsidRPr="00730154">
              <w:rPr>
                <w:rFonts w:ascii="Arial" w:hAnsi="Arial" w:cs="Arial"/>
                <w:b/>
                <w:bCs/>
                <w:sz w:val="18"/>
                <w:szCs w:val="18"/>
                <w:lang w:val="es-ES"/>
              </w:rPr>
              <w:t>2.2 Temporalidad</w:t>
            </w:r>
          </w:p>
        </w:tc>
      </w:tr>
      <w:tr w:rsidR="009F649E" w:rsidRPr="009B0FDC" w14:paraId="2287C30C" w14:textId="77777777" w:rsidTr="009F6BE3">
        <w:tc>
          <w:tcPr>
            <w:tcW w:w="3348" w:type="dxa"/>
            <w:shd w:val="clear" w:color="auto" w:fill="FFFFFF" w:themeFill="background1"/>
          </w:tcPr>
          <w:p w14:paraId="374D48E7" w14:textId="0FA8901F" w:rsidR="009F649E" w:rsidRPr="00730154" w:rsidRDefault="009F649E" w:rsidP="009F6BE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"Los ingresos que se podrán considerar para el cálculo de multas serán los correspondientes al último ejercicio fiscal del periodo en que se haya incurrido en la infracción sancionada o, de no estar disponibles, los correspondientes al ejercicio fiscal inmediato anterior."</w:t>
            </w:r>
          </w:p>
        </w:tc>
        <w:tc>
          <w:tcPr>
            <w:tcW w:w="3280" w:type="dxa"/>
            <w:shd w:val="clear" w:color="auto" w:fill="FFFFFF" w:themeFill="background1"/>
          </w:tcPr>
          <w:p w14:paraId="2AF29019" w14:textId="6DFFFBC1" w:rsidR="009F649E" w:rsidRPr="00730154" w:rsidRDefault="009F649E" w:rsidP="009F6BE3">
            <w:pPr>
              <w:spacing w:before="120" w:after="120" w:line="23" w:lineRule="atLeast"/>
              <w:jc w:val="both"/>
              <w:rPr>
                <w:rFonts w:ascii="Arial" w:hAnsi="Arial" w:cs="Arial"/>
                <w:b/>
                <w:sz w:val="18"/>
                <w:szCs w:val="18"/>
              </w:rPr>
            </w:pPr>
            <w:r w:rsidRPr="00730154">
              <w:rPr>
                <w:rFonts w:ascii="Arial" w:hAnsi="Arial" w:cs="Arial"/>
                <w:bCs/>
                <w:sz w:val="18"/>
                <w:szCs w:val="18"/>
              </w:rPr>
              <w:t>Considera que tomar como base para el cálculo de la multa el último ejercicio fiscal disponible, da pie a que el particular condicione dicho ejercicio de manera que resulte en cuanto a sus intereses convenga mediante estrategias fiscales.</w:t>
            </w:r>
          </w:p>
        </w:tc>
        <w:tc>
          <w:tcPr>
            <w:tcW w:w="2756" w:type="dxa"/>
            <w:shd w:val="clear" w:color="auto" w:fill="FFFFFF" w:themeFill="background1"/>
          </w:tcPr>
          <w:p w14:paraId="368EE22E" w14:textId="6F3F1D48" w:rsidR="009F649E" w:rsidRPr="009B0FDC" w:rsidRDefault="008C790B" w:rsidP="009F6BE3">
            <w:pPr>
              <w:spacing w:before="120" w:after="120" w:line="23" w:lineRule="atLeast"/>
              <w:jc w:val="both"/>
              <w:rPr>
                <w:rFonts w:ascii="Arial" w:hAnsi="Arial" w:cs="Arial"/>
                <w:bCs/>
                <w:sz w:val="18"/>
                <w:szCs w:val="18"/>
              </w:rPr>
            </w:pPr>
            <w:r>
              <w:rPr>
                <w:rFonts w:ascii="Arial" w:hAnsi="Arial" w:cs="Arial"/>
                <w:bCs/>
                <w:sz w:val="18"/>
                <w:szCs w:val="18"/>
              </w:rPr>
              <w:t>Se considera improcedente en atención a que la LFCE establece que los ingresos que deben tomarse como referencia para el cálculo de las multas serán los acumulables para los efectos del Impuesto Sobre la Renta del último ejercicio fiscal en que se haya incurrido en la infracción respectiva. De no estar disponible, la LFCE prescribe que se utilizará la base de cálculo correspondiente al ejercicio fiscal anterior.</w:t>
            </w:r>
          </w:p>
        </w:tc>
      </w:tr>
    </w:tbl>
    <w:p w14:paraId="0DC66BCE" w14:textId="77777777" w:rsidR="009F649E" w:rsidRPr="009F649E" w:rsidRDefault="009F649E" w:rsidP="009F649E"/>
    <w:p w14:paraId="3416B5D0" w14:textId="4C639A77" w:rsidR="00485290" w:rsidRPr="00730154" w:rsidRDefault="00D01E28"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lastRenderedPageBreak/>
        <w:t>8</w:t>
      </w:r>
      <w:r w:rsidR="00485290" w:rsidRPr="00730154">
        <w:rPr>
          <w:rFonts w:ascii="Arial" w:hAnsi="Arial" w:cs="Arial"/>
          <w:b/>
          <w:color w:val="auto"/>
          <w:sz w:val="22"/>
          <w:szCs w:val="22"/>
        </w:rPr>
        <w:t>.5. Apartado 2.3 Reincidencia</w:t>
      </w:r>
    </w:p>
    <w:p w14:paraId="6649B132" w14:textId="6CFAF6DD" w:rsidR="00485290" w:rsidRDefault="00D01E28"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 xml:space="preserve">.5.1. </w:t>
      </w:r>
      <w:r w:rsidR="00485290" w:rsidRPr="00730154">
        <w:rPr>
          <w:rFonts w:ascii="Arial" w:hAnsi="Arial" w:cs="Arial"/>
          <w:b/>
          <w:bCs/>
          <w:color w:val="auto"/>
          <w:sz w:val="22"/>
          <w:szCs w:val="22"/>
        </w:rPr>
        <w:t>Síntesis de</w:t>
      </w:r>
      <w:r w:rsidR="00485290" w:rsidRPr="00730154">
        <w:rPr>
          <w:rFonts w:ascii="Arial" w:hAnsi="Arial" w:cs="Arial"/>
          <w:b/>
          <w:color w:val="auto"/>
          <w:sz w:val="22"/>
          <w:szCs w:val="22"/>
        </w:rPr>
        <w:t xml:space="preserve"> los comentarios recibidos respecto de la propuesta del apartado 2.3 Reincidencia</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CF3F89" w:rsidRPr="00730154" w14:paraId="61821F6D" w14:textId="77777777" w:rsidTr="009F6BE3">
        <w:trPr>
          <w:tblHeader/>
        </w:trPr>
        <w:tc>
          <w:tcPr>
            <w:tcW w:w="3348" w:type="dxa"/>
            <w:tcBorders>
              <w:bottom w:val="single" w:sz="8" w:space="0" w:color="auto"/>
            </w:tcBorders>
            <w:shd w:val="clear" w:color="auto" w:fill="70AD47" w:themeFill="accent6"/>
          </w:tcPr>
          <w:p w14:paraId="64180E97" w14:textId="77777777" w:rsidR="00CF3F89" w:rsidRPr="00730154" w:rsidRDefault="00CF3F89"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09F49186" w14:textId="77777777" w:rsidR="00CF3F89" w:rsidRPr="00730154" w:rsidRDefault="00CF3F89"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067F6CEB" w14:textId="77777777" w:rsidR="00CF3F89" w:rsidRPr="00730154" w:rsidRDefault="00CF3F89"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F3F89" w:rsidRPr="00730154" w14:paraId="0F5F4F15" w14:textId="77777777" w:rsidTr="009F6BE3">
        <w:tc>
          <w:tcPr>
            <w:tcW w:w="9384" w:type="dxa"/>
            <w:gridSpan w:val="3"/>
            <w:tcBorders>
              <w:bottom w:val="single" w:sz="8" w:space="0" w:color="auto"/>
            </w:tcBorders>
            <w:shd w:val="clear" w:color="auto" w:fill="C5E0B3" w:themeFill="accent6" w:themeFillTint="66"/>
          </w:tcPr>
          <w:p w14:paraId="57FC914E" w14:textId="303E1982" w:rsidR="00CF3F89" w:rsidRPr="00730154" w:rsidRDefault="00CF3F89" w:rsidP="009F6BE3">
            <w:pPr>
              <w:spacing w:before="120" w:after="120" w:line="23" w:lineRule="atLeast"/>
              <w:jc w:val="center"/>
              <w:rPr>
                <w:rFonts w:ascii="Arial" w:hAnsi="Arial" w:cs="Arial"/>
                <w:b/>
                <w:sz w:val="18"/>
                <w:szCs w:val="18"/>
              </w:rPr>
            </w:pPr>
            <w:r w:rsidRPr="00730154">
              <w:rPr>
                <w:rFonts w:ascii="Arial" w:hAnsi="Arial" w:cs="Arial"/>
                <w:b/>
                <w:bCs/>
                <w:sz w:val="18"/>
                <w:szCs w:val="18"/>
                <w:lang w:val="es-ES"/>
              </w:rPr>
              <w:t>2.3 Reincidencia</w:t>
            </w:r>
          </w:p>
        </w:tc>
      </w:tr>
      <w:tr w:rsidR="00397D86" w:rsidRPr="003F324D" w14:paraId="72CFD425" w14:textId="77777777" w:rsidTr="009F6BE3">
        <w:tc>
          <w:tcPr>
            <w:tcW w:w="3348" w:type="dxa"/>
            <w:vMerge w:val="restart"/>
            <w:shd w:val="clear" w:color="auto" w:fill="FFFFFF" w:themeFill="background1"/>
          </w:tcPr>
          <w:p w14:paraId="566981C3" w14:textId="364F52C0" w:rsidR="00397D86" w:rsidRPr="00730154" w:rsidRDefault="00397D86" w:rsidP="009F6BE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"En caso de reincidencia, en términos del artículo 127, párrafo cuarto, de la LFCE, el Instituto podrá imponer una multa hasta por el doble de la que se hubiera determinado en la primera ocasión."</w:t>
            </w:r>
          </w:p>
        </w:tc>
        <w:tc>
          <w:tcPr>
            <w:tcW w:w="3280" w:type="dxa"/>
            <w:shd w:val="clear" w:color="auto" w:fill="FFFFFF" w:themeFill="background1"/>
          </w:tcPr>
          <w:p w14:paraId="28A40B54" w14:textId="50FEBCCB" w:rsidR="00397D86" w:rsidRPr="00730154" w:rsidRDefault="00397D86" w:rsidP="009F6BE3">
            <w:pPr>
              <w:spacing w:before="120" w:after="120" w:line="23" w:lineRule="atLeast"/>
              <w:jc w:val="both"/>
              <w:rPr>
                <w:rFonts w:ascii="Arial" w:hAnsi="Arial" w:cs="Arial"/>
                <w:b/>
                <w:sz w:val="18"/>
                <w:szCs w:val="18"/>
              </w:rPr>
            </w:pPr>
            <w:r w:rsidRPr="00730154">
              <w:rPr>
                <w:rFonts w:ascii="Arial" w:hAnsi="Arial" w:cs="Arial"/>
                <w:bCs/>
                <w:sz w:val="18"/>
                <w:szCs w:val="18"/>
              </w:rPr>
              <w:t>Se considera que no es posible determinar una multa al doble en automático, ya que no se tienen los mismos ingresos en cada ejercicio fiscal.</w:t>
            </w:r>
          </w:p>
        </w:tc>
        <w:tc>
          <w:tcPr>
            <w:tcW w:w="2756" w:type="dxa"/>
            <w:shd w:val="clear" w:color="auto" w:fill="FFFFFF" w:themeFill="background1"/>
          </w:tcPr>
          <w:p w14:paraId="3853682A" w14:textId="652C037E" w:rsidR="00397D86" w:rsidRPr="003F324D" w:rsidRDefault="00397D86"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toda vez que la LFCE establece que en caso de reincidencia se podrá imponer una multa hasta por el doble de la que se hubiera determinado por la autoridad. </w:t>
            </w:r>
          </w:p>
        </w:tc>
      </w:tr>
      <w:tr w:rsidR="00397D86" w:rsidRPr="003F324D" w14:paraId="26E86933" w14:textId="77777777" w:rsidTr="009F6BE3">
        <w:tc>
          <w:tcPr>
            <w:tcW w:w="3348" w:type="dxa"/>
            <w:vMerge/>
            <w:shd w:val="clear" w:color="auto" w:fill="FFFFFF" w:themeFill="background1"/>
          </w:tcPr>
          <w:p w14:paraId="7306CB03" w14:textId="77777777" w:rsidR="00397D86" w:rsidRPr="00730154" w:rsidRDefault="00397D86" w:rsidP="009F6BE3">
            <w:pPr>
              <w:spacing w:before="120" w:after="120" w:line="23" w:lineRule="atLeast"/>
              <w:jc w:val="both"/>
              <w:rPr>
                <w:rFonts w:ascii="Arial" w:hAnsi="Arial" w:cs="Arial"/>
                <w:sz w:val="18"/>
                <w:szCs w:val="18"/>
                <w:lang w:val="es-ES"/>
              </w:rPr>
            </w:pPr>
          </w:p>
        </w:tc>
        <w:tc>
          <w:tcPr>
            <w:tcW w:w="3280" w:type="dxa"/>
            <w:shd w:val="clear" w:color="auto" w:fill="FFFFFF" w:themeFill="background1"/>
          </w:tcPr>
          <w:p w14:paraId="66A73763" w14:textId="4AB2B5AD" w:rsidR="00397D86" w:rsidRPr="00397D86" w:rsidRDefault="00397D86" w:rsidP="009F6BE3">
            <w:pPr>
              <w:spacing w:before="120" w:after="120" w:line="23" w:lineRule="atLeast"/>
              <w:jc w:val="both"/>
              <w:rPr>
                <w:rFonts w:ascii="Arial" w:hAnsi="Arial" w:cs="Arial"/>
                <w:sz w:val="18"/>
                <w:szCs w:val="18"/>
                <w:lang w:val="es-ES"/>
              </w:rPr>
            </w:pPr>
            <w:r>
              <w:rPr>
                <w:rFonts w:ascii="Arial" w:hAnsi="Arial" w:cs="Arial"/>
                <w:sz w:val="18"/>
                <w:szCs w:val="18"/>
                <w:lang w:val="es-ES"/>
              </w:rPr>
              <w:t xml:space="preserve">Mediante el oficio número </w:t>
            </w:r>
            <w:r w:rsidRPr="00397D86">
              <w:rPr>
                <w:rFonts w:ascii="Arial" w:hAnsi="Arial" w:cs="Arial"/>
                <w:sz w:val="18"/>
                <w:szCs w:val="18"/>
                <w:lang w:val="es-ES"/>
              </w:rPr>
              <w:t>IFT/227/UAJ/0089/2021</w:t>
            </w:r>
            <w:r>
              <w:rPr>
                <w:rFonts w:ascii="Arial" w:hAnsi="Arial" w:cs="Arial"/>
                <w:sz w:val="18"/>
                <w:szCs w:val="18"/>
                <w:lang w:val="es-ES"/>
              </w:rPr>
              <w:t>, l</w:t>
            </w:r>
            <w:r w:rsidRPr="00D15B23">
              <w:rPr>
                <w:rFonts w:ascii="Arial" w:hAnsi="Arial" w:cs="Arial"/>
                <w:sz w:val="18"/>
                <w:szCs w:val="18"/>
                <w:lang w:val="es-ES"/>
              </w:rPr>
              <w:t xml:space="preserve">a </w:t>
            </w:r>
            <w:r>
              <w:rPr>
                <w:rFonts w:ascii="Arial" w:hAnsi="Arial" w:cs="Arial"/>
                <w:sz w:val="18"/>
                <w:szCs w:val="18"/>
                <w:lang w:val="es-ES"/>
              </w:rPr>
              <w:t>Unidad de Asuntos Jurídicos sugirió la incorporación de la referencia al párrafo quinto del artículo 127 de la LFCE.</w:t>
            </w:r>
          </w:p>
        </w:tc>
        <w:tc>
          <w:tcPr>
            <w:tcW w:w="2756" w:type="dxa"/>
            <w:shd w:val="clear" w:color="auto" w:fill="FFFFFF" w:themeFill="background1"/>
          </w:tcPr>
          <w:p w14:paraId="723970D0" w14:textId="77777777" w:rsidR="00397D86" w:rsidRDefault="00397D86"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procedente toda vez que en el párrafo sugerido se refieren los elementos que configuran la reincidencia. </w:t>
            </w:r>
          </w:p>
          <w:p w14:paraId="20A9C2F7" w14:textId="77777777" w:rsidR="00397D86" w:rsidRPr="00EC5B89" w:rsidRDefault="00397D86" w:rsidP="00397D86">
            <w:pPr>
              <w:spacing w:before="120" w:after="120" w:line="23" w:lineRule="atLeast"/>
              <w:jc w:val="both"/>
              <w:rPr>
                <w:rFonts w:ascii="Arial" w:hAnsi="Arial" w:cs="Arial"/>
                <w:bCs/>
                <w:sz w:val="18"/>
                <w:szCs w:val="18"/>
              </w:rPr>
            </w:pPr>
            <w:r>
              <w:rPr>
                <w:rFonts w:ascii="Arial" w:hAnsi="Arial" w:cs="Arial"/>
                <w:bCs/>
                <w:sz w:val="18"/>
                <w:szCs w:val="18"/>
              </w:rPr>
              <w:t xml:space="preserve">Por lo anterior, se realiza una modificación al apartado. </w:t>
            </w:r>
          </w:p>
          <w:tbl>
            <w:tblPr>
              <w:tblStyle w:val="Tablaconcuadrcula"/>
              <w:tblW w:w="0" w:type="auto"/>
              <w:jc w:val="center"/>
              <w:tblLook w:val="04A0" w:firstRow="1" w:lastRow="0" w:firstColumn="1" w:lastColumn="0" w:noHBand="0" w:noVBand="1"/>
            </w:tblPr>
            <w:tblGrid>
              <w:gridCol w:w="2530"/>
            </w:tblGrid>
            <w:tr w:rsidR="00397D86" w:rsidRPr="00730154" w14:paraId="18A2E3F5"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BA94AAF" w14:textId="77777777" w:rsidR="00397D86" w:rsidRPr="00730154" w:rsidRDefault="00397D86" w:rsidP="00397D86">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397D86" w:rsidRPr="00730154" w14:paraId="4AF61E93"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C0FF350" w14:textId="05A9E7E7" w:rsidR="00397D86" w:rsidRPr="00B52C40" w:rsidRDefault="00397D86" w:rsidP="00397D86">
                  <w:pPr>
                    <w:pStyle w:val="Textoindependiente"/>
                    <w:spacing w:before="120" w:line="23" w:lineRule="atLeast"/>
                    <w:jc w:val="both"/>
                    <w:rPr>
                      <w:rFonts w:ascii="Arial" w:hAnsi="Arial" w:cs="Arial"/>
                      <w:sz w:val="18"/>
                      <w:szCs w:val="18"/>
                    </w:rPr>
                  </w:pPr>
                  <w:r w:rsidRPr="00730154">
                    <w:rPr>
                      <w:rFonts w:ascii="Arial" w:hAnsi="Arial" w:cs="Arial"/>
                      <w:sz w:val="18"/>
                      <w:szCs w:val="18"/>
                      <w:lang w:val="es-ES"/>
                    </w:rPr>
                    <w:t>En caso de reincidencia, en términos del artículo 127, párrafo</w:t>
                  </w:r>
                  <w:r w:rsidRPr="00397D86">
                    <w:rPr>
                      <w:rFonts w:ascii="Arial" w:hAnsi="Arial" w:cs="Arial"/>
                      <w:b/>
                      <w:bCs/>
                      <w:sz w:val="18"/>
                      <w:szCs w:val="18"/>
                      <w:lang w:val="es-ES"/>
                    </w:rPr>
                    <w:t>s</w:t>
                  </w:r>
                  <w:r w:rsidRPr="00730154">
                    <w:rPr>
                      <w:rFonts w:ascii="Arial" w:hAnsi="Arial" w:cs="Arial"/>
                      <w:sz w:val="18"/>
                      <w:szCs w:val="18"/>
                      <w:lang w:val="es-ES"/>
                    </w:rPr>
                    <w:t xml:space="preserve"> cuarto</w:t>
                  </w:r>
                  <w:r>
                    <w:rPr>
                      <w:rFonts w:ascii="Arial" w:hAnsi="Arial" w:cs="Arial"/>
                      <w:sz w:val="18"/>
                      <w:szCs w:val="18"/>
                      <w:lang w:val="es-ES"/>
                    </w:rPr>
                    <w:t xml:space="preserve"> </w:t>
                  </w:r>
                  <w:r w:rsidRPr="00397D86">
                    <w:rPr>
                      <w:rFonts w:ascii="Arial" w:hAnsi="Arial" w:cs="Arial"/>
                      <w:b/>
                      <w:bCs/>
                      <w:sz w:val="18"/>
                      <w:szCs w:val="18"/>
                      <w:lang w:val="es-ES"/>
                    </w:rPr>
                    <w:t>y quinto</w:t>
                  </w:r>
                  <w:r w:rsidRPr="00730154">
                    <w:rPr>
                      <w:rFonts w:ascii="Arial" w:hAnsi="Arial" w:cs="Arial"/>
                      <w:sz w:val="18"/>
                      <w:szCs w:val="18"/>
                      <w:lang w:val="es-ES"/>
                    </w:rPr>
                    <w:t>, de la LFCE, el Instituto podrá imponer una multa hasta por el doble de la que se hubiera determinado en la primera ocasión."</w:t>
                  </w:r>
                </w:p>
              </w:tc>
            </w:tr>
          </w:tbl>
          <w:p w14:paraId="3804B033" w14:textId="2D5D6005" w:rsidR="00397D86" w:rsidRDefault="00397D86" w:rsidP="009F6BE3">
            <w:pPr>
              <w:spacing w:before="120" w:after="120" w:line="23" w:lineRule="atLeast"/>
              <w:jc w:val="both"/>
              <w:rPr>
                <w:rFonts w:ascii="Arial" w:hAnsi="Arial" w:cs="Arial"/>
                <w:bCs/>
                <w:sz w:val="18"/>
                <w:szCs w:val="18"/>
              </w:rPr>
            </w:pPr>
          </w:p>
        </w:tc>
      </w:tr>
    </w:tbl>
    <w:p w14:paraId="2C010E87" w14:textId="32828140" w:rsidR="00485290" w:rsidRPr="00730154" w:rsidRDefault="00D01E28"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.6. Apartado 2.4 Ausencia de información de ingresos</w:t>
      </w:r>
    </w:p>
    <w:p w14:paraId="48F059F5" w14:textId="04A97CF3" w:rsidR="00485290" w:rsidRDefault="00D01E28"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 xml:space="preserve">.6.1. </w:t>
      </w:r>
      <w:r w:rsidR="00485290" w:rsidRPr="00730154">
        <w:rPr>
          <w:rFonts w:ascii="Arial" w:hAnsi="Arial" w:cs="Arial"/>
          <w:b/>
          <w:bCs/>
          <w:color w:val="auto"/>
          <w:sz w:val="22"/>
          <w:szCs w:val="22"/>
        </w:rPr>
        <w:t>Síntesis de</w:t>
      </w:r>
      <w:r w:rsidR="00485290" w:rsidRPr="00730154">
        <w:rPr>
          <w:rFonts w:ascii="Arial" w:hAnsi="Arial" w:cs="Arial"/>
          <w:b/>
          <w:color w:val="auto"/>
          <w:sz w:val="22"/>
          <w:szCs w:val="22"/>
        </w:rPr>
        <w:t xml:space="preserve"> los comentarios recibidos respecto de la propuesta del apartado 2.4 Ausencia de información de ingresos</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F45C06" w:rsidRPr="00730154" w14:paraId="4129B83A" w14:textId="77777777" w:rsidTr="009F6BE3">
        <w:trPr>
          <w:tblHeader/>
        </w:trPr>
        <w:tc>
          <w:tcPr>
            <w:tcW w:w="3348" w:type="dxa"/>
            <w:tcBorders>
              <w:bottom w:val="single" w:sz="8" w:space="0" w:color="auto"/>
            </w:tcBorders>
            <w:shd w:val="clear" w:color="auto" w:fill="70AD47" w:themeFill="accent6"/>
          </w:tcPr>
          <w:p w14:paraId="33A21543" w14:textId="77777777" w:rsidR="00F45C06" w:rsidRPr="00730154" w:rsidRDefault="00F45C06"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6C166B07" w14:textId="77777777" w:rsidR="00F45C06" w:rsidRPr="00730154" w:rsidRDefault="00F45C06"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3314D485" w14:textId="77777777" w:rsidR="00F45C06" w:rsidRPr="00730154" w:rsidRDefault="00F45C06"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F45C06" w:rsidRPr="00730154" w14:paraId="600D595D" w14:textId="77777777" w:rsidTr="009F6BE3">
        <w:tc>
          <w:tcPr>
            <w:tcW w:w="9384" w:type="dxa"/>
            <w:gridSpan w:val="3"/>
            <w:tcBorders>
              <w:bottom w:val="single" w:sz="8" w:space="0" w:color="auto"/>
            </w:tcBorders>
            <w:shd w:val="clear" w:color="auto" w:fill="C5E0B3" w:themeFill="accent6" w:themeFillTint="66"/>
          </w:tcPr>
          <w:p w14:paraId="788D4E9A" w14:textId="7F61742D" w:rsidR="00F45C06" w:rsidRPr="00730154" w:rsidRDefault="00F45C06" w:rsidP="009F6BE3">
            <w:pPr>
              <w:spacing w:before="120" w:after="120" w:line="23" w:lineRule="atLeast"/>
              <w:jc w:val="center"/>
              <w:rPr>
                <w:rFonts w:ascii="Arial" w:hAnsi="Arial" w:cs="Arial"/>
                <w:b/>
                <w:sz w:val="18"/>
                <w:szCs w:val="18"/>
              </w:rPr>
            </w:pPr>
            <w:r w:rsidRPr="00730154">
              <w:rPr>
                <w:rFonts w:ascii="Arial" w:hAnsi="Arial" w:cs="Arial"/>
                <w:b/>
                <w:bCs/>
                <w:sz w:val="18"/>
                <w:szCs w:val="18"/>
                <w:lang w:val="es-ES"/>
              </w:rPr>
              <w:t>2.</w:t>
            </w:r>
            <w:r>
              <w:rPr>
                <w:rFonts w:ascii="Arial" w:hAnsi="Arial" w:cs="Arial"/>
                <w:b/>
                <w:bCs/>
                <w:sz w:val="18"/>
                <w:szCs w:val="18"/>
                <w:lang w:val="es-ES"/>
              </w:rPr>
              <w:t>4</w:t>
            </w:r>
            <w:r w:rsidRPr="00730154">
              <w:rPr>
                <w:rFonts w:ascii="Arial" w:hAnsi="Arial" w:cs="Arial"/>
                <w:b/>
                <w:bCs/>
                <w:sz w:val="18"/>
                <w:szCs w:val="18"/>
                <w:lang w:val="es-ES"/>
              </w:rPr>
              <w:t xml:space="preserve"> </w:t>
            </w:r>
            <w:r>
              <w:rPr>
                <w:rFonts w:ascii="Arial" w:hAnsi="Arial" w:cs="Arial"/>
                <w:b/>
                <w:bCs/>
                <w:sz w:val="18"/>
                <w:szCs w:val="18"/>
                <w:lang w:val="es-ES"/>
              </w:rPr>
              <w:t>Ausencia de información de ingresos</w:t>
            </w:r>
          </w:p>
        </w:tc>
      </w:tr>
      <w:tr w:rsidR="00F45C06" w:rsidRPr="003F324D" w14:paraId="0F52DF03" w14:textId="77777777" w:rsidTr="009F6BE3">
        <w:tc>
          <w:tcPr>
            <w:tcW w:w="3348" w:type="dxa"/>
            <w:shd w:val="clear" w:color="auto" w:fill="FFFFFF" w:themeFill="background1"/>
          </w:tcPr>
          <w:p w14:paraId="0BC8B0C4" w14:textId="77777777" w:rsidR="00F45C06" w:rsidRPr="00730154" w:rsidRDefault="00F45C06" w:rsidP="00F45C06">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“Cuando el AE no declare o no se hayan podido determinar sus ingresos acumulables para efectos del ISR, en términos del artículo 128 de la LFCE, el Instituto podrá imponer las siguientes multas:</w:t>
            </w:r>
          </w:p>
          <w:p w14:paraId="2D320F1E" w14:textId="77777777" w:rsidR="00F45C06" w:rsidRPr="00730154" w:rsidRDefault="00F45C06" w:rsidP="00F45C06">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 Multa hasta por el equivalente a 1,500,000 UMAS para aquellas que tienen una sanción de hasta 10% de los ingresos;</w:t>
            </w:r>
          </w:p>
          <w:p w14:paraId="747AC969" w14:textId="77777777" w:rsidR="00F45C06" w:rsidRPr="00730154" w:rsidRDefault="00F45C06" w:rsidP="00F45C06">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 xml:space="preserve">• Multa hasta por el equivalente a 900,000 UMAS para aquellas que </w:t>
            </w:r>
            <w:r w:rsidRPr="00730154">
              <w:rPr>
                <w:rFonts w:ascii="Arial" w:hAnsi="Arial" w:cs="Arial"/>
                <w:sz w:val="18"/>
                <w:szCs w:val="18"/>
                <w:lang w:val="es-ES"/>
              </w:rPr>
              <w:lastRenderedPageBreak/>
              <w:t>tienen una sanción de hasta 8% de los ingresos, y</w:t>
            </w:r>
          </w:p>
          <w:p w14:paraId="7B2A2284" w14:textId="258DC758" w:rsidR="00F45C06" w:rsidRPr="00730154" w:rsidRDefault="00F45C06" w:rsidP="00F45C06">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 Multa hasta por el equivalente a 400,000 UMAS para aquellas que tienen una sanción de hasta 5% de los ingresos.”</w:t>
            </w:r>
          </w:p>
        </w:tc>
        <w:tc>
          <w:tcPr>
            <w:tcW w:w="3280" w:type="dxa"/>
            <w:shd w:val="clear" w:color="auto" w:fill="FFFFFF" w:themeFill="background1"/>
          </w:tcPr>
          <w:p w14:paraId="1A7B2B13" w14:textId="68F783E4" w:rsidR="00F45C06" w:rsidRPr="00730154" w:rsidRDefault="00F45C06" w:rsidP="009F6BE3">
            <w:pPr>
              <w:spacing w:before="120" w:after="120" w:line="23" w:lineRule="atLeast"/>
              <w:jc w:val="both"/>
              <w:rPr>
                <w:rFonts w:ascii="Arial" w:hAnsi="Arial" w:cs="Arial"/>
                <w:b/>
                <w:sz w:val="18"/>
                <w:szCs w:val="18"/>
              </w:rPr>
            </w:pPr>
            <w:r w:rsidRPr="00730154">
              <w:rPr>
                <w:rFonts w:ascii="Arial" w:hAnsi="Arial" w:cs="Arial"/>
                <w:bCs/>
                <w:sz w:val="18"/>
                <w:szCs w:val="18"/>
              </w:rPr>
              <w:lastRenderedPageBreak/>
              <w:t>La ausencia de información o la omisión de la misma para justificar exitosamente los ingresos deriva en multas determinadas, aunado a que tampoco implica un valor porcentual muy alto de los ingresos, por lo que habrá casos en los que la comisión de esta figura sea llevada a cabo con la total contemplación de su cargo económico.</w:t>
            </w:r>
          </w:p>
        </w:tc>
        <w:tc>
          <w:tcPr>
            <w:tcW w:w="2756" w:type="dxa"/>
            <w:shd w:val="clear" w:color="auto" w:fill="FFFFFF" w:themeFill="background1"/>
          </w:tcPr>
          <w:p w14:paraId="02303AF8" w14:textId="1243C838" w:rsidR="00F45C06" w:rsidRPr="003F324D" w:rsidRDefault="00F45C06"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toda vez que de su contenido no se aprecia cuál es la adición, supresión o modificación que el Instituto deba llevar a cabo en la Guía. </w:t>
            </w:r>
          </w:p>
        </w:tc>
      </w:tr>
    </w:tbl>
    <w:p w14:paraId="21B83A52" w14:textId="77777777" w:rsidR="00F45C06" w:rsidRPr="00F45C06" w:rsidRDefault="00F45C06" w:rsidP="00F45C06"/>
    <w:p w14:paraId="784196C9" w14:textId="13E2234E" w:rsidR="00485290" w:rsidRPr="00730154" w:rsidRDefault="00D01E28"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.7. Apartado 2.5 Sujetos de las multas</w:t>
      </w:r>
    </w:p>
    <w:p w14:paraId="0742956F" w14:textId="418B534D" w:rsidR="00485290" w:rsidRDefault="00D01E28"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485290" w:rsidRPr="00730154">
        <w:rPr>
          <w:rFonts w:ascii="Arial" w:hAnsi="Arial" w:cs="Arial"/>
          <w:b/>
          <w:color w:val="auto"/>
          <w:sz w:val="22"/>
          <w:szCs w:val="22"/>
        </w:rPr>
        <w:t xml:space="preserve">.7.1. </w:t>
      </w:r>
      <w:r w:rsidR="00485290" w:rsidRPr="00730154">
        <w:rPr>
          <w:rFonts w:ascii="Arial" w:hAnsi="Arial" w:cs="Arial"/>
          <w:b/>
          <w:bCs/>
          <w:color w:val="auto"/>
          <w:sz w:val="22"/>
          <w:szCs w:val="22"/>
        </w:rPr>
        <w:t>Síntesis de</w:t>
      </w:r>
      <w:r w:rsidR="00485290" w:rsidRPr="00730154">
        <w:rPr>
          <w:rFonts w:ascii="Arial" w:hAnsi="Arial" w:cs="Arial"/>
          <w:b/>
          <w:color w:val="auto"/>
          <w:sz w:val="22"/>
          <w:szCs w:val="22"/>
        </w:rPr>
        <w:t xml:space="preserve"> los comentarios recibidos respecto de la propuesta del apartado 2.5 Sujetos de las multas</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5F5D64" w:rsidRPr="00730154" w14:paraId="79944691" w14:textId="77777777" w:rsidTr="009F6BE3">
        <w:trPr>
          <w:tblHeader/>
        </w:trPr>
        <w:tc>
          <w:tcPr>
            <w:tcW w:w="3348" w:type="dxa"/>
            <w:tcBorders>
              <w:bottom w:val="single" w:sz="8" w:space="0" w:color="auto"/>
            </w:tcBorders>
            <w:shd w:val="clear" w:color="auto" w:fill="70AD47" w:themeFill="accent6"/>
          </w:tcPr>
          <w:p w14:paraId="000A2B5E" w14:textId="77777777" w:rsidR="005F5D64" w:rsidRPr="00730154" w:rsidRDefault="005F5D64"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212E5EBC" w14:textId="77777777" w:rsidR="005F5D64" w:rsidRPr="00730154" w:rsidRDefault="005F5D64"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0AF524DF" w14:textId="77777777" w:rsidR="005F5D64" w:rsidRPr="00730154" w:rsidRDefault="005F5D64"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5F5D64" w:rsidRPr="00730154" w14:paraId="427054DE" w14:textId="77777777" w:rsidTr="009F6BE3">
        <w:tc>
          <w:tcPr>
            <w:tcW w:w="9384" w:type="dxa"/>
            <w:gridSpan w:val="3"/>
            <w:tcBorders>
              <w:bottom w:val="single" w:sz="8" w:space="0" w:color="auto"/>
            </w:tcBorders>
            <w:shd w:val="clear" w:color="auto" w:fill="C5E0B3" w:themeFill="accent6" w:themeFillTint="66"/>
          </w:tcPr>
          <w:p w14:paraId="4864146C" w14:textId="4430A99B" w:rsidR="005F5D64" w:rsidRPr="00730154" w:rsidRDefault="005F5D64" w:rsidP="009F6BE3">
            <w:pPr>
              <w:spacing w:before="120" w:after="120" w:line="23" w:lineRule="atLeast"/>
              <w:jc w:val="center"/>
              <w:rPr>
                <w:rFonts w:ascii="Arial" w:hAnsi="Arial" w:cs="Arial"/>
                <w:b/>
                <w:sz w:val="18"/>
                <w:szCs w:val="18"/>
              </w:rPr>
            </w:pPr>
            <w:r w:rsidRPr="00730154">
              <w:rPr>
                <w:rFonts w:ascii="Arial" w:hAnsi="Arial" w:cs="Arial"/>
                <w:b/>
                <w:sz w:val="18"/>
                <w:szCs w:val="18"/>
              </w:rPr>
              <w:t>2.5. Sujetos de las multas</w:t>
            </w:r>
          </w:p>
        </w:tc>
      </w:tr>
      <w:tr w:rsidR="00606CFA" w:rsidRPr="003F324D" w14:paraId="07CD9D0C" w14:textId="77777777" w:rsidTr="009F6BE3">
        <w:tc>
          <w:tcPr>
            <w:tcW w:w="3348" w:type="dxa"/>
            <w:vMerge w:val="restart"/>
            <w:shd w:val="clear" w:color="auto" w:fill="FFFFFF" w:themeFill="background1"/>
          </w:tcPr>
          <w:p w14:paraId="323D5E96" w14:textId="73B74B6A" w:rsidR="00606CFA" w:rsidRPr="00730154" w:rsidRDefault="00606CFA" w:rsidP="009F6BE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“Cuando resulten sancionados con alguna multa diversos AE o personas, el Instituto deberá imponer multas individualizadas a cada uno ellos, en función de su grado de participación o responsabilidad en la comisión de la conducta, para lo cual se atenderá a las circunstancias particulares del caso y se tomarán en consideración los principios generales del derecho administrativo sancionador.”</w:t>
            </w:r>
          </w:p>
        </w:tc>
        <w:tc>
          <w:tcPr>
            <w:tcW w:w="3280" w:type="dxa"/>
            <w:shd w:val="clear" w:color="auto" w:fill="FFFFFF" w:themeFill="background1"/>
          </w:tcPr>
          <w:p w14:paraId="5E5814F3" w14:textId="5DED5D23" w:rsidR="00606CFA" w:rsidRPr="00730154" w:rsidRDefault="00606CFA" w:rsidP="005F5D64">
            <w:pPr>
              <w:spacing w:before="120" w:after="120" w:line="23" w:lineRule="atLeast"/>
              <w:jc w:val="both"/>
              <w:rPr>
                <w:rFonts w:ascii="Arial" w:hAnsi="Arial" w:cs="Arial"/>
                <w:bCs/>
                <w:sz w:val="18"/>
                <w:szCs w:val="18"/>
              </w:rPr>
            </w:pPr>
            <w:r w:rsidRPr="00730154">
              <w:rPr>
                <w:rFonts w:ascii="Arial" w:hAnsi="Arial" w:cs="Arial"/>
                <w:bCs/>
                <w:sz w:val="18"/>
                <w:szCs w:val="18"/>
              </w:rPr>
              <w:t xml:space="preserve">El numeral establece que se le impondrá una multa equivalente a su responsabilidad a cada individuo que participó en el ejercicio sancionable, por lo que el participante considera que con esto, se promueve a su vez que una de las partes mediante estrategia defraude a otra, produciendo así una carga económica mayor y no una imposición igual o solidaria para los involucrados. </w:t>
            </w:r>
          </w:p>
          <w:p w14:paraId="776271DC" w14:textId="3E18B1C1" w:rsidR="00606CFA" w:rsidRPr="00730154" w:rsidRDefault="00606CFA" w:rsidP="009F6BE3">
            <w:pPr>
              <w:spacing w:before="120" w:after="120" w:line="23" w:lineRule="atLeast"/>
              <w:jc w:val="both"/>
              <w:rPr>
                <w:rFonts w:ascii="Arial" w:hAnsi="Arial" w:cs="Arial"/>
                <w:b/>
                <w:sz w:val="18"/>
                <w:szCs w:val="18"/>
              </w:rPr>
            </w:pPr>
          </w:p>
        </w:tc>
        <w:tc>
          <w:tcPr>
            <w:tcW w:w="2756" w:type="dxa"/>
            <w:shd w:val="clear" w:color="auto" w:fill="FFFFFF" w:themeFill="background1"/>
          </w:tcPr>
          <w:p w14:paraId="16B70F2B" w14:textId="5B310FE3" w:rsidR="00606CFA" w:rsidRPr="003F324D" w:rsidRDefault="00606CFA"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toda vez que de su contenido no se aprecia cuál es la adición, supresión o modificación que el Instituto deba llevar a cabo en la Guía. </w:t>
            </w:r>
          </w:p>
        </w:tc>
      </w:tr>
      <w:tr w:rsidR="00606CFA" w:rsidRPr="003F324D" w14:paraId="06A9162E" w14:textId="77777777" w:rsidTr="009F6BE3">
        <w:tc>
          <w:tcPr>
            <w:tcW w:w="3348" w:type="dxa"/>
            <w:vMerge/>
            <w:shd w:val="clear" w:color="auto" w:fill="FFFFFF" w:themeFill="background1"/>
          </w:tcPr>
          <w:p w14:paraId="6DE1560B" w14:textId="77777777" w:rsidR="00606CFA" w:rsidRPr="00730154" w:rsidRDefault="00606CFA" w:rsidP="009F6BE3">
            <w:pPr>
              <w:spacing w:before="120" w:after="120" w:line="23" w:lineRule="atLeast"/>
              <w:jc w:val="both"/>
              <w:rPr>
                <w:rFonts w:ascii="Arial" w:hAnsi="Arial" w:cs="Arial"/>
                <w:sz w:val="18"/>
                <w:szCs w:val="18"/>
                <w:lang w:val="es-ES"/>
              </w:rPr>
            </w:pPr>
          </w:p>
        </w:tc>
        <w:tc>
          <w:tcPr>
            <w:tcW w:w="3280" w:type="dxa"/>
            <w:shd w:val="clear" w:color="auto" w:fill="FFFFFF" w:themeFill="background1"/>
          </w:tcPr>
          <w:p w14:paraId="78AEDEBA" w14:textId="7E6B4D0F" w:rsidR="00606CFA" w:rsidRPr="00730154" w:rsidRDefault="00606CFA" w:rsidP="009F6BE3">
            <w:pPr>
              <w:spacing w:before="120" w:after="120" w:line="23" w:lineRule="atLeast"/>
              <w:jc w:val="both"/>
              <w:rPr>
                <w:rFonts w:ascii="Arial" w:hAnsi="Arial" w:cs="Arial"/>
                <w:b/>
                <w:sz w:val="18"/>
                <w:szCs w:val="18"/>
              </w:rPr>
            </w:pPr>
            <w:r w:rsidRPr="00730154">
              <w:rPr>
                <w:rFonts w:ascii="Arial" w:hAnsi="Arial" w:cs="Arial"/>
                <w:bCs/>
                <w:sz w:val="18"/>
                <w:szCs w:val="18"/>
              </w:rPr>
              <w:t>Se somete a consideración clarificar la redacción incluyendo un razonamiento para los casos relacionados con GIEs; y una mecánica para asignar la multa que corresponde a cada GIE, para dividirla entre los agentes miembros. Como un ejemplo de un caso en el que se utilizó la lógica del GIE, se cita la investigación VCN-001-2018, tramitada por COFECE.</w:t>
            </w:r>
          </w:p>
        </w:tc>
        <w:tc>
          <w:tcPr>
            <w:tcW w:w="2756" w:type="dxa"/>
            <w:shd w:val="clear" w:color="auto" w:fill="FFFFFF" w:themeFill="background1"/>
          </w:tcPr>
          <w:p w14:paraId="0EFA9ABD" w14:textId="77777777" w:rsidR="00606CFA" w:rsidRDefault="00606CFA" w:rsidP="009F6BE3">
            <w:pPr>
              <w:spacing w:before="120" w:after="120" w:line="23" w:lineRule="atLeast"/>
              <w:jc w:val="both"/>
              <w:rPr>
                <w:rFonts w:ascii="Arial" w:hAnsi="Arial" w:cs="Arial"/>
                <w:bCs/>
                <w:sz w:val="18"/>
                <w:szCs w:val="18"/>
              </w:rPr>
            </w:pPr>
            <w:r>
              <w:rPr>
                <w:rFonts w:ascii="Arial" w:hAnsi="Arial" w:cs="Arial"/>
                <w:bCs/>
                <w:sz w:val="18"/>
                <w:szCs w:val="18"/>
              </w:rPr>
              <w:t>Se considera improcedente toda vez que la descripción de la mecánica no incluye el nivel de detalle necesario para analizar la propuesta y no se puede constatar que el supuesto mecanismo referido por el participante efectivamente fue empleado por Cofece, ya que la resolución no está publicada en el portal de esta autoridad.</w:t>
            </w:r>
          </w:p>
          <w:p w14:paraId="3F0F08B2" w14:textId="4C34DF25" w:rsidR="00B52C40" w:rsidRPr="00EC5B89" w:rsidRDefault="00B52C40" w:rsidP="00B52C40">
            <w:pPr>
              <w:spacing w:before="120" w:after="120" w:line="23" w:lineRule="atLeast"/>
              <w:jc w:val="both"/>
              <w:rPr>
                <w:rFonts w:ascii="Arial" w:hAnsi="Arial" w:cs="Arial"/>
                <w:bCs/>
                <w:sz w:val="18"/>
                <w:szCs w:val="18"/>
              </w:rPr>
            </w:pPr>
            <w:r>
              <w:rPr>
                <w:rFonts w:ascii="Arial" w:hAnsi="Arial" w:cs="Arial"/>
                <w:bCs/>
                <w:sz w:val="18"/>
                <w:szCs w:val="18"/>
              </w:rPr>
              <w:t>No obstante, se</w:t>
            </w:r>
            <w:r w:rsidR="000A5690">
              <w:rPr>
                <w:rFonts w:ascii="Arial" w:hAnsi="Arial" w:cs="Arial"/>
                <w:bCs/>
                <w:sz w:val="18"/>
                <w:szCs w:val="18"/>
              </w:rPr>
              <w:t xml:space="preserve"> estima que la modalidad de la multa señalada está dentro de las atribuciones que la LFCE y DRLFCE otorgan al IFT. Por lo anterior, se</w:t>
            </w:r>
            <w:r>
              <w:rPr>
                <w:rFonts w:ascii="Arial" w:hAnsi="Arial" w:cs="Arial"/>
                <w:bCs/>
                <w:sz w:val="18"/>
                <w:szCs w:val="18"/>
              </w:rPr>
              <w:t xml:space="preserve"> realiza una modificación al apartado. </w:t>
            </w:r>
          </w:p>
          <w:tbl>
            <w:tblPr>
              <w:tblStyle w:val="Tablaconcuadrcula"/>
              <w:tblW w:w="0" w:type="auto"/>
              <w:jc w:val="center"/>
              <w:tblLook w:val="04A0" w:firstRow="1" w:lastRow="0" w:firstColumn="1" w:lastColumn="0" w:noHBand="0" w:noVBand="1"/>
            </w:tblPr>
            <w:tblGrid>
              <w:gridCol w:w="2530"/>
            </w:tblGrid>
            <w:tr w:rsidR="00B52C40" w:rsidRPr="00730154" w14:paraId="69ADA130"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3ECD6BCE" w14:textId="77777777" w:rsidR="00B52C40" w:rsidRPr="00730154" w:rsidRDefault="00B52C40" w:rsidP="00B52C40">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B52C40" w:rsidRPr="00730154" w14:paraId="0CFE95CD"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78323BB" w14:textId="1FFD24F5" w:rsidR="00B52C40" w:rsidRPr="00B52C40" w:rsidRDefault="00B52C40" w:rsidP="00B52C40">
                  <w:pPr>
                    <w:pStyle w:val="Textoindependiente"/>
                    <w:spacing w:before="120" w:line="23" w:lineRule="atLeast"/>
                    <w:jc w:val="both"/>
                    <w:rPr>
                      <w:rFonts w:ascii="Arial" w:hAnsi="Arial" w:cs="Arial"/>
                      <w:sz w:val="18"/>
                      <w:szCs w:val="18"/>
                    </w:rPr>
                  </w:pPr>
                  <w:r w:rsidRPr="00B52C40">
                    <w:rPr>
                      <w:rFonts w:ascii="Arial" w:eastAsia="Times New Roman" w:hAnsi="Arial" w:cs="Arial"/>
                      <w:sz w:val="18"/>
                      <w:szCs w:val="18"/>
                    </w:rPr>
                    <w:t xml:space="preserve">Cuando resulten sancionados con alguna multa diversos AE o </w:t>
                  </w:r>
                  <w:r w:rsidRPr="00B52C40">
                    <w:rPr>
                      <w:rFonts w:ascii="Arial" w:eastAsia="Times New Roman" w:hAnsi="Arial" w:cs="Arial"/>
                      <w:sz w:val="18"/>
                      <w:szCs w:val="18"/>
                    </w:rPr>
                    <w:lastRenderedPageBreak/>
                    <w:t xml:space="preserve">personas, el Instituto </w:t>
                  </w:r>
                  <w:r w:rsidR="00AD77CD" w:rsidRPr="00AD77CD">
                    <w:rPr>
                      <w:rFonts w:ascii="Arial" w:eastAsia="Times New Roman" w:hAnsi="Arial" w:cs="Arial"/>
                      <w:strike/>
                      <w:sz w:val="18"/>
                      <w:szCs w:val="18"/>
                    </w:rPr>
                    <w:t>deberá</w:t>
                  </w:r>
                  <w:r w:rsidR="00AD77CD">
                    <w:rPr>
                      <w:rFonts w:ascii="Arial" w:eastAsia="Times New Roman" w:hAnsi="Arial" w:cs="Arial"/>
                      <w:sz w:val="18"/>
                      <w:szCs w:val="18"/>
                    </w:rPr>
                    <w:t xml:space="preserve"> </w:t>
                  </w:r>
                  <w:r w:rsidRPr="00AD77CD">
                    <w:rPr>
                      <w:rFonts w:ascii="Arial" w:eastAsia="Times New Roman" w:hAnsi="Arial" w:cs="Arial"/>
                      <w:b/>
                      <w:bCs/>
                      <w:sz w:val="18"/>
                      <w:szCs w:val="18"/>
                    </w:rPr>
                    <w:t xml:space="preserve">podrá </w:t>
                  </w:r>
                  <w:r w:rsidRPr="00B52C40">
                    <w:rPr>
                      <w:rFonts w:ascii="Arial" w:eastAsia="Times New Roman" w:hAnsi="Arial" w:cs="Arial"/>
                      <w:sz w:val="18"/>
                      <w:szCs w:val="18"/>
                    </w:rPr>
                    <w:t>imponer multas individualizadas a cada uno ellos, en función de su grado de participación o responsabilidad en la comisión de la conducta, para lo cual se atenderá a las circunstancias particulares del caso y se tomarán en consideración los principios generales del derecho administrativo sancionador</w:t>
                  </w:r>
                  <w:r>
                    <w:rPr>
                      <w:rFonts w:ascii="Arial" w:eastAsia="Times New Roman" w:hAnsi="Arial" w:cs="Arial"/>
                      <w:sz w:val="18"/>
                      <w:szCs w:val="18"/>
                    </w:rPr>
                    <w:t>.</w:t>
                  </w:r>
                </w:p>
              </w:tc>
            </w:tr>
          </w:tbl>
          <w:p w14:paraId="67A3816D" w14:textId="4E64E038" w:rsidR="00B52C40" w:rsidRPr="003F324D" w:rsidRDefault="00B52C40" w:rsidP="009F6BE3">
            <w:pPr>
              <w:spacing w:before="120" w:after="120" w:line="23" w:lineRule="atLeast"/>
              <w:jc w:val="both"/>
              <w:rPr>
                <w:rFonts w:ascii="Arial" w:hAnsi="Arial" w:cs="Arial"/>
                <w:bCs/>
                <w:sz w:val="18"/>
                <w:szCs w:val="18"/>
              </w:rPr>
            </w:pPr>
          </w:p>
        </w:tc>
      </w:tr>
      <w:tr w:rsidR="005F5D64" w:rsidRPr="003F324D" w14:paraId="569A9299" w14:textId="77777777" w:rsidTr="009F6BE3">
        <w:tc>
          <w:tcPr>
            <w:tcW w:w="3348" w:type="dxa"/>
            <w:shd w:val="clear" w:color="auto" w:fill="FFFFFF" w:themeFill="background1"/>
          </w:tcPr>
          <w:p w14:paraId="3490CBBA" w14:textId="77777777" w:rsidR="00606CFA" w:rsidRPr="00730154" w:rsidRDefault="00606CFA" w:rsidP="00606CFA">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lastRenderedPageBreak/>
              <w:t>“Expediente E-IFT/UC/DGIPM/PMR/0003/2013 y acumulados</w:t>
            </w:r>
          </w:p>
          <w:p w14:paraId="3805E41B" w14:textId="31E461B5" w:rsidR="005F5D64" w:rsidRPr="00730154" w:rsidRDefault="00606CFA" w:rsidP="00606CFA">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En el expediente referido se analizó una concentración no notificada de conformidad con el artículo 16 de la LFCE abrogada 2006 […].”</w:t>
            </w:r>
          </w:p>
        </w:tc>
        <w:tc>
          <w:tcPr>
            <w:tcW w:w="3280" w:type="dxa"/>
            <w:shd w:val="clear" w:color="auto" w:fill="FFFFFF" w:themeFill="background1"/>
          </w:tcPr>
          <w:p w14:paraId="550CB287" w14:textId="364D2AE1" w:rsidR="005F5D64" w:rsidRPr="00730154" w:rsidRDefault="00606CFA" w:rsidP="009F6BE3">
            <w:pPr>
              <w:spacing w:before="120" w:after="120" w:line="23" w:lineRule="atLeast"/>
              <w:jc w:val="both"/>
              <w:rPr>
                <w:rFonts w:ascii="Arial" w:hAnsi="Arial" w:cs="Arial"/>
                <w:b/>
                <w:sz w:val="18"/>
                <w:szCs w:val="18"/>
              </w:rPr>
            </w:pPr>
            <w:r w:rsidRPr="00730154">
              <w:rPr>
                <w:rFonts w:ascii="Arial" w:hAnsi="Arial" w:cs="Arial"/>
                <w:bCs/>
                <w:sz w:val="18"/>
                <w:szCs w:val="18"/>
              </w:rPr>
              <w:t>Se sugiere retirar dicho precedente ya que se encuentra pendiente de resolución y actualmente cuenta con una resolución de primera instancia que lo deja insubsistente.</w:t>
            </w:r>
          </w:p>
        </w:tc>
        <w:tc>
          <w:tcPr>
            <w:tcW w:w="2756" w:type="dxa"/>
            <w:shd w:val="clear" w:color="auto" w:fill="FFFFFF" w:themeFill="background1"/>
          </w:tcPr>
          <w:p w14:paraId="6329D343" w14:textId="782F47CF" w:rsidR="003B0164" w:rsidRPr="003F324D" w:rsidRDefault="003B0164"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en atención a que, aun cuando la resolución citada ha sido controvertida por los AE sancionados y actualmente está pendiente de resolución en PJF, su exposición sirve para ilustrar el ejercicio de las facultades del Instituto en la imposición de multas. </w:t>
            </w:r>
            <w:r w:rsidR="007B6F34">
              <w:rPr>
                <w:rFonts w:ascii="Arial" w:hAnsi="Arial" w:cs="Arial"/>
                <w:bCs/>
                <w:sz w:val="18"/>
                <w:szCs w:val="18"/>
              </w:rPr>
              <w:t xml:space="preserve">Se precisa que la guía será revisada y actualizada cada 5 años, en términos del artículo 138 de la LFCE. </w:t>
            </w:r>
          </w:p>
        </w:tc>
      </w:tr>
    </w:tbl>
    <w:p w14:paraId="45D10DC5" w14:textId="77777777" w:rsidR="005F5D64" w:rsidRPr="005F5D64" w:rsidRDefault="005F5D64" w:rsidP="005F5D64"/>
    <w:p w14:paraId="3EB49F47" w14:textId="5028ED76" w:rsidR="005E0630" w:rsidRPr="00730154" w:rsidRDefault="00D01E28"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.8. Apartado 2.7 Reducción de multas</w:t>
      </w:r>
    </w:p>
    <w:p w14:paraId="324F322C" w14:textId="766AFB5B" w:rsidR="005E0630" w:rsidRDefault="00D01E28"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 xml:space="preserve">.8.1. </w:t>
      </w:r>
      <w:r w:rsidR="005E0630" w:rsidRPr="00730154">
        <w:rPr>
          <w:rFonts w:ascii="Arial" w:hAnsi="Arial" w:cs="Arial"/>
          <w:b/>
          <w:bCs/>
          <w:color w:val="auto"/>
          <w:sz w:val="22"/>
          <w:szCs w:val="22"/>
        </w:rPr>
        <w:t>Síntesis de</w:t>
      </w:r>
      <w:r w:rsidR="005E0630" w:rsidRPr="00730154">
        <w:rPr>
          <w:rFonts w:ascii="Arial" w:hAnsi="Arial" w:cs="Arial"/>
          <w:b/>
          <w:color w:val="auto"/>
          <w:sz w:val="22"/>
          <w:szCs w:val="22"/>
        </w:rPr>
        <w:t xml:space="preserve"> los comentarios recibidos respecto de la propuesta del apartado 2.7 Reducción de multas</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640DD4" w:rsidRPr="00730154" w14:paraId="1B6F765B" w14:textId="77777777" w:rsidTr="009F6BE3">
        <w:trPr>
          <w:tblHeader/>
        </w:trPr>
        <w:tc>
          <w:tcPr>
            <w:tcW w:w="3348" w:type="dxa"/>
            <w:tcBorders>
              <w:bottom w:val="single" w:sz="8" w:space="0" w:color="auto"/>
            </w:tcBorders>
            <w:shd w:val="clear" w:color="auto" w:fill="70AD47" w:themeFill="accent6"/>
          </w:tcPr>
          <w:p w14:paraId="67CB53BA" w14:textId="77777777" w:rsidR="00640DD4" w:rsidRPr="00730154" w:rsidRDefault="00640DD4"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7E57F65C" w14:textId="77777777" w:rsidR="00640DD4" w:rsidRPr="00730154" w:rsidRDefault="00640DD4"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0F9327ED" w14:textId="77777777" w:rsidR="00640DD4" w:rsidRPr="00730154" w:rsidRDefault="00640DD4"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640DD4" w:rsidRPr="00730154" w14:paraId="3F59AC6D" w14:textId="77777777" w:rsidTr="009F6BE3">
        <w:tc>
          <w:tcPr>
            <w:tcW w:w="9384" w:type="dxa"/>
            <w:gridSpan w:val="3"/>
            <w:tcBorders>
              <w:bottom w:val="single" w:sz="8" w:space="0" w:color="auto"/>
            </w:tcBorders>
            <w:shd w:val="clear" w:color="auto" w:fill="C5E0B3" w:themeFill="accent6" w:themeFillTint="66"/>
          </w:tcPr>
          <w:p w14:paraId="1E1C50EF" w14:textId="7D51B3BD" w:rsidR="00640DD4" w:rsidRPr="00730154" w:rsidRDefault="00640DD4" w:rsidP="009F6BE3">
            <w:pPr>
              <w:spacing w:before="120" w:after="120" w:line="23" w:lineRule="atLeast"/>
              <w:jc w:val="center"/>
              <w:rPr>
                <w:rFonts w:ascii="Arial" w:hAnsi="Arial" w:cs="Arial"/>
                <w:b/>
                <w:sz w:val="18"/>
                <w:szCs w:val="18"/>
              </w:rPr>
            </w:pPr>
            <w:r w:rsidRPr="00730154">
              <w:rPr>
                <w:rFonts w:ascii="Arial" w:hAnsi="Arial" w:cs="Arial"/>
                <w:b/>
                <w:sz w:val="18"/>
                <w:szCs w:val="18"/>
              </w:rPr>
              <w:t>2.7. Reducción de multas</w:t>
            </w:r>
          </w:p>
        </w:tc>
      </w:tr>
      <w:tr w:rsidR="00640DD4" w:rsidRPr="003F324D" w14:paraId="1CE57355" w14:textId="77777777" w:rsidTr="009F6BE3">
        <w:tc>
          <w:tcPr>
            <w:tcW w:w="3348" w:type="dxa"/>
            <w:shd w:val="clear" w:color="auto" w:fill="FFFFFF" w:themeFill="background1"/>
          </w:tcPr>
          <w:p w14:paraId="053779D2" w14:textId="77777777" w:rsidR="00640DD4" w:rsidRPr="00730154" w:rsidRDefault="00640DD4" w:rsidP="00640DD4">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 xml:space="preserve">“Para determinar el monto de la reducción de multa a que se refiere el artículo 103, párrafo tercero, de la LFCE, el Instituto tomará en consideración lo que la Autoridad Investigadora haya proveído de conformidad con el artículo 125 de las DRLFCE y el orden cronológico de la presentación de solicitudes que ésta haya determinado. </w:t>
            </w:r>
          </w:p>
          <w:p w14:paraId="6E38B600" w14:textId="3C492C9B" w:rsidR="00640DD4" w:rsidRPr="00730154" w:rsidRDefault="00640DD4" w:rsidP="00640DD4">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 xml:space="preserve">Para que el orden cronológico referido de los AE o individuos sea definitivo, deberán cooperar en forma plena y continua en el procedimiento seguido en forma de juicio y presentar elementos de convicción adicionales a </w:t>
            </w:r>
            <w:r w:rsidRPr="00730154">
              <w:rPr>
                <w:rFonts w:ascii="Arial" w:hAnsi="Arial" w:cs="Arial"/>
                <w:sz w:val="18"/>
                <w:szCs w:val="18"/>
                <w:lang w:val="es-ES"/>
              </w:rPr>
              <w:lastRenderedPageBreak/>
              <w:t>los que la Autoridad Investigadora haya obtenido durante la investigación.”</w:t>
            </w:r>
          </w:p>
          <w:p w14:paraId="21932140" w14:textId="26A687C8" w:rsidR="00640DD4" w:rsidRPr="00730154" w:rsidRDefault="00640DD4" w:rsidP="009F6BE3">
            <w:pPr>
              <w:spacing w:before="120" w:after="120" w:line="23" w:lineRule="atLeast"/>
              <w:jc w:val="both"/>
              <w:rPr>
                <w:rFonts w:ascii="Arial" w:hAnsi="Arial" w:cs="Arial"/>
                <w:bCs/>
                <w:sz w:val="18"/>
                <w:szCs w:val="18"/>
                <w:lang w:val="es-ES"/>
              </w:rPr>
            </w:pPr>
          </w:p>
        </w:tc>
        <w:tc>
          <w:tcPr>
            <w:tcW w:w="3280" w:type="dxa"/>
            <w:shd w:val="clear" w:color="auto" w:fill="FFFFFF" w:themeFill="background1"/>
          </w:tcPr>
          <w:p w14:paraId="246F5E0E" w14:textId="0429578F" w:rsidR="00640DD4" w:rsidRPr="00730154" w:rsidRDefault="00640DD4" w:rsidP="009F6BE3">
            <w:pPr>
              <w:spacing w:before="120" w:after="120" w:line="23" w:lineRule="atLeast"/>
              <w:jc w:val="both"/>
              <w:rPr>
                <w:rFonts w:ascii="Arial" w:hAnsi="Arial" w:cs="Arial"/>
                <w:b/>
                <w:sz w:val="18"/>
                <w:szCs w:val="18"/>
              </w:rPr>
            </w:pPr>
            <w:r w:rsidRPr="00730154">
              <w:rPr>
                <w:rFonts w:ascii="Arial" w:hAnsi="Arial" w:cs="Arial"/>
                <w:bCs/>
                <w:sz w:val="18"/>
                <w:szCs w:val="18"/>
              </w:rPr>
              <w:lastRenderedPageBreak/>
              <w:t>Considera que el apartado no especifica cómo se procederá respecto de los agentes económicos que no hayan solicitado acogerse al beneficio de reducción de sanciones y se determine por la autoridad que cometieron la práctica objeto de investigación.</w:t>
            </w:r>
          </w:p>
        </w:tc>
        <w:tc>
          <w:tcPr>
            <w:tcW w:w="2756" w:type="dxa"/>
            <w:shd w:val="clear" w:color="auto" w:fill="FFFFFF" w:themeFill="background1"/>
          </w:tcPr>
          <w:p w14:paraId="5F7815B4" w14:textId="463F0D30" w:rsidR="00640DD4" w:rsidRPr="003F324D" w:rsidRDefault="009D700E"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toda vez que de la LFCE se desprende que si el agente económico no se acogió al beneficio de reducción de sanciones no será beneficiario de la reducción de sanción. </w:t>
            </w:r>
          </w:p>
        </w:tc>
      </w:tr>
    </w:tbl>
    <w:p w14:paraId="52E2F484" w14:textId="77777777" w:rsidR="00640DD4" w:rsidRPr="00640DD4" w:rsidRDefault="00640DD4" w:rsidP="00640DD4"/>
    <w:p w14:paraId="3A3BDF20" w14:textId="20B777F0" w:rsidR="005E0630" w:rsidRPr="00730154" w:rsidRDefault="00D01E28"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.9. Apartado 2.8 Información falsa</w:t>
      </w:r>
    </w:p>
    <w:p w14:paraId="25EB8E8A" w14:textId="20EEE852" w:rsidR="005E0630" w:rsidRDefault="00D01E28"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 xml:space="preserve">.9.1. </w:t>
      </w:r>
      <w:r w:rsidR="005E0630" w:rsidRPr="00730154">
        <w:rPr>
          <w:rFonts w:ascii="Arial" w:hAnsi="Arial" w:cs="Arial"/>
          <w:b/>
          <w:bCs/>
          <w:color w:val="auto"/>
          <w:sz w:val="22"/>
          <w:szCs w:val="22"/>
        </w:rPr>
        <w:t>Síntesis de</w:t>
      </w:r>
      <w:r w:rsidR="005E0630" w:rsidRPr="00730154">
        <w:rPr>
          <w:rFonts w:ascii="Arial" w:hAnsi="Arial" w:cs="Arial"/>
          <w:b/>
          <w:color w:val="auto"/>
          <w:sz w:val="22"/>
          <w:szCs w:val="22"/>
        </w:rPr>
        <w:t xml:space="preserve"> los comentarios recibidos respecto de la propuesta del apartado 2.8 Información falsa</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E27981" w:rsidRPr="00730154" w14:paraId="0FFAE3EE" w14:textId="77777777" w:rsidTr="009F6BE3">
        <w:trPr>
          <w:tblHeader/>
        </w:trPr>
        <w:tc>
          <w:tcPr>
            <w:tcW w:w="3348" w:type="dxa"/>
            <w:tcBorders>
              <w:bottom w:val="single" w:sz="8" w:space="0" w:color="auto"/>
            </w:tcBorders>
            <w:shd w:val="clear" w:color="auto" w:fill="70AD47" w:themeFill="accent6"/>
          </w:tcPr>
          <w:p w14:paraId="1A3F5EBC" w14:textId="77777777" w:rsidR="00E27981" w:rsidRPr="00730154" w:rsidRDefault="00E27981"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0C2202A1" w14:textId="77777777" w:rsidR="00E27981" w:rsidRPr="00730154" w:rsidRDefault="00E27981"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0FCB9409" w14:textId="77777777" w:rsidR="00E27981" w:rsidRPr="00730154" w:rsidRDefault="00E27981"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E27981" w:rsidRPr="00730154" w14:paraId="4DCA59D9" w14:textId="77777777" w:rsidTr="009F6BE3">
        <w:tc>
          <w:tcPr>
            <w:tcW w:w="9384" w:type="dxa"/>
            <w:gridSpan w:val="3"/>
            <w:tcBorders>
              <w:bottom w:val="single" w:sz="8" w:space="0" w:color="auto"/>
            </w:tcBorders>
            <w:shd w:val="clear" w:color="auto" w:fill="C5E0B3" w:themeFill="accent6" w:themeFillTint="66"/>
          </w:tcPr>
          <w:p w14:paraId="2706DFF4" w14:textId="33C85E01" w:rsidR="00E27981" w:rsidRPr="00730154" w:rsidRDefault="00E27981" w:rsidP="009F6BE3">
            <w:pPr>
              <w:spacing w:before="120" w:after="120" w:line="23" w:lineRule="atLeast"/>
              <w:jc w:val="center"/>
              <w:rPr>
                <w:rFonts w:ascii="Arial" w:hAnsi="Arial" w:cs="Arial"/>
                <w:b/>
                <w:sz w:val="18"/>
                <w:szCs w:val="18"/>
              </w:rPr>
            </w:pPr>
            <w:r w:rsidRPr="00730154">
              <w:rPr>
                <w:rFonts w:ascii="Arial" w:hAnsi="Arial" w:cs="Arial"/>
                <w:b/>
                <w:sz w:val="18"/>
                <w:szCs w:val="18"/>
              </w:rPr>
              <w:t>2.8. Información falsa</w:t>
            </w:r>
          </w:p>
        </w:tc>
      </w:tr>
      <w:tr w:rsidR="00E27981" w:rsidRPr="003F324D" w14:paraId="2B3600CB" w14:textId="77777777" w:rsidTr="009F6BE3">
        <w:tc>
          <w:tcPr>
            <w:tcW w:w="3348" w:type="dxa"/>
            <w:shd w:val="clear" w:color="auto" w:fill="FFFFFF" w:themeFill="background1"/>
          </w:tcPr>
          <w:p w14:paraId="20F061E1" w14:textId="1BFAA4AA" w:rsidR="00E27981" w:rsidRPr="00730154" w:rsidRDefault="00E27981" w:rsidP="00E27981">
            <w:pPr>
              <w:spacing w:before="120" w:after="120" w:line="23" w:lineRule="atLeast"/>
              <w:jc w:val="both"/>
              <w:rPr>
                <w:rFonts w:ascii="Arial" w:hAnsi="Arial" w:cs="Arial"/>
                <w:bCs/>
                <w:sz w:val="18"/>
                <w:szCs w:val="18"/>
                <w:lang w:val="es-ES"/>
              </w:rPr>
            </w:pPr>
            <w:r w:rsidRPr="00730154">
              <w:rPr>
                <w:rFonts w:ascii="Arial" w:hAnsi="Arial" w:cs="Arial"/>
                <w:sz w:val="18"/>
                <w:szCs w:val="18"/>
              </w:rPr>
              <w:t>“En la determinación de una multa por declarar falsamente o entregar información falsa al Instituto no se tomará en consideración la participación del infractor en el mercado, el tamaño del mercado afectado y la duración de la práctica, toda vez que tales elementos únicamente son relevantes para calcular las sanciones por prácticas monopólicas o concentraciones ilícitas.”</w:t>
            </w:r>
          </w:p>
        </w:tc>
        <w:tc>
          <w:tcPr>
            <w:tcW w:w="3280" w:type="dxa"/>
            <w:shd w:val="clear" w:color="auto" w:fill="FFFFFF" w:themeFill="background1"/>
          </w:tcPr>
          <w:p w14:paraId="40E7C270" w14:textId="143AF456" w:rsidR="00E27981" w:rsidRPr="00730154" w:rsidRDefault="00E27981" w:rsidP="009F6BE3">
            <w:pPr>
              <w:spacing w:before="120" w:after="120" w:line="23" w:lineRule="atLeast"/>
              <w:jc w:val="both"/>
              <w:rPr>
                <w:rFonts w:ascii="Arial" w:hAnsi="Arial" w:cs="Arial"/>
                <w:b/>
                <w:sz w:val="18"/>
                <w:szCs w:val="18"/>
              </w:rPr>
            </w:pPr>
            <w:r w:rsidRPr="00730154">
              <w:rPr>
                <w:rFonts w:ascii="Arial" w:hAnsi="Arial" w:cs="Arial"/>
                <w:bCs/>
                <w:sz w:val="18"/>
                <w:szCs w:val="18"/>
              </w:rPr>
              <w:t>Recomienda revisar si efectivamente es posible el análisis de daño causado si no se toma en consideración la participación del infractor en el mercado, el tamaño del mercado afectado y la duración de la práctica. Asimismo, sugiere adicionar el análisis de la afectación al ejercicio de las atribuciones y detallar que, conforme al artículo 130 de la LFCE, la gravedad no es un elemento de análisis autónomo, sino que, para determinar la gravedad de la infracción, se considera el análisis que se haga de los elementos.</w:t>
            </w:r>
          </w:p>
        </w:tc>
        <w:tc>
          <w:tcPr>
            <w:tcW w:w="2756" w:type="dxa"/>
            <w:shd w:val="clear" w:color="auto" w:fill="FFFFFF" w:themeFill="background1"/>
          </w:tcPr>
          <w:p w14:paraId="4BCD9CED" w14:textId="77777777" w:rsidR="00E27981" w:rsidRDefault="00E27981" w:rsidP="009F6BE3">
            <w:pPr>
              <w:spacing w:before="120" w:after="120" w:line="23" w:lineRule="atLeast"/>
              <w:jc w:val="both"/>
              <w:rPr>
                <w:rFonts w:ascii="Arial" w:hAnsi="Arial" w:cs="Arial"/>
                <w:bCs/>
                <w:sz w:val="18"/>
                <w:szCs w:val="18"/>
              </w:rPr>
            </w:pPr>
            <w:r>
              <w:rPr>
                <w:rFonts w:ascii="Arial" w:hAnsi="Arial" w:cs="Arial"/>
                <w:bCs/>
                <w:sz w:val="18"/>
                <w:szCs w:val="18"/>
              </w:rPr>
              <w:t>Se considera procedente en atención a que</w:t>
            </w:r>
            <w:r w:rsidR="00281A1D">
              <w:rPr>
                <w:rFonts w:ascii="Arial" w:hAnsi="Arial" w:cs="Arial"/>
                <w:bCs/>
                <w:sz w:val="18"/>
                <w:szCs w:val="18"/>
              </w:rPr>
              <w:t xml:space="preserve">: i) </w:t>
            </w:r>
            <w:r>
              <w:rPr>
                <w:rFonts w:ascii="Arial" w:hAnsi="Arial" w:cs="Arial"/>
                <w:bCs/>
                <w:sz w:val="18"/>
                <w:szCs w:val="18"/>
              </w:rPr>
              <w:t>en futuros casos el Instituto puede incluir todos los elementos previstos en el artículo 130 de la LFCE en la determinación de multas por haber declarado falsamente o entregar información falsa al Instituto</w:t>
            </w:r>
            <w:r w:rsidR="00281A1D">
              <w:rPr>
                <w:rFonts w:ascii="Arial" w:hAnsi="Arial" w:cs="Arial"/>
                <w:bCs/>
                <w:sz w:val="18"/>
                <w:szCs w:val="18"/>
              </w:rPr>
              <w:t xml:space="preserve">; y ii) en términos del precepto citado, la gravedad no es un elemento de análisis autónomo. </w:t>
            </w:r>
          </w:p>
          <w:p w14:paraId="2A09FF13" w14:textId="77777777" w:rsidR="009A5B3E" w:rsidRDefault="009A5B3E" w:rsidP="009A5B3E">
            <w:pPr>
              <w:spacing w:before="120" w:after="120" w:line="23" w:lineRule="atLeast"/>
              <w:jc w:val="both"/>
              <w:rPr>
                <w:rFonts w:ascii="Arial" w:hAnsi="Arial" w:cs="Arial"/>
                <w:sz w:val="18"/>
                <w:szCs w:val="18"/>
              </w:rPr>
            </w:pPr>
            <w:r w:rsidRPr="00077AFA">
              <w:rPr>
                <w:rFonts w:ascii="Arial" w:hAnsi="Arial" w:cs="Arial"/>
                <w:sz w:val="18"/>
                <w:szCs w:val="18"/>
              </w:rPr>
              <w:t>Conforme a lo anterior, se modifica al Proyecto el siguiente párrafo:</w:t>
            </w:r>
          </w:p>
          <w:tbl>
            <w:tblPr>
              <w:tblStyle w:val="Tablaconcuadrcula"/>
              <w:tblW w:w="0" w:type="auto"/>
              <w:jc w:val="center"/>
              <w:tblLook w:val="04A0" w:firstRow="1" w:lastRow="0" w:firstColumn="1" w:lastColumn="0" w:noHBand="0" w:noVBand="1"/>
            </w:tblPr>
            <w:tblGrid>
              <w:gridCol w:w="2530"/>
            </w:tblGrid>
            <w:tr w:rsidR="009A5B3E" w:rsidRPr="00730154" w14:paraId="653A902A"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C8B409C" w14:textId="77777777" w:rsidR="009A5B3E" w:rsidRPr="00730154" w:rsidRDefault="009A5B3E" w:rsidP="009A5B3E">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9A5B3E" w:rsidRPr="00730154" w14:paraId="716BFF21"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2B97FE4" w14:textId="30092E22" w:rsidR="009A5B3E" w:rsidRPr="00730154" w:rsidRDefault="009A5B3E" w:rsidP="009A5B3E">
                  <w:pPr>
                    <w:pStyle w:val="Textoindependiente"/>
                    <w:spacing w:before="120" w:line="23" w:lineRule="atLeast"/>
                    <w:jc w:val="both"/>
                    <w:rPr>
                      <w:rFonts w:ascii="Arial" w:hAnsi="Arial" w:cs="Arial"/>
                      <w:sz w:val="18"/>
                      <w:szCs w:val="18"/>
                    </w:rPr>
                  </w:pPr>
                  <w:r w:rsidRPr="00730154">
                    <w:rPr>
                      <w:rFonts w:ascii="Arial" w:hAnsi="Arial" w:cs="Arial"/>
                      <w:iCs/>
                      <w:sz w:val="18"/>
                      <w:szCs w:val="18"/>
                    </w:rPr>
                    <w:t xml:space="preserve">En la determinación de una multa por declarar falsamente o entregar información falsa al Instituto </w:t>
                  </w:r>
                  <w:r w:rsidRPr="00BD3B67">
                    <w:rPr>
                      <w:rFonts w:ascii="Arial" w:hAnsi="Arial" w:cs="Arial"/>
                      <w:iCs/>
                      <w:strike/>
                      <w:sz w:val="18"/>
                      <w:szCs w:val="18"/>
                    </w:rPr>
                    <w:t>no se tomará en consideración la participación del infractor en el mercado, el tamaño del mercado afectado y la duración de la práctica, toda vez que tales elementos únicamente son relevantes para calcular las sanciones por prácticas monopólicas o concentraciones ilícitas. En este sentido, al determinar el monto de la multa por falsedad de información o declarar falsamente</w:t>
                  </w:r>
                  <w:r w:rsidRPr="00730154">
                    <w:rPr>
                      <w:rFonts w:ascii="Arial" w:hAnsi="Arial" w:cs="Arial"/>
                      <w:iCs/>
                      <w:sz w:val="18"/>
                      <w:szCs w:val="18"/>
                    </w:rPr>
                    <w:t xml:space="preserve"> se podrán analizar los estándares referentes a la gravedad, </w:t>
                  </w:r>
                  <w:r w:rsidRPr="00730154">
                    <w:rPr>
                      <w:rFonts w:ascii="Arial" w:hAnsi="Arial" w:cs="Arial"/>
                      <w:b/>
                      <w:bCs/>
                      <w:iCs/>
                      <w:sz w:val="18"/>
                      <w:szCs w:val="18"/>
                    </w:rPr>
                    <w:t xml:space="preserve">la participación </w:t>
                  </w:r>
                  <w:r w:rsidRPr="00730154">
                    <w:rPr>
                      <w:rFonts w:ascii="Arial" w:hAnsi="Arial" w:cs="Arial"/>
                      <w:b/>
                      <w:bCs/>
                      <w:iCs/>
                      <w:sz w:val="18"/>
                      <w:szCs w:val="18"/>
                    </w:rPr>
                    <w:lastRenderedPageBreak/>
                    <w:t>del infractor en el mercado, el tamaño del mercado afectado, la duración de la práctica,</w:t>
                  </w:r>
                  <w:r>
                    <w:rPr>
                      <w:rFonts w:ascii="Arial" w:hAnsi="Arial" w:cs="Arial"/>
                      <w:b/>
                      <w:bCs/>
                      <w:iCs/>
                      <w:sz w:val="18"/>
                      <w:szCs w:val="18"/>
                    </w:rPr>
                    <w:t xml:space="preserve"> </w:t>
                  </w:r>
                  <w:r w:rsidRPr="00730154">
                    <w:rPr>
                      <w:rFonts w:ascii="Arial" w:hAnsi="Arial" w:cs="Arial"/>
                      <w:iCs/>
                      <w:sz w:val="18"/>
                      <w:szCs w:val="18"/>
                    </w:rPr>
                    <w:t>el daño causado, la reincidencia, los indicios de intencionalidad</w:t>
                  </w:r>
                  <w:r w:rsidRPr="008047C0">
                    <w:rPr>
                      <w:rFonts w:ascii="Arial" w:hAnsi="Arial" w:cs="Arial"/>
                      <w:b/>
                      <w:bCs/>
                      <w:iCs/>
                      <w:sz w:val="18"/>
                      <w:szCs w:val="18"/>
                    </w:rPr>
                    <w:t>,</w:t>
                  </w:r>
                  <w:r>
                    <w:rPr>
                      <w:rFonts w:ascii="Arial" w:hAnsi="Arial" w:cs="Arial"/>
                      <w:iCs/>
                      <w:sz w:val="18"/>
                      <w:szCs w:val="18"/>
                    </w:rPr>
                    <w:t xml:space="preserve"> </w:t>
                  </w:r>
                  <w:r w:rsidRPr="008047C0">
                    <w:rPr>
                      <w:rFonts w:ascii="Arial" w:hAnsi="Arial" w:cs="Arial"/>
                      <w:iCs/>
                      <w:strike/>
                      <w:sz w:val="18"/>
                      <w:szCs w:val="18"/>
                    </w:rPr>
                    <w:t>y</w:t>
                  </w:r>
                  <w:r w:rsidRPr="00730154">
                    <w:rPr>
                      <w:rFonts w:ascii="Arial" w:hAnsi="Arial" w:cs="Arial"/>
                      <w:iCs/>
                      <w:sz w:val="18"/>
                      <w:szCs w:val="18"/>
                    </w:rPr>
                    <w:t xml:space="preserve"> la capacidad económica de los agentes económicos</w:t>
                  </w:r>
                  <w:r>
                    <w:rPr>
                      <w:rFonts w:ascii="Arial" w:hAnsi="Arial" w:cs="Arial"/>
                      <w:iCs/>
                      <w:sz w:val="18"/>
                      <w:szCs w:val="18"/>
                    </w:rPr>
                    <w:t xml:space="preserve">, </w:t>
                  </w:r>
                  <w:r w:rsidRPr="00730154">
                    <w:rPr>
                      <w:rFonts w:ascii="Arial" w:hAnsi="Arial" w:cs="Arial"/>
                      <w:b/>
                      <w:bCs/>
                      <w:iCs/>
                      <w:sz w:val="18"/>
                      <w:szCs w:val="18"/>
                    </w:rPr>
                    <w:t>y la afectación al ejercicio de las atribuciones del Instituto.</w:t>
                  </w:r>
                </w:p>
              </w:tc>
            </w:tr>
          </w:tbl>
          <w:p w14:paraId="161B2A64" w14:textId="3754D073" w:rsidR="009A5B3E" w:rsidRPr="003F324D" w:rsidRDefault="009A5B3E" w:rsidP="009F6BE3">
            <w:pPr>
              <w:spacing w:before="120" w:after="120" w:line="23" w:lineRule="atLeast"/>
              <w:jc w:val="both"/>
              <w:rPr>
                <w:rFonts w:ascii="Arial" w:hAnsi="Arial" w:cs="Arial"/>
                <w:bCs/>
                <w:sz w:val="18"/>
                <w:szCs w:val="18"/>
              </w:rPr>
            </w:pPr>
          </w:p>
        </w:tc>
      </w:tr>
      <w:tr w:rsidR="00E27981" w:rsidRPr="003F324D" w14:paraId="05DA26E6" w14:textId="77777777" w:rsidTr="009F6BE3">
        <w:tc>
          <w:tcPr>
            <w:tcW w:w="3348" w:type="dxa"/>
            <w:shd w:val="clear" w:color="auto" w:fill="FFFFFF" w:themeFill="background1"/>
          </w:tcPr>
          <w:p w14:paraId="26C21CED" w14:textId="77777777" w:rsidR="00E27981" w:rsidRPr="00730154" w:rsidRDefault="00E27981" w:rsidP="00E27981">
            <w:pPr>
              <w:spacing w:before="120" w:after="120" w:line="23" w:lineRule="atLeast"/>
              <w:jc w:val="both"/>
              <w:rPr>
                <w:rFonts w:ascii="Arial" w:hAnsi="Arial" w:cs="Arial"/>
                <w:sz w:val="18"/>
                <w:szCs w:val="18"/>
              </w:rPr>
            </w:pPr>
            <w:r w:rsidRPr="00730154">
              <w:rPr>
                <w:rFonts w:ascii="Arial" w:hAnsi="Arial" w:cs="Arial"/>
                <w:sz w:val="18"/>
                <w:szCs w:val="18"/>
              </w:rPr>
              <w:lastRenderedPageBreak/>
              <w:t>“Expediente E-IFT/UC/DGIP/PMR/0003/2013 y acumulados</w:t>
            </w:r>
          </w:p>
          <w:p w14:paraId="4E1BDABD" w14:textId="7FDC75C7" w:rsidR="00E27981" w:rsidRPr="00730154" w:rsidRDefault="00E27981" w:rsidP="00E27981">
            <w:pPr>
              <w:spacing w:before="120" w:after="120" w:line="23" w:lineRule="atLeast"/>
              <w:jc w:val="both"/>
              <w:rPr>
                <w:rFonts w:ascii="Arial" w:hAnsi="Arial" w:cs="Arial"/>
                <w:sz w:val="18"/>
                <w:szCs w:val="18"/>
              </w:rPr>
            </w:pPr>
            <w:r w:rsidRPr="00730154">
              <w:rPr>
                <w:rFonts w:ascii="Arial" w:hAnsi="Arial" w:cs="Arial"/>
                <w:sz w:val="18"/>
                <w:szCs w:val="18"/>
              </w:rPr>
              <w:t>En el expediente referido, adicional a la sanción por la omisión de notificación de una concentración, se sancionó por falsedad de información […]“.</w:t>
            </w:r>
          </w:p>
        </w:tc>
        <w:tc>
          <w:tcPr>
            <w:tcW w:w="3280" w:type="dxa"/>
            <w:shd w:val="clear" w:color="auto" w:fill="FFFFFF" w:themeFill="background1"/>
          </w:tcPr>
          <w:p w14:paraId="1DA36B2A" w14:textId="5B2748F3" w:rsidR="00E27981" w:rsidRPr="00730154" w:rsidRDefault="00E27981" w:rsidP="009F6BE3">
            <w:pPr>
              <w:spacing w:before="120" w:after="120" w:line="23" w:lineRule="atLeast"/>
              <w:jc w:val="both"/>
              <w:rPr>
                <w:rFonts w:ascii="Arial" w:hAnsi="Arial" w:cs="Arial"/>
                <w:b/>
                <w:sz w:val="18"/>
                <w:szCs w:val="18"/>
              </w:rPr>
            </w:pPr>
            <w:r w:rsidRPr="00730154">
              <w:rPr>
                <w:rFonts w:ascii="Arial" w:hAnsi="Arial" w:cs="Arial"/>
                <w:bCs/>
                <w:sz w:val="18"/>
                <w:szCs w:val="18"/>
              </w:rPr>
              <w:t>Se sugiere retirar dicho precedente ya que se encuentra pendiente de resolución y actualmente cuenta con una resolución de primera instancia que lo deja insubsistente.</w:t>
            </w:r>
          </w:p>
        </w:tc>
        <w:tc>
          <w:tcPr>
            <w:tcW w:w="2756" w:type="dxa"/>
            <w:shd w:val="clear" w:color="auto" w:fill="FFFFFF" w:themeFill="background1"/>
          </w:tcPr>
          <w:p w14:paraId="2152F051" w14:textId="1865599B" w:rsidR="00E27981" w:rsidRPr="003F324D" w:rsidRDefault="006B0E7B" w:rsidP="009F6BE3">
            <w:pPr>
              <w:spacing w:before="120" w:after="120" w:line="23" w:lineRule="atLeast"/>
              <w:jc w:val="both"/>
              <w:rPr>
                <w:rFonts w:ascii="Arial" w:hAnsi="Arial" w:cs="Arial"/>
                <w:bCs/>
                <w:sz w:val="18"/>
                <w:szCs w:val="18"/>
              </w:rPr>
            </w:pPr>
            <w:r>
              <w:rPr>
                <w:rFonts w:ascii="Arial" w:hAnsi="Arial" w:cs="Arial"/>
                <w:bCs/>
                <w:sz w:val="18"/>
                <w:szCs w:val="18"/>
              </w:rPr>
              <w:t>Se considera improcedente en atención a que, aun cuando la resolución citada ha sido controvertida por los AE sancionados y actualmente está pendiente de resolución en PJF, su exposición sirve para ilustrar el ejercicio de las facultades del Instituto en la imposición de multas.</w:t>
            </w:r>
            <w:r w:rsidR="007B6F34">
              <w:rPr>
                <w:rFonts w:ascii="Arial" w:hAnsi="Arial" w:cs="Arial"/>
                <w:bCs/>
                <w:sz w:val="18"/>
                <w:szCs w:val="18"/>
              </w:rPr>
              <w:t xml:space="preserve"> Se precisa que la guía será revisada y actualizada cada 5 años, en términos del artículo 138 de la LFCE.</w:t>
            </w:r>
          </w:p>
        </w:tc>
      </w:tr>
    </w:tbl>
    <w:p w14:paraId="447010C0" w14:textId="77777777" w:rsidR="00E27981" w:rsidRPr="00E27981" w:rsidRDefault="00E27981" w:rsidP="00E27981"/>
    <w:p w14:paraId="2CFEA6FB" w14:textId="01918578" w:rsidR="005E0630" w:rsidRPr="00730154" w:rsidRDefault="00D01E28"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.10. Apartado 2.9 Montos en términos de UMA</w:t>
      </w:r>
    </w:p>
    <w:p w14:paraId="4058B92F" w14:textId="67C9EDE9" w:rsidR="005E0630" w:rsidRDefault="00D01E28"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 xml:space="preserve">.10.1. </w:t>
      </w:r>
      <w:r w:rsidR="005E0630" w:rsidRPr="00730154">
        <w:rPr>
          <w:rFonts w:ascii="Arial" w:hAnsi="Arial" w:cs="Arial"/>
          <w:b/>
          <w:bCs/>
          <w:color w:val="auto"/>
          <w:sz w:val="22"/>
          <w:szCs w:val="22"/>
        </w:rPr>
        <w:t>Síntesis de</w:t>
      </w:r>
      <w:r w:rsidR="005E0630" w:rsidRPr="00730154">
        <w:rPr>
          <w:rFonts w:ascii="Arial" w:hAnsi="Arial" w:cs="Arial"/>
          <w:b/>
          <w:color w:val="auto"/>
          <w:sz w:val="22"/>
          <w:szCs w:val="22"/>
        </w:rPr>
        <w:t xml:space="preserve"> los comentarios recibidos respecto de la propuesta del apartado 2.9 Montos en términos de UMA</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F16946" w:rsidRPr="00730154" w14:paraId="50989BCF" w14:textId="77777777" w:rsidTr="009F6BE3">
        <w:trPr>
          <w:tblHeader/>
        </w:trPr>
        <w:tc>
          <w:tcPr>
            <w:tcW w:w="3348" w:type="dxa"/>
            <w:tcBorders>
              <w:bottom w:val="single" w:sz="8" w:space="0" w:color="auto"/>
            </w:tcBorders>
            <w:shd w:val="clear" w:color="auto" w:fill="70AD47" w:themeFill="accent6"/>
          </w:tcPr>
          <w:p w14:paraId="76A170B7" w14:textId="77777777" w:rsidR="00F16946" w:rsidRPr="00730154" w:rsidRDefault="00F16946"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2A6E25D3" w14:textId="77777777" w:rsidR="00F16946" w:rsidRPr="00730154" w:rsidRDefault="00F16946"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5EADE78B" w14:textId="77777777" w:rsidR="00F16946" w:rsidRPr="00730154" w:rsidRDefault="00F16946"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F16946" w:rsidRPr="00730154" w14:paraId="131715CB" w14:textId="77777777" w:rsidTr="009F6BE3">
        <w:tc>
          <w:tcPr>
            <w:tcW w:w="9384" w:type="dxa"/>
            <w:gridSpan w:val="3"/>
            <w:tcBorders>
              <w:bottom w:val="single" w:sz="8" w:space="0" w:color="auto"/>
            </w:tcBorders>
            <w:shd w:val="clear" w:color="auto" w:fill="C5E0B3" w:themeFill="accent6" w:themeFillTint="66"/>
          </w:tcPr>
          <w:p w14:paraId="099E25A6" w14:textId="588E3796" w:rsidR="00F16946" w:rsidRPr="00730154" w:rsidRDefault="00F16946" w:rsidP="009F6BE3">
            <w:pPr>
              <w:spacing w:before="120" w:after="120" w:line="23" w:lineRule="atLeast"/>
              <w:jc w:val="center"/>
              <w:rPr>
                <w:rFonts w:ascii="Arial" w:hAnsi="Arial" w:cs="Arial"/>
                <w:b/>
                <w:sz w:val="18"/>
                <w:szCs w:val="18"/>
              </w:rPr>
            </w:pPr>
            <w:r w:rsidRPr="00730154">
              <w:rPr>
                <w:rFonts w:ascii="Arial" w:hAnsi="Arial" w:cs="Arial"/>
                <w:b/>
                <w:sz w:val="18"/>
                <w:szCs w:val="18"/>
              </w:rPr>
              <w:t>2.9 Montos en términos de UMA</w:t>
            </w:r>
          </w:p>
        </w:tc>
      </w:tr>
      <w:tr w:rsidR="00F16946" w:rsidRPr="003F324D" w14:paraId="3C492295" w14:textId="77777777" w:rsidTr="009F6BE3">
        <w:tc>
          <w:tcPr>
            <w:tcW w:w="3348" w:type="dxa"/>
            <w:vMerge w:val="restart"/>
            <w:shd w:val="clear" w:color="auto" w:fill="FFFFFF" w:themeFill="background1"/>
          </w:tcPr>
          <w:p w14:paraId="6EDFB188" w14:textId="05B7BB89" w:rsidR="00F16946" w:rsidRPr="00730154" w:rsidRDefault="00F16946" w:rsidP="00F16946">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“La falta de información sobre ingresos del agente económico infractor no se traducirá en la imposibilidad de sancionar prácticas monopólicas o concentraciones ilícitas. Cuando los agentes económicos no declaren o no se les hayan determinado ingresos acumulables para efectos del impuesto sobre la renta, el Instituto estará habilitado para imponer multas en términos de UMA.”</w:t>
            </w:r>
          </w:p>
        </w:tc>
        <w:tc>
          <w:tcPr>
            <w:tcW w:w="3280" w:type="dxa"/>
            <w:shd w:val="clear" w:color="auto" w:fill="FFFFFF" w:themeFill="background1"/>
          </w:tcPr>
          <w:p w14:paraId="16AAA6BE" w14:textId="607B734A" w:rsidR="00F16946" w:rsidRPr="00730154" w:rsidRDefault="00F16946" w:rsidP="009F6BE3">
            <w:pPr>
              <w:spacing w:before="120" w:after="120" w:line="23" w:lineRule="atLeast"/>
              <w:jc w:val="both"/>
              <w:rPr>
                <w:rFonts w:ascii="Arial" w:hAnsi="Arial" w:cs="Arial"/>
                <w:b/>
                <w:sz w:val="18"/>
                <w:szCs w:val="18"/>
              </w:rPr>
            </w:pPr>
            <w:r w:rsidRPr="00730154">
              <w:rPr>
                <w:rFonts w:ascii="Arial" w:hAnsi="Arial" w:cs="Arial"/>
                <w:bCs/>
                <w:sz w:val="18"/>
                <w:szCs w:val="18"/>
              </w:rPr>
              <w:t>Sería recomendable adicionar que, en términos de lo dispuesto por los artículos 120 de la LFCE y 176 de las DRLFCE, independientemente de que se llegue a reportar o no la obtención de ingresos acumulables, las autoridades podrán tomar en cuenta, en caso de ser aplicable y como hecho notorio, información tal como el monto de la transacción, los activos de la sociedad objeto o montos de activos, los costos de producción, entre otros elementos que pudieran revelar la capacidad económica de los infractores.</w:t>
            </w:r>
          </w:p>
        </w:tc>
        <w:tc>
          <w:tcPr>
            <w:tcW w:w="2756" w:type="dxa"/>
            <w:shd w:val="clear" w:color="auto" w:fill="FFFFFF" w:themeFill="background1"/>
          </w:tcPr>
          <w:p w14:paraId="1B528B80" w14:textId="305E493E" w:rsidR="00F16946" w:rsidRDefault="00F16946" w:rsidP="009F6BE3">
            <w:pPr>
              <w:spacing w:before="120" w:after="120" w:line="23" w:lineRule="atLeast"/>
              <w:jc w:val="both"/>
              <w:rPr>
                <w:rFonts w:ascii="Arial" w:hAnsi="Arial" w:cs="Arial"/>
                <w:bCs/>
                <w:sz w:val="18"/>
                <w:szCs w:val="18"/>
              </w:rPr>
            </w:pPr>
            <w:r>
              <w:rPr>
                <w:rFonts w:ascii="Arial" w:hAnsi="Arial" w:cs="Arial"/>
                <w:bCs/>
                <w:sz w:val="18"/>
                <w:szCs w:val="18"/>
              </w:rPr>
              <w:t>Se considera improcedente toda vez que en el numeral 2.9 de la Guía se especifica que ante la falta de información para determinar ingresos acumulables el Instituto podrá imponer multas en UMAS.</w:t>
            </w:r>
          </w:p>
          <w:p w14:paraId="2BCB9613" w14:textId="3AAB7507" w:rsidR="00F16946" w:rsidRPr="003F324D" w:rsidRDefault="00F16946" w:rsidP="009F6BE3">
            <w:pPr>
              <w:spacing w:before="120" w:after="120" w:line="23" w:lineRule="atLeast"/>
              <w:jc w:val="both"/>
              <w:rPr>
                <w:rFonts w:ascii="Arial" w:hAnsi="Arial" w:cs="Arial"/>
                <w:bCs/>
                <w:sz w:val="18"/>
                <w:szCs w:val="18"/>
              </w:rPr>
            </w:pPr>
          </w:p>
        </w:tc>
      </w:tr>
      <w:tr w:rsidR="00F16946" w:rsidRPr="003F324D" w14:paraId="0776B74A" w14:textId="77777777" w:rsidTr="009F6BE3">
        <w:tc>
          <w:tcPr>
            <w:tcW w:w="3348" w:type="dxa"/>
            <w:vMerge/>
            <w:shd w:val="clear" w:color="auto" w:fill="FFFFFF" w:themeFill="background1"/>
          </w:tcPr>
          <w:p w14:paraId="05F90724" w14:textId="77777777" w:rsidR="00F16946" w:rsidRPr="00730154" w:rsidRDefault="00F16946" w:rsidP="00F16946">
            <w:pPr>
              <w:spacing w:before="120" w:after="120" w:line="23" w:lineRule="atLeast"/>
              <w:jc w:val="both"/>
              <w:rPr>
                <w:rFonts w:ascii="Arial" w:hAnsi="Arial" w:cs="Arial"/>
                <w:sz w:val="18"/>
                <w:szCs w:val="18"/>
                <w:lang w:val="es-ES"/>
              </w:rPr>
            </w:pPr>
          </w:p>
        </w:tc>
        <w:tc>
          <w:tcPr>
            <w:tcW w:w="3280" w:type="dxa"/>
            <w:shd w:val="clear" w:color="auto" w:fill="FFFFFF" w:themeFill="background1"/>
          </w:tcPr>
          <w:p w14:paraId="3D939B63" w14:textId="2E3A9A0E" w:rsidR="00F16946" w:rsidRPr="00730154" w:rsidRDefault="00F16946" w:rsidP="00F16946">
            <w:pPr>
              <w:spacing w:before="120" w:after="120" w:line="23" w:lineRule="atLeast"/>
              <w:jc w:val="both"/>
              <w:rPr>
                <w:rFonts w:ascii="Arial" w:hAnsi="Arial" w:cs="Arial"/>
                <w:b/>
                <w:sz w:val="18"/>
                <w:szCs w:val="18"/>
              </w:rPr>
            </w:pPr>
            <w:r w:rsidRPr="00730154">
              <w:rPr>
                <w:rFonts w:ascii="Arial" w:hAnsi="Arial" w:cs="Arial"/>
                <w:bCs/>
                <w:sz w:val="18"/>
                <w:szCs w:val="18"/>
              </w:rPr>
              <w:t>Sugiere cambiar la frase “en términos” a fin de evitar que se confunda con fundamento.</w:t>
            </w:r>
          </w:p>
        </w:tc>
        <w:tc>
          <w:tcPr>
            <w:tcW w:w="2756" w:type="dxa"/>
            <w:shd w:val="clear" w:color="auto" w:fill="FFFFFF" w:themeFill="background1"/>
          </w:tcPr>
          <w:p w14:paraId="36A686D1" w14:textId="77777777" w:rsidR="00F16946" w:rsidRDefault="007464F2"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procedente por lo que se modifica el apartado. </w:t>
            </w:r>
          </w:p>
          <w:p w14:paraId="24533336" w14:textId="77777777" w:rsidR="00EE4C06" w:rsidRDefault="00EE4C06" w:rsidP="00EE4C06">
            <w:pPr>
              <w:spacing w:before="120" w:after="120" w:line="23" w:lineRule="atLeast"/>
              <w:jc w:val="both"/>
              <w:rPr>
                <w:rFonts w:ascii="Arial" w:hAnsi="Arial" w:cs="Arial"/>
                <w:sz w:val="18"/>
                <w:szCs w:val="18"/>
              </w:rPr>
            </w:pPr>
            <w:r w:rsidRPr="00077AFA">
              <w:rPr>
                <w:rFonts w:ascii="Arial" w:hAnsi="Arial" w:cs="Arial"/>
                <w:sz w:val="18"/>
                <w:szCs w:val="18"/>
              </w:rPr>
              <w:lastRenderedPageBreak/>
              <w:t>Conforme a lo anterior, se modifica al Proyecto el siguiente párrafo:</w:t>
            </w:r>
          </w:p>
          <w:tbl>
            <w:tblPr>
              <w:tblStyle w:val="Tablaconcuadrcula"/>
              <w:tblW w:w="0" w:type="auto"/>
              <w:jc w:val="center"/>
              <w:tblLook w:val="04A0" w:firstRow="1" w:lastRow="0" w:firstColumn="1" w:lastColumn="0" w:noHBand="0" w:noVBand="1"/>
            </w:tblPr>
            <w:tblGrid>
              <w:gridCol w:w="2530"/>
            </w:tblGrid>
            <w:tr w:rsidR="00EE4C06" w:rsidRPr="00730154" w14:paraId="0A9CC7A6"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6E06C05" w14:textId="77777777" w:rsidR="00EE4C06" w:rsidRPr="00730154" w:rsidRDefault="00EE4C06" w:rsidP="00EE4C06">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EE4C06" w:rsidRPr="00730154" w14:paraId="179DFC3B"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E380ACF" w14:textId="32BFE4E7" w:rsidR="00EE4C06" w:rsidRPr="00730219" w:rsidRDefault="00EE4C06" w:rsidP="00EE4C06">
                  <w:pPr>
                    <w:rPr>
                      <w:rFonts w:ascii="Arial" w:eastAsia="Times New Roman" w:hAnsi="Arial" w:cs="Arial"/>
                      <w:bCs/>
                      <w:sz w:val="18"/>
                      <w:szCs w:val="18"/>
                      <w:lang w:eastAsia="es-MX"/>
                    </w:rPr>
                  </w:pPr>
                  <w:r w:rsidRPr="00730219">
                    <w:rPr>
                      <w:rFonts w:ascii="Arial" w:eastAsia="Times New Roman" w:hAnsi="Arial" w:cs="Arial"/>
                      <w:bCs/>
                      <w:sz w:val="18"/>
                      <w:szCs w:val="18"/>
                      <w:lang w:eastAsia="es-MX"/>
                    </w:rPr>
                    <w:t xml:space="preserve">2.9 Multas </w:t>
                  </w:r>
                  <w:r w:rsidRPr="00730219">
                    <w:rPr>
                      <w:rFonts w:ascii="Arial" w:eastAsia="Times New Roman" w:hAnsi="Arial" w:cs="Arial"/>
                      <w:bCs/>
                      <w:strike/>
                      <w:sz w:val="18"/>
                      <w:szCs w:val="18"/>
                      <w:lang w:eastAsia="es-MX"/>
                    </w:rPr>
                    <w:t>en términos</w:t>
                  </w:r>
                  <w:r w:rsidRPr="00730219">
                    <w:rPr>
                      <w:rFonts w:ascii="Arial" w:eastAsia="Times New Roman" w:hAnsi="Arial" w:cs="Arial"/>
                      <w:bCs/>
                      <w:sz w:val="18"/>
                      <w:szCs w:val="18"/>
                      <w:lang w:eastAsia="es-MX"/>
                    </w:rPr>
                    <w:t xml:space="preserve"> </w:t>
                  </w:r>
                  <w:r w:rsidR="009D2C4C">
                    <w:rPr>
                      <w:rFonts w:ascii="Arial" w:eastAsia="Times New Roman" w:hAnsi="Arial" w:cs="Arial"/>
                      <w:bCs/>
                      <w:sz w:val="18"/>
                      <w:szCs w:val="18"/>
                      <w:lang w:eastAsia="es-MX"/>
                    </w:rPr>
                    <w:t>en</w:t>
                  </w:r>
                  <w:r w:rsidRPr="00730219">
                    <w:rPr>
                      <w:rFonts w:ascii="Arial" w:eastAsia="Times New Roman" w:hAnsi="Arial" w:cs="Arial"/>
                      <w:bCs/>
                      <w:sz w:val="18"/>
                      <w:szCs w:val="18"/>
                      <w:lang w:eastAsia="es-MX"/>
                    </w:rPr>
                    <w:t xml:space="preserve"> UMA</w:t>
                  </w:r>
                  <w:r w:rsidRPr="009D2C4C">
                    <w:rPr>
                      <w:rFonts w:ascii="Arial" w:eastAsia="Times New Roman" w:hAnsi="Arial" w:cs="Arial"/>
                      <w:bCs/>
                      <w:sz w:val="18"/>
                      <w:szCs w:val="18"/>
                      <w:lang w:eastAsia="es-MX"/>
                    </w:rPr>
                    <w:t>S</w:t>
                  </w:r>
                </w:p>
                <w:p w14:paraId="67036098" w14:textId="77777777" w:rsidR="00EE4C06" w:rsidRPr="001045DA" w:rsidRDefault="00EE4C06" w:rsidP="00EE4C06">
                  <w:pPr>
                    <w:rPr>
                      <w:rFonts w:ascii="Arial" w:eastAsia="Times New Roman" w:hAnsi="Arial" w:cs="Arial"/>
                      <w:b/>
                      <w:sz w:val="18"/>
                      <w:szCs w:val="18"/>
                      <w:lang w:eastAsia="es-MX"/>
                    </w:rPr>
                  </w:pPr>
                </w:p>
                <w:p w14:paraId="3BA3D7E3" w14:textId="079D864E" w:rsidR="00EE4C06" w:rsidRPr="00730154" w:rsidRDefault="00EE4C06" w:rsidP="00EE4C06">
                  <w:pPr>
                    <w:pStyle w:val="Textoindependiente"/>
                    <w:spacing w:before="120" w:line="23" w:lineRule="atLeast"/>
                    <w:jc w:val="both"/>
                    <w:rPr>
                      <w:rFonts w:ascii="Arial" w:hAnsi="Arial" w:cs="Arial"/>
                      <w:sz w:val="18"/>
                      <w:szCs w:val="18"/>
                    </w:rPr>
                  </w:pPr>
                  <w:r w:rsidRPr="00AB6BFB">
                    <w:rPr>
                      <w:rFonts w:ascii="Arial" w:eastAsia="Times New Roman" w:hAnsi="Arial" w:cs="Arial"/>
                      <w:sz w:val="18"/>
                      <w:szCs w:val="18"/>
                    </w:rPr>
                    <w:t>La falta de información sobre ingresos del agente económico infractor no se traducirá en la imposibilidad de sancionar prácticas monopólicas o concentraciones ilícitas. Cuando los agentes económicos no declaren o no se les hayan determinado ingresos acumulables para efectos del impuesto sobre la renta, el Instituto estará habilitado para imponer multas en</w:t>
                  </w:r>
                  <w:r>
                    <w:rPr>
                      <w:rFonts w:ascii="Arial" w:eastAsia="Times New Roman" w:hAnsi="Arial" w:cs="Arial"/>
                      <w:sz w:val="18"/>
                      <w:szCs w:val="18"/>
                    </w:rPr>
                    <w:t xml:space="preserve"> </w:t>
                  </w:r>
                  <w:r w:rsidRPr="00730219">
                    <w:rPr>
                      <w:rFonts w:ascii="Arial" w:eastAsia="Times New Roman" w:hAnsi="Arial" w:cs="Arial"/>
                      <w:strike/>
                      <w:sz w:val="18"/>
                      <w:szCs w:val="18"/>
                    </w:rPr>
                    <w:t>términos de</w:t>
                  </w:r>
                  <w:r w:rsidRPr="00AB6BFB">
                    <w:rPr>
                      <w:rFonts w:ascii="Arial" w:eastAsia="Times New Roman" w:hAnsi="Arial" w:cs="Arial"/>
                      <w:sz w:val="18"/>
                      <w:szCs w:val="18"/>
                    </w:rPr>
                    <w:t xml:space="preserve"> UMA</w:t>
                  </w:r>
                  <w:r>
                    <w:rPr>
                      <w:rFonts w:ascii="Arial" w:eastAsia="Times New Roman" w:hAnsi="Arial" w:cs="Arial"/>
                      <w:b/>
                      <w:bCs/>
                      <w:sz w:val="18"/>
                      <w:szCs w:val="18"/>
                    </w:rPr>
                    <w:t>S</w:t>
                  </w:r>
                  <w:r w:rsidRPr="00AB6BFB">
                    <w:rPr>
                      <w:rFonts w:ascii="Arial" w:eastAsia="Times New Roman" w:hAnsi="Arial" w:cs="Arial"/>
                      <w:sz w:val="18"/>
                      <w:szCs w:val="18"/>
                    </w:rPr>
                    <w:t>.</w:t>
                  </w:r>
                </w:p>
              </w:tc>
            </w:tr>
          </w:tbl>
          <w:p w14:paraId="62BCFE5A" w14:textId="3F478AD9" w:rsidR="00EE4C06" w:rsidRPr="003F324D" w:rsidRDefault="00EE4C06" w:rsidP="009F6BE3">
            <w:pPr>
              <w:spacing w:before="120" w:after="120" w:line="23" w:lineRule="atLeast"/>
              <w:jc w:val="both"/>
              <w:rPr>
                <w:rFonts w:ascii="Arial" w:hAnsi="Arial" w:cs="Arial"/>
                <w:bCs/>
                <w:sz w:val="18"/>
                <w:szCs w:val="18"/>
              </w:rPr>
            </w:pPr>
          </w:p>
        </w:tc>
      </w:tr>
    </w:tbl>
    <w:p w14:paraId="4210ED29" w14:textId="77777777" w:rsidR="00560A37" w:rsidRDefault="00560A37" w:rsidP="00730154">
      <w:pPr>
        <w:spacing w:before="120" w:after="120" w:line="23" w:lineRule="atLeast"/>
        <w:jc w:val="both"/>
        <w:rPr>
          <w:rFonts w:ascii="Arial" w:hAnsi="Arial" w:cs="Arial"/>
        </w:rPr>
      </w:pPr>
      <w:bookmarkStart w:id="1" w:name="_Hlk80647632"/>
    </w:p>
    <w:bookmarkEnd w:id="1"/>
    <w:p w14:paraId="5305EF76" w14:textId="3F1E6FC6" w:rsidR="005E0630" w:rsidRPr="00730154" w:rsidRDefault="00626E49"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.11. Apartado 3. Montos de las multas</w:t>
      </w:r>
    </w:p>
    <w:p w14:paraId="25C0630D" w14:textId="1EDA0A45" w:rsidR="005E0630" w:rsidRDefault="00626E49"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 xml:space="preserve">.11.1. </w:t>
      </w:r>
      <w:r w:rsidR="005E0630" w:rsidRPr="00730154">
        <w:rPr>
          <w:rFonts w:ascii="Arial" w:hAnsi="Arial" w:cs="Arial"/>
          <w:b/>
          <w:bCs/>
          <w:color w:val="auto"/>
          <w:sz w:val="22"/>
          <w:szCs w:val="22"/>
        </w:rPr>
        <w:t>Síntesis de</w:t>
      </w:r>
      <w:r w:rsidR="005E0630" w:rsidRPr="00730154">
        <w:rPr>
          <w:rFonts w:ascii="Arial" w:hAnsi="Arial" w:cs="Arial"/>
          <w:b/>
          <w:color w:val="auto"/>
          <w:sz w:val="22"/>
          <w:szCs w:val="22"/>
        </w:rPr>
        <w:t xml:space="preserve"> los comentarios recibidos respecto de la propuesta del apartado 3. Montos de las multas</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4D36EB" w:rsidRPr="00730154" w14:paraId="4CD0F29D" w14:textId="77777777" w:rsidTr="009F6BE3">
        <w:trPr>
          <w:tblHeader/>
        </w:trPr>
        <w:tc>
          <w:tcPr>
            <w:tcW w:w="3348" w:type="dxa"/>
            <w:tcBorders>
              <w:bottom w:val="single" w:sz="8" w:space="0" w:color="auto"/>
            </w:tcBorders>
            <w:shd w:val="clear" w:color="auto" w:fill="70AD47" w:themeFill="accent6"/>
          </w:tcPr>
          <w:p w14:paraId="3E6904A5" w14:textId="77777777" w:rsidR="004D36EB" w:rsidRPr="00730154" w:rsidRDefault="004D36EB"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5DE412F1" w14:textId="77777777" w:rsidR="004D36EB" w:rsidRPr="00730154" w:rsidRDefault="004D36EB"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11B7A210" w14:textId="77777777" w:rsidR="004D36EB" w:rsidRPr="00730154" w:rsidRDefault="004D36EB"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4D36EB" w:rsidRPr="00730154" w14:paraId="7F3D7AF5" w14:textId="77777777" w:rsidTr="009F6BE3">
        <w:tc>
          <w:tcPr>
            <w:tcW w:w="9384" w:type="dxa"/>
            <w:gridSpan w:val="3"/>
            <w:tcBorders>
              <w:bottom w:val="single" w:sz="8" w:space="0" w:color="auto"/>
            </w:tcBorders>
            <w:shd w:val="clear" w:color="auto" w:fill="C5E0B3" w:themeFill="accent6" w:themeFillTint="66"/>
          </w:tcPr>
          <w:p w14:paraId="06F850B9" w14:textId="112EA094" w:rsidR="004D36EB" w:rsidRPr="00730154" w:rsidRDefault="004D36EB" w:rsidP="009F6BE3">
            <w:pPr>
              <w:spacing w:before="120" w:after="120" w:line="23" w:lineRule="atLeast"/>
              <w:jc w:val="center"/>
              <w:rPr>
                <w:rFonts w:ascii="Arial" w:hAnsi="Arial" w:cs="Arial"/>
                <w:b/>
                <w:sz w:val="18"/>
                <w:szCs w:val="18"/>
              </w:rPr>
            </w:pPr>
            <w:r w:rsidRPr="00730154">
              <w:rPr>
                <w:rFonts w:ascii="Arial" w:hAnsi="Arial" w:cs="Arial"/>
                <w:b/>
                <w:sz w:val="18"/>
                <w:szCs w:val="18"/>
              </w:rPr>
              <w:t>3. Montos de las multas</w:t>
            </w:r>
          </w:p>
        </w:tc>
      </w:tr>
      <w:tr w:rsidR="004D36EB" w:rsidRPr="003F324D" w14:paraId="441D495B" w14:textId="77777777" w:rsidTr="009F6BE3">
        <w:tc>
          <w:tcPr>
            <w:tcW w:w="3348" w:type="dxa"/>
            <w:shd w:val="clear" w:color="auto" w:fill="FFFFFF" w:themeFill="background1"/>
          </w:tcPr>
          <w:p w14:paraId="74A2FA38" w14:textId="6ABEE1F1" w:rsidR="004D36EB" w:rsidRPr="00730154" w:rsidRDefault="00F066C5" w:rsidP="009F6BE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N/A</w:t>
            </w:r>
          </w:p>
        </w:tc>
        <w:tc>
          <w:tcPr>
            <w:tcW w:w="3280" w:type="dxa"/>
            <w:shd w:val="clear" w:color="auto" w:fill="FFFFFF" w:themeFill="background1"/>
          </w:tcPr>
          <w:p w14:paraId="082E0E4E" w14:textId="68F0CF7D" w:rsidR="004D36EB" w:rsidRPr="00730154" w:rsidRDefault="00F066C5" w:rsidP="00F066C5">
            <w:pPr>
              <w:spacing w:before="120" w:after="120" w:line="23" w:lineRule="atLeast"/>
              <w:jc w:val="both"/>
              <w:rPr>
                <w:rFonts w:ascii="Arial" w:hAnsi="Arial" w:cs="Arial"/>
                <w:b/>
                <w:sz w:val="18"/>
                <w:szCs w:val="18"/>
              </w:rPr>
            </w:pPr>
            <w:r w:rsidRPr="00730154">
              <w:rPr>
                <w:rFonts w:ascii="Arial" w:hAnsi="Arial" w:cs="Arial"/>
                <w:bCs/>
                <w:sz w:val="18"/>
                <w:szCs w:val="18"/>
              </w:rPr>
              <w:t>Sugiere agregar un apartado por falsedad de declaraciones o entrega de información falsa en términos del artículo 127, fracción III, de la LFCE.</w:t>
            </w:r>
          </w:p>
        </w:tc>
        <w:tc>
          <w:tcPr>
            <w:tcW w:w="2756" w:type="dxa"/>
            <w:shd w:val="clear" w:color="auto" w:fill="FFFFFF" w:themeFill="background1"/>
          </w:tcPr>
          <w:p w14:paraId="42FC8B11" w14:textId="77777777" w:rsidR="004D36EB" w:rsidRDefault="003B54F3" w:rsidP="00F066C5">
            <w:pPr>
              <w:spacing w:before="120" w:after="120" w:line="23" w:lineRule="atLeast"/>
              <w:jc w:val="both"/>
              <w:rPr>
                <w:rFonts w:ascii="Arial" w:hAnsi="Arial" w:cs="Arial"/>
                <w:bCs/>
                <w:sz w:val="18"/>
                <w:szCs w:val="18"/>
              </w:rPr>
            </w:pPr>
            <w:r>
              <w:rPr>
                <w:rFonts w:ascii="Arial" w:hAnsi="Arial" w:cs="Arial"/>
                <w:bCs/>
                <w:sz w:val="18"/>
                <w:szCs w:val="18"/>
              </w:rPr>
              <w:t xml:space="preserve">Se considera procedente toda vez que el artículo 127 de la LFCE contempla el supuesto relativo multas por falsedad de declaraciones o entrega de información falsa. </w:t>
            </w:r>
          </w:p>
          <w:p w14:paraId="3B954A19" w14:textId="571E4213" w:rsidR="00E90061" w:rsidRDefault="00E90061" w:rsidP="00E90061">
            <w:pPr>
              <w:spacing w:before="120" w:after="120" w:line="23" w:lineRule="atLeast"/>
              <w:jc w:val="both"/>
              <w:rPr>
                <w:rFonts w:ascii="Arial" w:hAnsi="Arial" w:cs="Arial"/>
                <w:sz w:val="18"/>
                <w:szCs w:val="18"/>
              </w:rPr>
            </w:pPr>
            <w:r w:rsidRPr="00077AFA">
              <w:rPr>
                <w:rFonts w:ascii="Arial" w:hAnsi="Arial" w:cs="Arial"/>
                <w:sz w:val="18"/>
                <w:szCs w:val="18"/>
              </w:rPr>
              <w:t xml:space="preserve">Conforme a lo anterior, se </w:t>
            </w:r>
            <w:r>
              <w:rPr>
                <w:rFonts w:ascii="Arial" w:hAnsi="Arial" w:cs="Arial"/>
                <w:sz w:val="18"/>
                <w:szCs w:val="18"/>
              </w:rPr>
              <w:t>adiciona</w:t>
            </w:r>
            <w:r w:rsidR="00D54DF7">
              <w:rPr>
                <w:rFonts w:ascii="Arial" w:hAnsi="Arial" w:cs="Arial"/>
                <w:sz w:val="18"/>
                <w:szCs w:val="18"/>
              </w:rPr>
              <w:t>n</w:t>
            </w:r>
            <w:r w:rsidRPr="00077AFA">
              <w:rPr>
                <w:rFonts w:ascii="Arial" w:hAnsi="Arial" w:cs="Arial"/>
                <w:sz w:val="18"/>
                <w:szCs w:val="18"/>
              </w:rPr>
              <w:t xml:space="preserve"> al Proyecto </w:t>
            </w:r>
            <w:r w:rsidR="00D54DF7">
              <w:rPr>
                <w:rFonts w:ascii="Arial" w:hAnsi="Arial" w:cs="Arial"/>
                <w:sz w:val="18"/>
                <w:szCs w:val="18"/>
              </w:rPr>
              <w:t>los</w:t>
            </w:r>
            <w:r w:rsidRPr="00077AFA">
              <w:rPr>
                <w:rFonts w:ascii="Arial" w:hAnsi="Arial" w:cs="Arial"/>
                <w:sz w:val="18"/>
                <w:szCs w:val="18"/>
              </w:rPr>
              <w:t xml:space="preserve"> </w:t>
            </w:r>
            <w:r w:rsidR="004B124D" w:rsidRPr="00077AFA">
              <w:rPr>
                <w:rFonts w:ascii="Arial" w:hAnsi="Arial" w:cs="Arial"/>
                <w:sz w:val="18"/>
                <w:szCs w:val="18"/>
              </w:rPr>
              <w:t>siguiente</w:t>
            </w:r>
            <w:r w:rsidR="004B124D">
              <w:rPr>
                <w:rFonts w:ascii="Arial" w:hAnsi="Arial" w:cs="Arial"/>
                <w:sz w:val="18"/>
                <w:szCs w:val="18"/>
              </w:rPr>
              <w:t>s</w:t>
            </w:r>
            <w:r w:rsidR="004B124D" w:rsidRPr="00077AFA">
              <w:rPr>
                <w:rFonts w:ascii="Arial" w:hAnsi="Arial" w:cs="Arial"/>
                <w:sz w:val="18"/>
                <w:szCs w:val="18"/>
              </w:rPr>
              <w:t xml:space="preserve"> párrafos</w:t>
            </w:r>
            <w:r w:rsidRPr="00077AFA">
              <w:rPr>
                <w:rFonts w:ascii="Arial" w:hAnsi="Arial" w:cs="Arial"/>
                <w:sz w:val="18"/>
                <w:szCs w:val="18"/>
              </w:rPr>
              <w:t>:</w:t>
            </w:r>
          </w:p>
          <w:tbl>
            <w:tblPr>
              <w:tblStyle w:val="Tablaconcuadrcula"/>
              <w:tblW w:w="0" w:type="auto"/>
              <w:jc w:val="center"/>
              <w:tblLook w:val="04A0" w:firstRow="1" w:lastRow="0" w:firstColumn="1" w:lastColumn="0" w:noHBand="0" w:noVBand="1"/>
            </w:tblPr>
            <w:tblGrid>
              <w:gridCol w:w="2530"/>
            </w:tblGrid>
            <w:tr w:rsidR="00E90061" w:rsidRPr="00730154" w14:paraId="1D35FAAF"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9487ED1" w14:textId="32E603BA" w:rsidR="00E90061" w:rsidRPr="00730154" w:rsidRDefault="00E90061" w:rsidP="00E90061">
                  <w:pPr>
                    <w:spacing w:before="120" w:after="120" w:line="23" w:lineRule="atLeast"/>
                    <w:jc w:val="center"/>
                    <w:rPr>
                      <w:rFonts w:ascii="Arial" w:hAnsi="Arial" w:cs="Arial"/>
                      <w:b/>
                      <w:sz w:val="18"/>
                      <w:szCs w:val="18"/>
                    </w:rPr>
                  </w:pPr>
                  <w:r>
                    <w:rPr>
                      <w:rFonts w:ascii="Arial" w:hAnsi="Arial" w:cs="Arial"/>
                      <w:b/>
                      <w:sz w:val="18"/>
                      <w:szCs w:val="18"/>
                    </w:rPr>
                    <w:t>Adici</w:t>
                  </w:r>
                  <w:r w:rsidR="004B124D">
                    <w:rPr>
                      <w:rFonts w:ascii="Arial" w:hAnsi="Arial" w:cs="Arial"/>
                      <w:b/>
                      <w:sz w:val="18"/>
                      <w:szCs w:val="18"/>
                    </w:rPr>
                    <w:t>ón</w:t>
                  </w:r>
                  <w:r w:rsidRPr="00730154">
                    <w:rPr>
                      <w:rFonts w:ascii="Arial" w:hAnsi="Arial" w:cs="Arial"/>
                      <w:b/>
                      <w:sz w:val="18"/>
                      <w:szCs w:val="18"/>
                    </w:rPr>
                    <w:t xml:space="preserve"> al Proyecto </w:t>
                  </w:r>
                </w:p>
              </w:tc>
            </w:tr>
            <w:tr w:rsidR="00E90061" w:rsidRPr="00730154" w14:paraId="10A44CC2"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F59135" w14:textId="77777777" w:rsidR="007A0E86" w:rsidRPr="00730154" w:rsidRDefault="007A0E86" w:rsidP="007A0E86">
                  <w:pPr>
                    <w:keepNext/>
                    <w:spacing w:before="120" w:after="120" w:line="23" w:lineRule="atLeast"/>
                    <w:jc w:val="both"/>
                    <w:outlineLvl w:val="1"/>
                    <w:rPr>
                      <w:rFonts w:ascii="Arial" w:eastAsia="Times New Roman" w:hAnsi="Arial" w:cs="Arial"/>
                      <w:b/>
                      <w:sz w:val="18"/>
                      <w:szCs w:val="18"/>
                      <w:lang w:eastAsia="es-MX"/>
                    </w:rPr>
                  </w:pPr>
                  <w:r w:rsidRPr="00730154">
                    <w:rPr>
                      <w:rFonts w:ascii="Arial" w:eastAsia="Times New Roman" w:hAnsi="Arial" w:cs="Arial"/>
                      <w:b/>
                      <w:sz w:val="18"/>
                      <w:szCs w:val="18"/>
                      <w:lang w:eastAsia="es-MX"/>
                    </w:rPr>
                    <w:t>3.9. Información falsa</w:t>
                  </w:r>
                </w:p>
                <w:p w14:paraId="61D071A6" w14:textId="77777777" w:rsidR="007A0E86" w:rsidRPr="00AB6BFB" w:rsidRDefault="007A0E86" w:rsidP="007A0E86">
                  <w:pPr>
                    <w:spacing w:line="276" w:lineRule="auto"/>
                    <w:jc w:val="both"/>
                    <w:rPr>
                      <w:rFonts w:ascii="Arial" w:eastAsia="Times New Roman" w:hAnsi="Arial" w:cs="Arial"/>
                      <w:sz w:val="18"/>
                      <w:szCs w:val="18"/>
                    </w:rPr>
                  </w:pPr>
                  <w:r w:rsidRPr="00AB6BFB">
                    <w:rPr>
                      <w:rFonts w:ascii="Arial" w:eastAsia="Times New Roman" w:hAnsi="Arial" w:cs="Arial"/>
                      <w:sz w:val="18"/>
                      <w:szCs w:val="18"/>
                    </w:rPr>
                    <w:t xml:space="preserve">Se refiere a situaciones en las que los AE faltaren a la verdad sobre hechos que se tratan de conocer, o </w:t>
                  </w:r>
                  <w:r w:rsidRPr="00AB6BFB">
                    <w:rPr>
                      <w:rFonts w:ascii="Arial" w:eastAsia="Times New Roman" w:hAnsi="Arial" w:cs="Arial"/>
                      <w:sz w:val="18"/>
                      <w:szCs w:val="18"/>
                    </w:rPr>
                    <w:lastRenderedPageBreak/>
                    <w:t>aspectos, cantidades, calidades u otras circunstancias que sean relevantes para establecer el sentido de una resolución, ya sea afirmando, negando u ocultando maliciosamente la existencia de algún dato que pueda servir de prueba de la verdad o falsedad del hecho principal, o que aumente o disminuya su gravedad, o que sirva para establecer la naturaleza o particularidades de orden técnico o científico que importen para que la autoridad pronuncie resolución sobre la materia cuestionada en el asunto donde la información se vierta.</w:t>
                  </w:r>
                </w:p>
                <w:p w14:paraId="3ADECE7C" w14:textId="14A4CD84" w:rsidR="00E90061" w:rsidRPr="00730154" w:rsidRDefault="007A0E86" w:rsidP="007A0E86">
                  <w:pPr>
                    <w:pStyle w:val="Textoindependiente"/>
                    <w:spacing w:before="120" w:line="23" w:lineRule="atLeast"/>
                    <w:jc w:val="both"/>
                    <w:rPr>
                      <w:rFonts w:ascii="Arial" w:hAnsi="Arial" w:cs="Arial"/>
                      <w:sz w:val="18"/>
                      <w:szCs w:val="18"/>
                    </w:rPr>
                  </w:pPr>
                  <w:r w:rsidRPr="00730154">
                    <w:rPr>
                      <w:rFonts w:ascii="Arial" w:eastAsia="Times New Roman" w:hAnsi="Arial" w:cs="Arial"/>
                      <w:sz w:val="18"/>
                      <w:szCs w:val="18"/>
                    </w:rPr>
                    <w:t>El artículo 127, fracción III, de la LFCE establece una multa para los AE por haber declarado falsamente o entregar información falsa al Instituto, hasta por el equivalente a 175, 000 UMA.</w:t>
                  </w:r>
                </w:p>
              </w:tc>
            </w:tr>
          </w:tbl>
          <w:p w14:paraId="6F2D9E42" w14:textId="463038B6" w:rsidR="00E90061" w:rsidRPr="003F324D" w:rsidRDefault="00E90061" w:rsidP="00F066C5">
            <w:pPr>
              <w:spacing w:before="120" w:after="120" w:line="23" w:lineRule="atLeast"/>
              <w:jc w:val="both"/>
              <w:rPr>
                <w:rFonts w:ascii="Arial" w:hAnsi="Arial" w:cs="Arial"/>
                <w:bCs/>
                <w:sz w:val="18"/>
                <w:szCs w:val="18"/>
              </w:rPr>
            </w:pPr>
          </w:p>
        </w:tc>
      </w:tr>
    </w:tbl>
    <w:p w14:paraId="417B9DFF" w14:textId="77777777" w:rsidR="004D36EB" w:rsidRPr="004D36EB" w:rsidRDefault="004D36EB" w:rsidP="004D36EB"/>
    <w:p w14:paraId="51CE0EDE" w14:textId="2BB342A5" w:rsidR="005E0630" w:rsidRPr="00730154" w:rsidRDefault="008B1B1F"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.12. Apartado 3.6 Insumos esenciales y barreras a la competencia</w:t>
      </w:r>
    </w:p>
    <w:p w14:paraId="691D4D4A" w14:textId="6C423B32" w:rsidR="005E0630" w:rsidRDefault="008B1B1F" w:rsidP="00730154">
      <w:pPr>
        <w:pStyle w:val="Ttulo3"/>
        <w:spacing w:before="120" w:after="120" w:line="23" w:lineRule="atLeast"/>
        <w:jc w:val="both"/>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 xml:space="preserve">.12.1. </w:t>
      </w:r>
      <w:r w:rsidR="005E0630" w:rsidRPr="00730154">
        <w:rPr>
          <w:rFonts w:ascii="Arial" w:hAnsi="Arial" w:cs="Arial"/>
          <w:b/>
          <w:bCs/>
          <w:color w:val="auto"/>
          <w:sz w:val="22"/>
          <w:szCs w:val="22"/>
        </w:rPr>
        <w:t>Síntesis de</w:t>
      </w:r>
      <w:r w:rsidR="005E0630" w:rsidRPr="00730154">
        <w:rPr>
          <w:rFonts w:ascii="Arial" w:hAnsi="Arial" w:cs="Arial"/>
          <w:b/>
          <w:color w:val="auto"/>
          <w:sz w:val="22"/>
          <w:szCs w:val="22"/>
        </w:rPr>
        <w:t xml:space="preserve"> los comentarios recibidos respecto de la propuesta del apartado 3.6 Insumos esenciales y barreras a la competencia</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851130" w:rsidRPr="00730154" w14:paraId="5A292F92" w14:textId="77777777" w:rsidTr="009F6BE3">
        <w:trPr>
          <w:tblHeader/>
        </w:trPr>
        <w:tc>
          <w:tcPr>
            <w:tcW w:w="3348" w:type="dxa"/>
            <w:tcBorders>
              <w:bottom w:val="single" w:sz="8" w:space="0" w:color="auto"/>
            </w:tcBorders>
            <w:shd w:val="clear" w:color="auto" w:fill="70AD47" w:themeFill="accent6"/>
          </w:tcPr>
          <w:p w14:paraId="545378AF" w14:textId="77777777" w:rsidR="00851130" w:rsidRPr="00730154" w:rsidRDefault="00851130"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2149AC77" w14:textId="77777777" w:rsidR="00851130" w:rsidRPr="00730154" w:rsidRDefault="00851130"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226A115F" w14:textId="77777777" w:rsidR="00851130" w:rsidRPr="00730154" w:rsidRDefault="00851130"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51130" w:rsidRPr="00730154" w14:paraId="607CAD67" w14:textId="77777777" w:rsidTr="009F6BE3">
        <w:tc>
          <w:tcPr>
            <w:tcW w:w="9384" w:type="dxa"/>
            <w:gridSpan w:val="3"/>
            <w:tcBorders>
              <w:bottom w:val="single" w:sz="8" w:space="0" w:color="auto"/>
            </w:tcBorders>
            <w:shd w:val="clear" w:color="auto" w:fill="C5E0B3" w:themeFill="accent6" w:themeFillTint="66"/>
          </w:tcPr>
          <w:p w14:paraId="7912C782" w14:textId="07B18746" w:rsidR="00851130" w:rsidRPr="00730154" w:rsidRDefault="00851130" w:rsidP="009F6BE3">
            <w:pPr>
              <w:spacing w:before="120" w:after="120" w:line="23" w:lineRule="atLeast"/>
              <w:jc w:val="center"/>
              <w:rPr>
                <w:rFonts w:ascii="Arial" w:hAnsi="Arial" w:cs="Arial"/>
                <w:b/>
                <w:sz w:val="18"/>
                <w:szCs w:val="18"/>
              </w:rPr>
            </w:pPr>
            <w:r w:rsidRPr="00730154">
              <w:rPr>
                <w:rFonts w:ascii="Arial" w:hAnsi="Arial" w:cs="Arial"/>
                <w:b/>
                <w:bCs/>
                <w:sz w:val="18"/>
                <w:szCs w:val="18"/>
                <w:lang w:val="es-ES"/>
              </w:rPr>
              <w:t>3.6 Insumos esenciales y barreras a la competencia</w:t>
            </w:r>
          </w:p>
        </w:tc>
      </w:tr>
      <w:tr w:rsidR="00851130" w:rsidRPr="003F324D" w14:paraId="4C3BE376" w14:textId="77777777" w:rsidTr="009F6BE3">
        <w:tc>
          <w:tcPr>
            <w:tcW w:w="3348" w:type="dxa"/>
            <w:shd w:val="clear" w:color="auto" w:fill="FFFFFF" w:themeFill="background1"/>
          </w:tcPr>
          <w:p w14:paraId="2A1526E7" w14:textId="0FF61F95" w:rsidR="00851130" w:rsidRPr="00730154" w:rsidRDefault="00851130" w:rsidP="009F6BE3">
            <w:pPr>
              <w:spacing w:before="120" w:after="120" w:line="23" w:lineRule="atLeast"/>
              <w:jc w:val="both"/>
              <w:rPr>
                <w:rFonts w:ascii="Arial" w:hAnsi="Arial" w:cs="Arial"/>
                <w:bCs/>
                <w:sz w:val="18"/>
                <w:szCs w:val="18"/>
                <w:lang w:val="es-ES"/>
              </w:rPr>
            </w:pPr>
            <w:r w:rsidRPr="00730154">
              <w:rPr>
                <w:rFonts w:ascii="Arial" w:hAnsi="Arial" w:cs="Arial"/>
                <w:bCs/>
                <w:sz w:val="18"/>
                <w:szCs w:val="18"/>
                <w:lang w:val="es-ES_tradnl"/>
              </w:rPr>
              <w:t>“El artículo 127, fracción XIV, de la LFCE establece multas de hasta por el equivalente a 10% de los ingresos del AE que controle un insumo esencial, por incumplir la regulación establecida con respecto al mismo y a quien no obedezca la orden de eliminar una barrera a la competencia.”</w:t>
            </w:r>
          </w:p>
        </w:tc>
        <w:tc>
          <w:tcPr>
            <w:tcW w:w="3280" w:type="dxa"/>
            <w:shd w:val="clear" w:color="auto" w:fill="FFFFFF" w:themeFill="background1"/>
          </w:tcPr>
          <w:p w14:paraId="088247A2" w14:textId="1B34F8DD" w:rsidR="00851130" w:rsidRPr="00730154" w:rsidRDefault="00851130" w:rsidP="009F6BE3">
            <w:pPr>
              <w:spacing w:before="120" w:after="120" w:line="23" w:lineRule="atLeast"/>
              <w:jc w:val="both"/>
              <w:rPr>
                <w:rFonts w:ascii="Arial" w:hAnsi="Arial" w:cs="Arial"/>
                <w:b/>
                <w:sz w:val="18"/>
                <w:szCs w:val="18"/>
              </w:rPr>
            </w:pPr>
            <w:r w:rsidRPr="00730154">
              <w:rPr>
                <w:rFonts w:ascii="Arial" w:hAnsi="Arial" w:cs="Arial"/>
                <w:sz w:val="18"/>
                <w:szCs w:val="18"/>
              </w:rPr>
              <w:t>Considera que no mencionar o especificar los supuestos que este numeral establece puede crear controversia entre las partes como con la norma misma.</w:t>
            </w:r>
          </w:p>
        </w:tc>
        <w:tc>
          <w:tcPr>
            <w:tcW w:w="2756" w:type="dxa"/>
            <w:shd w:val="clear" w:color="auto" w:fill="FFFFFF" w:themeFill="background1"/>
          </w:tcPr>
          <w:p w14:paraId="0902D1EB" w14:textId="42DBB163" w:rsidR="00851130" w:rsidRPr="003F324D" w:rsidRDefault="004020BC"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toda vez que en </w:t>
            </w:r>
            <w:r w:rsidR="00CE3E77">
              <w:rPr>
                <w:rFonts w:ascii="Arial" w:hAnsi="Arial" w:cs="Arial"/>
                <w:bCs/>
                <w:sz w:val="18"/>
                <w:szCs w:val="18"/>
              </w:rPr>
              <w:t xml:space="preserve">el artículo 127, fracción XIV, de la LFCE se señalan los supuestos por los cuales se podrá imponer una multa hasta por el equivalente al 10% de los ingresos del AE. </w:t>
            </w:r>
          </w:p>
        </w:tc>
      </w:tr>
    </w:tbl>
    <w:p w14:paraId="50B53F8A" w14:textId="77777777" w:rsidR="00851130" w:rsidRPr="00851130" w:rsidRDefault="00851130" w:rsidP="00851130"/>
    <w:p w14:paraId="653B09D7" w14:textId="196EE5F4" w:rsidR="00451987" w:rsidRDefault="008B1B1F" w:rsidP="00451987">
      <w:pPr>
        <w:pStyle w:val="Ttulo2"/>
        <w:spacing w:before="120" w:after="120" w:line="23" w:lineRule="atLeast"/>
        <w:rPr>
          <w:rFonts w:ascii="Arial" w:hAnsi="Arial" w:cs="Arial"/>
          <w:b/>
          <w:color w:val="auto"/>
          <w:sz w:val="22"/>
          <w:szCs w:val="22"/>
        </w:rPr>
      </w:pPr>
      <w:r>
        <w:rPr>
          <w:rFonts w:ascii="Arial" w:hAnsi="Arial" w:cs="Arial"/>
          <w:b/>
          <w:color w:val="auto"/>
          <w:sz w:val="22"/>
          <w:szCs w:val="22"/>
        </w:rPr>
        <w:lastRenderedPageBreak/>
        <w:t>8</w:t>
      </w:r>
      <w:r w:rsidR="005E0630" w:rsidRPr="00730154">
        <w:rPr>
          <w:rFonts w:ascii="Arial" w:hAnsi="Arial" w:cs="Arial"/>
          <w:b/>
          <w:color w:val="auto"/>
          <w:sz w:val="22"/>
          <w:szCs w:val="22"/>
        </w:rPr>
        <w:t>.1</w:t>
      </w:r>
      <w:r w:rsidR="005E2B6F">
        <w:rPr>
          <w:rFonts w:ascii="Arial" w:hAnsi="Arial" w:cs="Arial"/>
          <w:b/>
          <w:color w:val="auto"/>
          <w:sz w:val="22"/>
          <w:szCs w:val="22"/>
        </w:rPr>
        <w:t>3</w:t>
      </w:r>
      <w:r w:rsidR="005E0630" w:rsidRPr="00730154">
        <w:rPr>
          <w:rFonts w:ascii="Arial" w:hAnsi="Arial" w:cs="Arial"/>
          <w:b/>
          <w:color w:val="auto"/>
          <w:sz w:val="22"/>
          <w:szCs w:val="22"/>
        </w:rPr>
        <w:t xml:space="preserve">. </w:t>
      </w:r>
      <w:r w:rsidR="00451987">
        <w:rPr>
          <w:rFonts w:ascii="Arial" w:hAnsi="Arial" w:cs="Arial"/>
          <w:b/>
          <w:color w:val="auto"/>
          <w:sz w:val="22"/>
          <w:szCs w:val="22"/>
        </w:rPr>
        <w:t>Apartado 4. Elementos para la determinación de la multa</w:t>
      </w:r>
    </w:p>
    <w:p w14:paraId="72C2B05C" w14:textId="7F3485ED" w:rsidR="00451987" w:rsidRDefault="00451987" w:rsidP="00451987">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Pr="00730154">
        <w:rPr>
          <w:rFonts w:ascii="Arial" w:hAnsi="Arial" w:cs="Arial"/>
          <w:b/>
          <w:color w:val="auto"/>
          <w:sz w:val="22"/>
          <w:szCs w:val="22"/>
        </w:rPr>
        <w:t>.1</w:t>
      </w:r>
      <w:r w:rsidR="005E2B6F">
        <w:rPr>
          <w:rFonts w:ascii="Arial" w:hAnsi="Arial" w:cs="Arial"/>
          <w:b/>
          <w:color w:val="auto"/>
          <w:sz w:val="22"/>
          <w:szCs w:val="22"/>
        </w:rPr>
        <w:t>3</w:t>
      </w:r>
      <w:r w:rsidRPr="00730154">
        <w:rPr>
          <w:rFonts w:ascii="Arial" w:hAnsi="Arial" w:cs="Arial"/>
          <w:b/>
          <w:color w:val="auto"/>
          <w:sz w:val="22"/>
          <w:szCs w:val="22"/>
        </w:rPr>
        <w:t xml:space="preserve">.1. </w:t>
      </w:r>
      <w:r w:rsidRPr="00730154">
        <w:rPr>
          <w:rFonts w:ascii="Arial" w:hAnsi="Arial" w:cs="Arial"/>
          <w:b/>
          <w:bCs/>
          <w:color w:val="auto"/>
          <w:sz w:val="22"/>
          <w:szCs w:val="22"/>
        </w:rPr>
        <w:t>Síntesis de</w:t>
      </w:r>
      <w:r w:rsidRPr="00730154">
        <w:rPr>
          <w:rFonts w:ascii="Arial" w:hAnsi="Arial" w:cs="Arial"/>
          <w:b/>
          <w:color w:val="auto"/>
          <w:sz w:val="22"/>
          <w:szCs w:val="22"/>
        </w:rPr>
        <w:t xml:space="preserve"> los comentarios recibidos respecto de la propuesta del apartado 4</w:t>
      </w:r>
      <w:r>
        <w:rPr>
          <w:rFonts w:ascii="Arial" w:hAnsi="Arial" w:cs="Arial"/>
          <w:b/>
          <w:color w:val="auto"/>
          <w:sz w:val="22"/>
          <w:szCs w:val="22"/>
        </w:rPr>
        <w:t>. Elementos para la determinación de la multa</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67"/>
        <w:gridCol w:w="3686"/>
        <w:gridCol w:w="2731"/>
      </w:tblGrid>
      <w:tr w:rsidR="00451987" w:rsidRPr="00730154" w14:paraId="781E331E" w14:textId="77777777" w:rsidTr="0022399E">
        <w:trPr>
          <w:tblHeader/>
        </w:trPr>
        <w:tc>
          <w:tcPr>
            <w:tcW w:w="2967" w:type="dxa"/>
            <w:tcBorders>
              <w:bottom w:val="single" w:sz="8" w:space="0" w:color="auto"/>
            </w:tcBorders>
            <w:shd w:val="clear" w:color="auto" w:fill="70AD47" w:themeFill="accent6"/>
          </w:tcPr>
          <w:p w14:paraId="6235CF34" w14:textId="77777777" w:rsidR="00451987" w:rsidRPr="00730154" w:rsidRDefault="00451987" w:rsidP="0022399E">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686" w:type="dxa"/>
            <w:tcBorders>
              <w:bottom w:val="single" w:sz="8" w:space="0" w:color="auto"/>
            </w:tcBorders>
            <w:shd w:val="clear" w:color="auto" w:fill="70AD47" w:themeFill="accent6"/>
          </w:tcPr>
          <w:p w14:paraId="455AF7A6" w14:textId="77777777" w:rsidR="00451987" w:rsidRPr="00730154" w:rsidRDefault="00451987" w:rsidP="0022399E">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31" w:type="dxa"/>
            <w:tcBorders>
              <w:bottom w:val="single" w:sz="8" w:space="0" w:color="auto"/>
            </w:tcBorders>
            <w:shd w:val="clear" w:color="auto" w:fill="70AD47" w:themeFill="accent6"/>
          </w:tcPr>
          <w:p w14:paraId="4DDB7B83" w14:textId="77777777" w:rsidR="00451987" w:rsidRPr="00730154" w:rsidRDefault="00451987" w:rsidP="0022399E">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451987" w:rsidRPr="00730154" w14:paraId="30D10EB6" w14:textId="77777777" w:rsidTr="0022399E">
        <w:tc>
          <w:tcPr>
            <w:tcW w:w="9384" w:type="dxa"/>
            <w:gridSpan w:val="3"/>
            <w:tcBorders>
              <w:bottom w:val="single" w:sz="8" w:space="0" w:color="auto"/>
            </w:tcBorders>
            <w:shd w:val="clear" w:color="auto" w:fill="C5E0B3" w:themeFill="accent6" w:themeFillTint="66"/>
          </w:tcPr>
          <w:p w14:paraId="399C00A2" w14:textId="77777777" w:rsidR="00451987" w:rsidRPr="00730154" w:rsidRDefault="00451987" w:rsidP="0022399E">
            <w:pPr>
              <w:spacing w:before="120" w:after="120" w:line="23" w:lineRule="atLeast"/>
              <w:jc w:val="center"/>
              <w:rPr>
                <w:rFonts w:ascii="Arial" w:hAnsi="Arial" w:cs="Arial"/>
                <w:b/>
                <w:sz w:val="18"/>
                <w:szCs w:val="18"/>
              </w:rPr>
            </w:pPr>
            <w:r w:rsidRPr="00730154">
              <w:rPr>
                <w:rFonts w:ascii="Arial" w:hAnsi="Arial" w:cs="Arial"/>
                <w:b/>
                <w:sz w:val="18"/>
                <w:szCs w:val="18"/>
              </w:rPr>
              <w:t>4.1. Gravedad de la infracción</w:t>
            </w:r>
          </w:p>
        </w:tc>
      </w:tr>
      <w:tr w:rsidR="00451987" w14:paraId="63123BA9" w14:textId="77777777" w:rsidTr="0022399E">
        <w:trPr>
          <w:trHeight w:val="3014"/>
        </w:trPr>
        <w:tc>
          <w:tcPr>
            <w:tcW w:w="2967" w:type="dxa"/>
            <w:shd w:val="clear" w:color="auto" w:fill="FFFFFF" w:themeFill="background1"/>
          </w:tcPr>
          <w:p w14:paraId="61E1A950" w14:textId="77777777" w:rsidR="00451987" w:rsidRPr="004436F1" w:rsidRDefault="00451987" w:rsidP="0022399E">
            <w:pPr>
              <w:pStyle w:val="Textonotapie"/>
              <w:jc w:val="both"/>
              <w:rPr>
                <w:rFonts w:ascii="Arial" w:hAnsi="Arial" w:cs="Arial"/>
                <w:sz w:val="18"/>
                <w:szCs w:val="18"/>
              </w:rPr>
            </w:pPr>
            <w:r w:rsidRPr="004436F1">
              <w:rPr>
                <w:rFonts w:ascii="Arial" w:hAnsi="Arial" w:cs="Arial"/>
                <w:sz w:val="18"/>
                <w:szCs w:val="18"/>
                <w:lang w:val="es-ES"/>
              </w:rPr>
              <w:t xml:space="preserve">Nota al pie 46. </w:t>
            </w:r>
            <w:r w:rsidRPr="004436F1">
              <w:rPr>
                <w:rFonts w:ascii="Arial" w:hAnsi="Arial" w:cs="Arial"/>
                <w:sz w:val="18"/>
                <w:szCs w:val="18"/>
              </w:rPr>
              <w:t xml:space="preserve">Disponible en el siguiente vínculo electrónico: </w:t>
            </w:r>
            <w:r w:rsidRPr="009F6BE3">
              <w:rPr>
                <w:rFonts w:ascii="Arial" w:hAnsi="Arial" w:cs="Arial"/>
                <w:sz w:val="18"/>
                <w:szCs w:val="18"/>
              </w:rPr>
              <w:t>https://www.fcc.gov/document/commissions-forfeiture-policy-statement-and-amendment-section-180</w:t>
            </w:r>
            <w:r w:rsidRPr="004436F1">
              <w:rPr>
                <w:rFonts w:ascii="Arial" w:hAnsi="Arial" w:cs="Arial"/>
                <w:sz w:val="18"/>
                <w:szCs w:val="18"/>
              </w:rPr>
              <w:t xml:space="preserve"> </w:t>
            </w:r>
          </w:p>
          <w:p w14:paraId="29294438" w14:textId="77777777" w:rsidR="00451987" w:rsidRPr="00730154" w:rsidRDefault="00451987" w:rsidP="0022399E">
            <w:pPr>
              <w:spacing w:before="120" w:after="120" w:line="23" w:lineRule="atLeast"/>
              <w:jc w:val="both"/>
              <w:rPr>
                <w:rFonts w:ascii="Arial" w:hAnsi="Arial" w:cs="Arial"/>
                <w:sz w:val="18"/>
                <w:szCs w:val="18"/>
                <w:lang w:val="es-ES"/>
              </w:rPr>
            </w:pPr>
            <w:r w:rsidRPr="009F6BE3">
              <w:rPr>
                <w:rFonts w:ascii="Arial" w:hAnsi="Arial" w:cs="Arial"/>
                <w:sz w:val="18"/>
                <w:szCs w:val="18"/>
              </w:rPr>
              <w:t>https://www.fcc.gov/document/commissions-forfeiture-policy-statement-and-amendment-section-180</w:t>
            </w:r>
          </w:p>
        </w:tc>
        <w:tc>
          <w:tcPr>
            <w:tcW w:w="3686" w:type="dxa"/>
            <w:shd w:val="clear" w:color="auto" w:fill="FFFFFF" w:themeFill="background1"/>
          </w:tcPr>
          <w:p w14:paraId="2F2AF03C" w14:textId="77777777" w:rsidR="00451987" w:rsidRPr="00730154" w:rsidRDefault="00451987" w:rsidP="0022399E">
            <w:pPr>
              <w:spacing w:before="120" w:after="120" w:line="23" w:lineRule="atLeast"/>
              <w:jc w:val="both"/>
              <w:rPr>
                <w:rFonts w:ascii="Arial" w:hAnsi="Arial" w:cs="Arial"/>
                <w:bCs/>
                <w:sz w:val="18"/>
                <w:szCs w:val="18"/>
              </w:rPr>
            </w:pPr>
            <w:r>
              <w:rPr>
                <w:rFonts w:ascii="Arial" w:hAnsi="Arial" w:cs="Arial"/>
                <w:bCs/>
                <w:sz w:val="18"/>
                <w:szCs w:val="18"/>
              </w:rPr>
              <w:t xml:space="preserve">Mediante oficio IFT/211/CGMR/146/2021, la Coordinación General de Mejora Regulatoria sugiere eliminar el vínculo electrónico que se encuentra repetido. </w:t>
            </w:r>
          </w:p>
        </w:tc>
        <w:tc>
          <w:tcPr>
            <w:tcW w:w="2731" w:type="dxa"/>
            <w:shd w:val="clear" w:color="auto" w:fill="FFFFFF" w:themeFill="background1"/>
          </w:tcPr>
          <w:p w14:paraId="1D4F0A1C" w14:textId="77777777" w:rsidR="00451987" w:rsidRDefault="00451987" w:rsidP="0022399E">
            <w:pPr>
              <w:spacing w:before="120" w:after="120" w:line="23" w:lineRule="atLeast"/>
              <w:jc w:val="both"/>
              <w:rPr>
                <w:rFonts w:ascii="Arial" w:hAnsi="Arial" w:cs="Arial"/>
                <w:bCs/>
                <w:sz w:val="18"/>
                <w:szCs w:val="18"/>
              </w:rPr>
            </w:pPr>
            <w:r>
              <w:rPr>
                <w:rFonts w:ascii="Arial" w:hAnsi="Arial" w:cs="Arial"/>
                <w:bCs/>
                <w:sz w:val="18"/>
                <w:szCs w:val="18"/>
              </w:rPr>
              <w:t xml:space="preserve">Se considera procedente toda vez que se repite el vínculo electrónico. </w:t>
            </w:r>
          </w:p>
          <w:p w14:paraId="7C43A59E" w14:textId="77777777" w:rsidR="00451987" w:rsidRDefault="00451987" w:rsidP="0022399E">
            <w:pPr>
              <w:spacing w:before="120" w:after="120" w:line="23" w:lineRule="atLeast"/>
              <w:jc w:val="both"/>
              <w:rPr>
                <w:rFonts w:ascii="Arial" w:hAnsi="Arial" w:cs="Arial"/>
                <w:sz w:val="18"/>
                <w:szCs w:val="18"/>
              </w:rPr>
            </w:pPr>
            <w:r w:rsidRPr="00077AFA">
              <w:rPr>
                <w:rFonts w:ascii="Arial" w:hAnsi="Arial" w:cs="Arial"/>
                <w:sz w:val="18"/>
                <w:szCs w:val="18"/>
              </w:rPr>
              <w:t xml:space="preserve">Conforme a lo anterior, se modifica </w:t>
            </w:r>
            <w:r>
              <w:rPr>
                <w:rFonts w:ascii="Arial" w:hAnsi="Arial" w:cs="Arial"/>
                <w:sz w:val="18"/>
                <w:szCs w:val="18"/>
              </w:rPr>
              <w:t xml:space="preserve">la nota al pie 46 del </w:t>
            </w:r>
            <w:r w:rsidRPr="00077AFA">
              <w:rPr>
                <w:rFonts w:ascii="Arial" w:hAnsi="Arial" w:cs="Arial"/>
                <w:sz w:val="18"/>
                <w:szCs w:val="18"/>
              </w:rPr>
              <w:t>Proyecto:</w:t>
            </w:r>
          </w:p>
          <w:tbl>
            <w:tblPr>
              <w:tblStyle w:val="Tablaconcuadrcula"/>
              <w:tblW w:w="0" w:type="auto"/>
              <w:jc w:val="center"/>
              <w:tblLayout w:type="fixed"/>
              <w:tblLook w:val="04A0" w:firstRow="1" w:lastRow="0" w:firstColumn="1" w:lastColumn="0" w:noHBand="0" w:noVBand="1"/>
            </w:tblPr>
            <w:tblGrid>
              <w:gridCol w:w="2410"/>
            </w:tblGrid>
            <w:tr w:rsidR="00451987" w:rsidRPr="00730154" w14:paraId="02DF10A1" w14:textId="77777777" w:rsidTr="0022399E">
              <w:trPr>
                <w:trHeight w:val="311"/>
                <w:jc w:val="center"/>
              </w:trPr>
              <w:tc>
                <w:tcPr>
                  <w:tcW w:w="241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A35893F" w14:textId="77777777" w:rsidR="00451987" w:rsidRPr="00730154" w:rsidRDefault="00451987" w:rsidP="0022399E">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451987" w:rsidRPr="00730154" w14:paraId="7EB3B3AA" w14:textId="77777777" w:rsidTr="0022399E">
              <w:trPr>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8DA2B1" w14:textId="77777777" w:rsidR="00451987" w:rsidRPr="004436F1" w:rsidRDefault="00451987" w:rsidP="0022399E">
                  <w:pPr>
                    <w:pStyle w:val="Textonotapie"/>
                    <w:jc w:val="both"/>
                    <w:rPr>
                      <w:rFonts w:ascii="Arial" w:hAnsi="Arial" w:cs="Arial"/>
                      <w:sz w:val="18"/>
                      <w:szCs w:val="18"/>
                    </w:rPr>
                  </w:pPr>
                  <w:r w:rsidRPr="004436F1">
                    <w:rPr>
                      <w:rFonts w:ascii="Arial" w:hAnsi="Arial" w:cs="Arial"/>
                      <w:sz w:val="18"/>
                      <w:szCs w:val="18"/>
                    </w:rPr>
                    <w:t xml:space="preserve">Disponible en el siguiente vínculo electrónico: </w:t>
                  </w:r>
                  <w:r w:rsidRPr="009F6BE3">
                    <w:rPr>
                      <w:rFonts w:ascii="Arial" w:hAnsi="Arial" w:cs="Arial"/>
                      <w:sz w:val="18"/>
                      <w:szCs w:val="18"/>
                    </w:rPr>
                    <w:t>https://www.fcc.gov/document/commissions-forfeiture-policy-statement-and-amendment-section-180</w:t>
                  </w:r>
                  <w:r w:rsidRPr="004436F1">
                    <w:rPr>
                      <w:rFonts w:ascii="Arial" w:hAnsi="Arial" w:cs="Arial"/>
                      <w:sz w:val="18"/>
                      <w:szCs w:val="18"/>
                    </w:rPr>
                    <w:t xml:space="preserve"> </w:t>
                  </w:r>
                </w:p>
                <w:p w14:paraId="4EA72E9A" w14:textId="77777777" w:rsidR="00451987" w:rsidRPr="00730154" w:rsidRDefault="00451987" w:rsidP="0022399E">
                  <w:pPr>
                    <w:pStyle w:val="Textoindependiente"/>
                    <w:spacing w:before="120" w:line="23" w:lineRule="atLeast"/>
                    <w:jc w:val="both"/>
                    <w:rPr>
                      <w:rFonts w:ascii="Arial" w:hAnsi="Arial" w:cs="Arial"/>
                      <w:sz w:val="18"/>
                      <w:szCs w:val="18"/>
                    </w:rPr>
                  </w:pPr>
                  <w:r w:rsidRPr="009F6BE3">
                    <w:rPr>
                      <w:rFonts w:ascii="Arial" w:hAnsi="Arial" w:cs="Arial"/>
                      <w:sz w:val="18"/>
                      <w:szCs w:val="18"/>
                    </w:rPr>
                    <w:t>https://www.fcc.gov/document/commissions-forfeiture-policy-statement-and-amendment-section-180</w:t>
                  </w:r>
                </w:p>
              </w:tc>
            </w:tr>
          </w:tbl>
          <w:p w14:paraId="4F008C46" w14:textId="77777777" w:rsidR="00451987" w:rsidRDefault="00451987" w:rsidP="0022399E">
            <w:pPr>
              <w:spacing w:before="120" w:after="120" w:line="23" w:lineRule="atLeast"/>
              <w:jc w:val="both"/>
              <w:rPr>
                <w:rFonts w:ascii="Arial" w:hAnsi="Arial" w:cs="Arial"/>
                <w:bCs/>
                <w:sz w:val="18"/>
                <w:szCs w:val="18"/>
              </w:rPr>
            </w:pPr>
          </w:p>
        </w:tc>
      </w:tr>
    </w:tbl>
    <w:p w14:paraId="62E9AA04" w14:textId="77777777" w:rsidR="00451987" w:rsidRPr="00451987" w:rsidRDefault="00451987" w:rsidP="00451987"/>
    <w:p w14:paraId="170985B7" w14:textId="12952783" w:rsidR="005E0630" w:rsidRPr="00730154" w:rsidRDefault="00451987"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8.1</w:t>
      </w:r>
      <w:r w:rsidR="005E2B6F">
        <w:rPr>
          <w:rFonts w:ascii="Arial" w:hAnsi="Arial" w:cs="Arial"/>
          <w:b/>
          <w:color w:val="auto"/>
          <w:sz w:val="22"/>
          <w:szCs w:val="22"/>
        </w:rPr>
        <w:t>4</w:t>
      </w:r>
      <w:r>
        <w:rPr>
          <w:rFonts w:ascii="Arial" w:hAnsi="Arial" w:cs="Arial"/>
          <w:b/>
          <w:color w:val="auto"/>
          <w:sz w:val="22"/>
          <w:szCs w:val="22"/>
        </w:rPr>
        <w:t xml:space="preserve">. </w:t>
      </w:r>
      <w:r w:rsidR="005E0630" w:rsidRPr="00730154">
        <w:rPr>
          <w:rFonts w:ascii="Arial" w:hAnsi="Arial" w:cs="Arial"/>
          <w:b/>
          <w:color w:val="auto"/>
          <w:sz w:val="22"/>
          <w:szCs w:val="22"/>
        </w:rPr>
        <w:t>Apartado 4.1 Gravedad de la infracción</w:t>
      </w:r>
    </w:p>
    <w:p w14:paraId="635B7DC4" w14:textId="13805940" w:rsidR="005E0630" w:rsidRDefault="008B1B1F"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5E0630" w:rsidRPr="00730154">
        <w:rPr>
          <w:rFonts w:ascii="Arial" w:hAnsi="Arial" w:cs="Arial"/>
          <w:b/>
          <w:color w:val="auto"/>
          <w:sz w:val="22"/>
          <w:szCs w:val="22"/>
        </w:rPr>
        <w:t>.1</w:t>
      </w:r>
      <w:r w:rsidR="005E2B6F">
        <w:rPr>
          <w:rFonts w:ascii="Arial" w:hAnsi="Arial" w:cs="Arial"/>
          <w:b/>
          <w:color w:val="auto"/>
          <w:sz w:val="22"/>
          <w:szCs w:val="22"/>
        </w:rPr>
        <w:t>4</w:t>
      </w:r>
      <w:r w:rsidR="005E0630" w:rsidRPr="00730154">
        <w:rPr>
          <w:rFonts w:ascii="Arial" w:hAnsi="Arial" w:cs="Arial"/>
          <w:b/>
          <w:color w:val="auto"/>
          <w:sz w:val="22"/>
          <w:szCs w:val="22"/>
        </w:rPr>
        <w:t xml:space="preserve">.1. </w:t>
      </w:r>
      <w:r w:rsidR="005E0630" w:rsidRPr="00730154">
        <w:rPr>
          <w:rFonts w:ascii="Arial" w:hAnsi="Arial" w:cs="Arial"/>
          <w:b/>
          <w:bCs/>
          <w:color w:val="auto"/>
          <w:sz w:val="22"/>
          <w:szCs w:val="22"/>
        </w:rPr>
        <w:t>Síntesis de</w:t>
      </w:r>
      <w:r w:rsidR="005E0630" w:rsidRPr="00730154">
        <w:rPr>
          <w:rFonts w:ascii="Arial" w:hAnsi="Arial" w:cs="Arial"/>
          <w:b/>
          <w:color w:val="auto"/>
          <w:sz w:val="22"/>
          <w:szCs w:val="22"/>
        </w:rPr>
        <w:t xml:space="preserve"> los comentarios recibidos respecto de la propuesta del apartado </w:t>
      </w:r>
      <w:r w:rsidR="00356F49" w:rsidRPr="00730154">
        <w:rPr>
          <w:rFonts w:ascii="Arial" w:hAnsi="Arial" w:cs="Arial"/>
          <w:b/>
          <w:color w:val="auto"/>
          <w:sz w:val="22"/>
          <w:szCs w:val="22"/>
        </w:rPr>
        <w:t>4.1 Gravedad de la infracción</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67"/>
        <w:gridCol w:w="3686"/>
        <w:gridCol w:w="2731"/>
      </w:tblGrid>
      <w:tr w:rsidR="005C2CF0" w:rsidRPr="00730154" w14:paraId="5F7F8150" w14:textId="77777777" w:rsidTr="009F6BE3">
        <w:trPr>
          <w:tblHeader/>
        </w:trPr>
        <w:tc>
          <w:tcPr>
            <w:tcW w:w="2967" w:type="dxa"/>
            <w:tcBorders>
              <w:bottom w:val="single" w:sz="8" w:space="0" w:color="auto"/>
            </w:tcBorders>
            <w:shd w:val="clear" w:color="auto" w:fill="70AD47" w:themeFill="accent6"/>
          </w:tcPr>
          <w:p w14:paraId="33D6676C" w14:textId="77777777" w:rsidR="005C2CF0" w:rsidRPr="00730154" w:rsidRDefault="005C2CF0"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686" w:type="dxa"/>
            <w:tcBorders>
              <w:bottom w:val="single" w:sz="8" w:space="0" w:color="auto"/>
            </w:tcBorders>
            <w:shd w:val="clear" w:color="auto" w:fill="70AD47" w:themeFill="accent6"/>
          </w:tcPr>
          <w:p w14:paraId="434A64A3" w14:textId="77777777" w:rsidR="005C2CF0" w:rsidRPr="00730154" w:rsidRDefault="005C2CF0"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31" w:type="dxa"/>
            <w:tcBorders>
              <w:bottom w:val="single" w:sz="8" w:space="0" w:color="auto"/>
            </w:tcBorders>
            <w:shd w:val="clear" w:color="auto" w:fill="70AD47" w:themeFill="accent6"/>
          </w:tcPr>
          <w:p w14:paraId="1803A938" w14:textId="77777777" w:rsidR="005C2CF0" w:rsidRPr="00730154" w:rsidRDefault="005C2CF0"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5C2CF0" w:rsidRPr="00730154" w14:paraId="03436933" w14:textId="77777777" w:rsidTr="009F6BE3">
        <w:tc>
          <w:tcPr>
            <w:tcW w:w="9384" w:type="dxa"/>
            <w:gridSpan w:val="3"/>
            <w:tcBorders>
              <w:bottom w:val="single" w:sz="8" w:space="0" w:color="auto"/>
            </w:tcBorders>
            <w:shd w:val="clear" w:color="auto" w:fill="C5E0B3" w:themeFill="accent6" w:themeFillTint="66"/>
          </w:tcPr>
          <w:p w14:paraId="3990CE34" w14:textId="1F32D229" w:rsidR="005C2CF0" w:rsidRPr="00730154" w:rsidRDefault="005C2CF0" w:rsidP="009F6BE3">
            <w:pPr>
              <w:spacing w:before="120" w:after="120" w:line="23" w:lineRule="atLeast"/>
              <w:jc w:val="center"/>
              <w:rPr>
                <w:rFonts w:ascii="Arial" w:hAnsi="Arial" w:cs="Arial"/>
                <w:b/>
                <w:sz w:val="18"/>
                <w:szCs w:val="18"/>
              </w:rPr>
            </w:pPr>
            <w:r w:rsidRPr="00730154">
              <w:rPr>
                <w:rFonts w:ascii="Arial" w:hAnsi="Arial" w:cs="Arial"/>
                <w:b/>
                <w:sz w:val="18"/>
                <w:szCs w:val="18"/>
              </w:rPr>
              <w:t>4.1. Gravedad de la infracción</w:t>
            </w:r>
          </w:p>
        </w:tc>
      </w:tr>
      <w:tr w:rsidR="005C2CF0" w:rsidRPr="003F324D" w14:paraId="221A5A52" w14:textId="77777777" w:rsidTr="009F6BE3">
        <w:tc>
          <w:tcPr>
            <w:tcW w:w="2967" w:type="dxa"/>
            <w:shd w:val="clear" w:color="auto" w:fill="FFFFFF" w:themeFill="background1"/>
          </w:tcPr>
          <w:p w14:paraId="4C2787DE" w14:textId="60D9F887" w:rsidR="005C2CF0" w:rsidRPr="00730154" w:rsidRDefault="003F7EEA" w:rsidP="009F6BE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“El elemento de gravedad para determinar el monto de la multa de una infracción está intrínsecamente relacionado con los principios de razonabilidad y proporcionalidad ya referidos y también con los que se abordan en las secciones 4.2 a 4.7. de esta Guía.”</w:t>
            </w:r>
          </w:p>
        </w:tc>
        <w:tc>
          <w:tcPr>
            <w:tcW w:w="3686" w:type="dxa"/>
            <w:shd w:val="clear" w:color="auto" w:fill="FFFFFF" w:themeFill="background1"/>
          </w:tcPr>
          <w:p w14:paraId="23942E4A" w14:textId="189BF2A6" w:rsidR="005C2CF0" w:rsidRPr="00730154" w:rsidRDefault="003F7EEA" w:rsidP="009F6BE3">
            <w:pPr>
              <w:spacing w:before="120" w:after="120" w:line="23" w:lineRule="atLeast"/>
              <w:jc w:val="both"/>
              <w:rPr>
                <w:rFonts w:ascii="Arial" w:hAnsi="Arial" w:cs="Arial"/>
                <w:b/>
                <w:sz w:val="18"/>
                <w:szCs w:val="18"/>
              </w:rPr>
            </w:pPr>
            <w:r w:rsidRPr="00730154">
              <w:rPr>
                <w:rFonts w:ascii="Arial" w:hAnsi="Arial" w:cs="Arial"/>
                <w:bCs/>
                <w:sz w:val="18"/>
                <w:szCs w:val="18"/>
              </w:rPr>
              <w:t>Sugiere adicionar el análisis de la afectación al ejercicio de las atribuciones y detallar que, conforme al artículo 130 de la LFCE, la gravedad no es un elemento de análisis autónomo, sino que para determinarla se considera el análisis que se haga de los demás elementos.</w:t>
            </w:r>
          </w:p>
        </w:tc>
        <w:tc>
          <w:tcPr>
            <w:tcW w:w="2731" w:type="dxa"/>
            <w:shd w:val="clear" w:color="auto" w:fill="FFFFFF" w:themeFill="background1"/>
          </w:tcPr>
          <w:p w14:paraId="2104691F" w14:textId="77777777" w:rsidR="004A4CF3" w:rsidRDefault="003F7EEA" w:rsidP="009F6BE3">
            <w:pPr>
              <w:spacing w:before="120" w:after="120" w:line="23" w:lineRule="atLeast"/>
              <w:jc w:val="both"/>
              <w:rPr>
                <w:rFonts w:ascii="Arial" w:hAnsi="Arial" w:cs="Arial"/>
                <w:bCs/>
                <w:sz w:val="18"/>
                <w:szCs w:val="18"/>
              </w:rPr>
            </w:pPr>
            <w:r>
              <w:rPr>
                <w:rFonts w:ascii="Arial" w:hAnsi="Arial" w:cs="Arial"/>
                <w:bCs/>
                <w:sz w:val="18"/>
                <w:szCs w:val="18"/>
              </w:rPr>
              <w:t>Se considera improcedente</w:t>
            </w:r>
            <w:r w:rsidR="00AA4104">
              <w:rPr>
                <w:rFonts w:ascii="Arial" w:hAnsi="Arial" w:cs="Arial"/>
                <w:bCs/>
                <w:sz w:val="18"/>
                <w:szCs w:val="18"/>
              </w:rPr>
              <w:t xml:space="preserve"> por una parte</w:t>
            </w:r>
            <w:r>
              <w:rPr>
                <w:rFonts w:ascii="Arial" w:hAnsi="Arial" w:cs="Arial"/>
                <w:bCs/>
                <w:sz w:val="18"/>
                <w:szCs w:val="18"/>
              </w:rPr>
              <w:t xml:space="preserve"> toda vez que la Guía ya contiene un análisis de este elemento en el apartado 4.7</w:t>
            </w:r>
            <w:r w:rsidR="00AA4104">
              <w:rPr>
                <w:rFonts w:ascii="Arial" w:hAnsi="Arial" w:cs="Arial"/>
                <w:bCs/>
                <w:sz w:val="18"/>
                <w:szCs w:val="18"/>
              </w:rPr>
              <w:t xml:space="preserve"> y procedente en el sentido de que conforme al artículo 130 de la LFCE la gravedad no es un elemento de análisis autónomo.</w:t>
            </w:r>
          </w:p>
          <w:p w14:paraId="0484A921" w14:textId="22F97576" w:rsidR="004A4CF3" w:rsidRDefault="004A4CF3" w:rsidP="004A4CF3">
            <w:pPr>
              <w:spacing w:before="120" w:after="120" w:line="23" w:lineRule="atLeast"/>
              <w:jc w:val="both"/>
              <w:rPr>
                <w:rFonts w:ascii="Arial" w:hAnsi="Arial" w:cs="Arial"/>
                <w:sz w:val="18"/>
                <w:szCs w:val="18"/>
              </w:rPr>
            </w:pPr>
            <w:r w:rsidRPr="00077AFA">
              <w:rPr>
                <w:rFonts w:ascii="Arial" w:hAnsi="Arial" w:cs="Arial"/>
                <w:sz w:val="18"/>
                <w:szCs w:val="18"/>
              </w:rPr>
              <w:t xml:space="preserve">Conforme a lo anterior, se </w:t>
            </w:r>
            <w:r>
              <w:rPr>
                <w:rFonts w:ascii="Arial" w:hAnsi="Arial" w:cs="Arial"/>
                <w:sz w:val="18"/>
                <w:szCs w:val="18"/>
              </w:rPr>
              <w:t>adiciona</w:t>
            </w:r>
            <w:r w:rsidRPr="00077AFA">
              <w:rPr>
                <w:rFonts w:ascii="Arial" w:hAnsi="Arial" w:cs="Arial"/>
                <w:sz w:val="18"/>
                <w:szCs w:val="18"/>
              </w:rPr>
              <w:t xml:space="preserve"> al Proyecto el siguiente párrafo:</w:t>
            </w:r>
          </w:p>
          <w:tbl>
            <w:tblPr>
              <w:tblStyle w:val="Tablaconcuadrcula"/>
              <w:tblW w:w="0" w:type="auto"/>
              <w:jc w:val="center"/>
              <w:tblLayout w:type="fixed"/>
              <w:tblLook w:val="04A0" w:firstRow="1" w:lastRow="0" w:firstColumn="1" w:lastColumn="0" w:noHBand="0" w:noVBand="1"/>
            </w:tblPr>
            <w:tblGrid>
              <w:gridCol w:w="2410"/>
            </w:tblGrid>
            <w:tr w:rsidR="009F6BE3" w:rsidRPr="00730154" w14:paraId="72CF086C" w14:textId="77777777" w:rsidTr="009F6BE3">
              <w:trPr>
                <w:trHeight w:val="311"/>
                <w:jc w:val="center"/>
              </w:trPr>
              <w:tc>
                <w:tcPr>
                  <w:tcW w:w="241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56BC770" w14:textId="60E135FE" w:rsidR="009F6BE3" w:rsidRPr="00730154" w:rsidRDefault="009F6BE3" w:rsidP="009F6BE3">
                  <w:pPr>
                    <w:spacing w:before="120" w:after="120" w:line="23" w:lineRule="atLeast"/>
                    <w:jc w:val="center"/>
                    <w:rPr>
                      <w:rFonts w:ascii="Arial" w:hAnsi="Arial" w:cs="Arial"/>
                      <w:b/>
                      <w:sz w:val="18"/>
                      <w:szCs w:val="18"/>
                    </w:rPr>
                  </w:pPr>
                  <w:r>
                    <w:rPr>
                      <w:rFonts w:ascii="Arial" w:hAnsi="Arial" w:cs="Arial"/>
                      <w:b/>
                      <w:sz w:val="18"/>
                      <w:szCs w:val="18"/>
                    </w:rPr>
                    <w:t>Adición</w:t>
                  </w:r>
                  <w:r w:rsidRPr="00730154">
                    <w:rPr>
                      <w:rFonts w:ascii="Arial" w:hAnsi="Arial" w:cs="Arial"/>
                      <w:b/>
                      <w:sz w:val="18"/>
                      <w:szCs w:val="18"/>
                    </w:rPr>
                    <w:t xml:space="preserve"> al Proyecto </w:t>
                  </w:r>
                </w:p>
              </w:tc>
            </w:tr>
            <w:tr w:rsidR="009F6BE3" w:rsidRPr="00730154" w14:paraId="7815AFE6" w14:textId="77777777" w:rsidTr="009F6BE3">
              <w:trPr>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2135B1" w14:textId="15B90FBD" w:rsidR="009F6BE3" w:rsidRPr="00730154" w:rsidRDefault="009F6BE3" w:rsidP="009F6BE3">
                  <w:pPr>
                    <w:pStyle w:val="Textoindependiente"/>
                    <w:spacing w:before="120" w:line="23" w:lineRule="atLeast"/>
                    <w:jc w:val="both"/>
                    <w:rPr>
                      <w:rFonts w:ascii="Arial" w:hAnsi="Arial" w:cs="Arial"/>
                      <w:sz w:val="18"/>
                      <w:szCs w:val="18"/>
                    </w:rPr>
                  </w:pPr>
                  <w:r w:rsidRPr="009F6BE3">
                    <w:rPr>
                      <w:rFonts w:ascii="Arial" w:hAnsi="Arial" w:cs="Arial"/>
                      <w:sz w:val="18"/>
                      <w:szCs w:val="18"/>
                    </w:rPr>
                    <w:t xml:space="preserve">Asimismo, se precisa que en términos del artículo 130 de la LFCE, la gravedad no es un elemento de análisis </w:t>
                  </w:r>
                  <w:r w:rsidRPr="009F6BE3">
                    <w:rPr>
                      <w:rFonts w:ascii="Arial" w:hAnsi="Arial" w:cs="Arial"/>
                      <w:sz w:val="18"/>
                      <w:szCs w:val="18"/>
                    </w:rPr>
                    <w:lastRenderedPageBreak/>
                    <w:t>autónomo, sino que, para determinar la gravedad de la infracción, se considera el análisis que se haga de los elementos contenidos en el precepto referido.</w:t>
                  </w:r>
                </w:p>
              </w:tc>
            </w:tr>
          </w:tbl>
          <w:p w14:paraId="571BED4F" w14:textId="77777777" w:rsidR="009F6BE3" w:rsidRDefault="009F6BE3" w:rsidP="004A4CF3">
            <w:pPr>
              <w:spacing w:before="120" w:after="120" w:line="23" w:lineRule="atLeast"/>
              <w:jc w:val="both"/>
              <w:rPr>
                <w:rFonts w:ascii="Arial" w:hAnsi="Arial" w:cs="Arial"/>
                <w:sz w:val="18"/>
                <w:szCs w:val="18"/>
              </w:rPr>
            </w:pPr>
          </w:p>
          <w:p w14:paraId="06C080D0" w14:textId="38DD68A6" w:rsidR="005C2CF0" w:rsidRPr="003F324D" w:rsidRDefault="00AA4104" w:rsidP="009F6BE3">
            <w:pPr>
              <w:spacing w:before="120" w:after="120" w:line="23" w:lineRule="atLeast"/>
              <w:jc w:val="both"/>
              <w:rPr>
                <w:rFonts w:ascii="Arial" w:hAnsi="Arial" w:cs="Arial"/>
                <w:bCs/>
                <w:sz w:val="18"/>
                <w:szCs w:val="18"/>
              </w:rPr>
            </w:pPr>
            <w:r>
              <w:rPr>
                <w:rFonts w:ascii="Arial" w:hAnsi="Arial" w:cs="Arial"/>
                <w:bCs/>
                <w:sz w:val="18"/>
                <w:szCs w:val="18"/>
              </w:rPr>
              <w:t xml:space="preserve"> </w:t>
            </w:r>
          </w:p>
        </w:tc>
      </w:tr>
      <w:tr w:rsidR="004436F1" w:rsidRPr="003F324D" w14:paraId="799A015F" w14:textId="77777777" w:rsidTr="009F6BE3">
        <w:trPr>
          <w:trHeight w:val="3014"/>
        </w:trPr>
        <w:tc>
          <w:tcPr>
            <w:tcW w:w="2967" w:type="dxa"/>
            <w:shd w:val="clear" w:color="auto" w:fill="FFFFFF" w:themeFill="background1"/>
          </w:tcPr>
          <w:p w14:paraId="5F0F36B0" w14:textId="0F4CFE52" w:rsidR="004436F1" w:rsidRPr="004436F1" w:rsidRDefault="004436F1" w:rsidP="004436F1">
            <w:pPr>
              <w:pStyle w:val="Textonotapie"/>
              <w:jc w:val="both"/>
              <w:rPr>
                <w:rFonts w:ascii="Arial" w:hAnsi="Arial" w:cs="Arial"/>
                <w:sz w:val="18"/>
                <w:szCs w:val="18"/>
              </w:rPr>
            </w:pPr>
            <w:r w:rsidRPr="004436F1">
              <w:rPr>
                <w:rFonts w:ascii="Arial" w:hAnsi="Arial" w:cs="Arial"/>
                <w:sz w:val="18"/>
                <w:szCs w:val="18"/>
                <w:lang w:val="es-ES"/>
              </w:rPr>
              <w:lastRenderedPageBreak/>
              <w:t xml:space="preserve">Nota al pie 46. </w:t>
            </w:r>
            <w:r w:rsidRPr="004436F1">
              <w:rPr>
                <w:rFonts w:ascii="Arial" w:hAnsi="Arial" w:cs="Arial"/>
                <w:sz w:val="18"/>
                <w:szCs w:val="18"/>
              </w:rPr>
              <w:t xml:space="preserve">Disponible en el siguiente vínculo electrónico: </w:t>
            </w:r>
            <w:r w:rsidRPr="009F6BE3">
              <w:rPr>
                <w:rFonts w:ascii="Arial" w:hAnsi="Arial" w:cs="Arial"/>
                <w:sz w:val="18"/>
                <w:szCs w:val="18"/>
              </w:rPr>
              <w:t>https://www.fcc.gov/document/commissions-forfeiture-policy-statement-and-amendment-section-180</w:t>
            </w:r>
            <w:r w:rsidRPr="004436F1">
              <w:rPr>
                <w:rFonts w:ascii="Arial" w:hAnsi="Arial" w:cs="Arial"/>
                <w:sz w:val="18"/>
                <w:szCs w:val="18"/>
              </w:rPr>
              <w:t xml:space="preserve"> </w:t>
            </w:r>
          </w:p>
          <w:p w14:paraId="336AE7B5" w14:textId="43419604" w:rsidR="004436F1" w:rsidRPr="00730154" w:rsidRDefault="004436F1" w:rsidP="004436F1">
            <w:pPr>
              <w:spacing w:before="120" w:after="120" w:line="23" w:lineRule="atLeast"/>
              <w:jc w:val="both"/>
              <w:rPr>
                <w:rFonts w:ascii="Arial" w:hAnsi="Arial" w:cs="Arial"/>
                <w:sz w:val="18"/>
                <w:szCs w:val="18"/>
                <w:lang w:val="es-ES"/>
              </w:rPr>
            </w:pPr>
            <w:r w:rsidRPr="009F6BE3">
              <w:rPr>
                <w:rFonts w:ascii="Arial" w:hAnsi="Arial" w:cs="Arial"/>
                <w:sz w:val="18"/>
                <w:szCs w:val="18"/>
              </w:rPr>
              <w:t>https://www.fcc.gov/document/commissions-forfeiture-policy-statement-and-amendment-section-180</w:t>
            </w:r>
          </w:p>
        </w:tc>
        <w:tc>
          <w:tcPr>
            <w:tcW w:w="3686" w:type="dxa"/>
            <w:shd w:val="clear" w:color="auto" w:fill="FFFFFF" w:themeFill="background1"/>
          </w:tcPr>
          <w:p w14:paraId="2747E68B" w14:textId="2756F076" w:rsidR="004436F1" w:rsidRPr="00730154" w:rsidRDefault="004436F1" w:rsidP="009F6BE3">
            <w:pPr>
              <w:spacing w:before="120" w:after="120" w:line="23" w:lineRule="atLeast"/>
              <w:jc w:val="both"/>
              <w:rPr>
                <w:rFonts w:ascii="Arial" w:hAnsi="Arial" w:cs="Arial"/>
                <w:bCs/>
                <w:sz w:val="18"/>
                <w:szCs w:val="18"/>
              </w:rPr>
            </w:pPr>
            <w:r>
              <w:rPr>
                <w:rFonts w:ascii="Arial" w:hAnsi="Arial" w:cs="Arial"/>
                <w:bCs/>
                <w:sz w:val="18"/>
                <w:szCs w:val="18"/>
              </w:rPr>
              <w:t xml:space="preserve">Mediante oficio IFT/211/CGMR/146/2021, la Coordinación General de Mejora Regulatoria sugiere eliminar el vínculo electrónico que se encuentra repetido. </w:t>
            </w:r>
          </w:p>
        </w:tc>
        <w:tc>
          <w:tcPr>
            <w:tcW w:w="2731" w:type="dxa"/>
            <w:shd w:val="clear" w:color="auto" w:fill="FFFFFF" w:themeFill="background1"/>
          </w:tcPr>
          <w:p w14:paraId="21AA562F" w14:textId="7B22C466" w:rsidR="006F311B" w:rsidRDefault="006F311B" w:rsidP="006F311B">
            <w:pPr>
              <w:spacing w:before="120" w:after="120" w:line="23" w:lineRule="atLeast"/>
              <w:jc w:val="both"/>
              <w:rPr>
                <w:rFonts w:ascii="Arial" w:hAnsi="Arial" w:cs="Arial"/>
                <w:bCs/>
                <w:sz w:val="18"/>
                <w:szCs w:val="18"/>
              </w:rPr>
            </w:pPr>
            <w:r>
              <w:rPr>
                <w:rFonts w:ascii="Arial" w:hAnsi="Arial" w:cs="Arial"/>
                <w:bCs/>
                <w:sz w:val="18"/>
                <w:szCs w:val="18"/>
              </w:rPr>
              <w:t xml:space="preserve">Se considera procedente toda vez que se repite el vínculo electrónico. </w:t>
            </w:r>
          </w:p>
          <w:p w14:paraId="59466033" w14:textId="66D987B8" w:rsidR="006F311B" w:rsidRDefault="006F311B" w:rsidP="006F311B">
            <w:pPr>
              <w:spacing w:before="120" w:after="120" w:line="23" w:lineRule="atLeast"/>
              <w:jc w:val="both"/>
              <w:rPr>
                <w:rFonts w:ascii="Arial" w:hAnsi="Arial" w:cs="Arial"/>
                <w:sz w:val="18"/>
                <w:szCs w:val="18"/>
              </w:rPr>
            </w:pPr>
            <w:r w:rsidRPr="00077AFA">
              <w:rPr>
                <w:rFonts w:ascii="Arial" w:hAnsi="Arial" w:cs="Arial"/>
                <w:sz w:val="18"/>
                <w:szCs w:val="18"/>
              </w:rPr>
              <w:t xml:space="preserve">Conforme a lo anterior, se modifica </w:t>
            </w:r>
            <w:r>
              <w:rPr>
                <w:rFonts w:ascii="Arial" w:hAnsi="Arial" w:cs="Arial"/>
                <w:sz w:val="18"/>
                <w:szCs w:val="18"/>
              </w:rPr>
              <w:t xml:space="preserve">la nota al pie 46 del </w:t>
            </w:r>
            <w:r w:rsidRPr="00077AFA">
              <w:rPr>
                <w:rFonts w:ascii="Arial" w:hAnsi="Arial" w:cs="Arial"/>
                <w:sz w:val="18"/>
                <w:szCs w:val="18"/>
              </w:rPr>
              <w:t>Proyecto:</w:t>
            </w:r>
          </w:p>
          <w:tbl>
            <w:tblPr>
              <w:tblStyle w:val="Tablaconcuadrcula"/>
              <w:tblW w:w="0" w:type="auto"/>
              <w:jc w:val="center"/>
              <w:tblLayout w:type="fixed"/>
              <w:tblLook w:val="04A0" w:firstRow="1" w:lastRow="0" w:firstColumn="1" w:lastColumn="0" w:noHBand="0" w:noVBand="1"/>
            </w:tblPr>
            <w:tblGrid>
              <w:gridCol w:w="2410"/>
            </w:tblGrid>
            <w:tr w:rsidR="006F311B" w:rsidRPr="00730154" w14:paraId="2DAC1C6B" w14:textId="77777777" w:rsidTr="009F6BE3">
              <w:trPr>
                <w:trHeight w:val="311"/>
                <w:jc w:val="center"/>
              </w:trPr>
              <w:tc>
                <w:tcPr>
                  <w:tcW w:w="241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BE57AFC" w14:textId="77777777" w:rsidR="006F311B" w:rsidRPr="00730154" w:rsidRDefault="006F311B" w:rsidP="006F311B">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6F311B" w:rsidRPr="00730154" w14:paraId="0C7D304B" w14:textId="77777777" w:rsidTr="009F6BE3">
              <w:trPr>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07AE653" w14:textId="77777777" w:rsidR="009F6BE3" w:rsidRPr="004436F1" w:rsidRDefault="009F6BE3" w:rsidP="009F6BE3">
                  <w:pPr>
                    <w:pStyle w:val="Textonotapie"/>
                    <w:jc w:val="both"/>
                    <w:rPr>
                      <w:rFonts w:ascii="Arial" w:hAnsi="Arial" w:cs="Arial"/>
                      <w:sz w:val="18"/>
                      <w:szCs w:val="18"/>
                    </w:rPr>
                  </w:pPr>
                  <w:r w:rsidRPr="004436F1">
                    <w:rPr>
                      <w:rFonts w:ascii="Arial" w:hAnsi="Arial" w:cs="Arial"/>
                      <w:sz w:val="18"/>
                      <w:szCs w:val="18"/>
                    </w:rPr>
                    <w:t xml:space="preserve">Disponible en el siguiente vínculo electrónico: </w:t>
                  </w:r>
                  <w:r w:rsidRPr="009F6BE3">
                    <w:rPr>
                      <w:rFonts w:ascii="Arial" w:hAnsi="Arial" w:cs="Arial"/>
                      <w:sz w:val="18"/>
                      <w:szCs w:val="18"/>
                    </w:rPr>
                    <w:t>https://www.fcc.gov/document/commissions-forfeiture-policy-statement-and-amendment-section-180</w:t>
                  </w:r>
                  <w:r w:rsidRPr="004436F1">
                    <w:rPr>
                      <w:rFonts w:ascii="Arial" w:hAnsi="Arial" w:cs="Arial"/>
                      <w:sz w:val="18"/>
                      <w:szCs w:val="18"/>
                    </w:rPr>
                    <w:t xml:space="preserve"> </w:t>
                  </w:r>
                </w:p>
                <w:p w14:paraId="3E4F8A66" w14:textId="45E2DF7C" w:rsidR="006F311B" w:rsidRPr="00730154" w:rsidRDefault="009F6BE3" w:rsidP="009F6BE3">
                  <w:pPr>
                    <w:pStyle w:val="Textoindependiente"/>
                    <w:spacing w:before="120" w:line="23" w:lineRule="atLeast"/>
                    <w:jc w:val="both"/>
                    <w:rPr>
                      <w:rFonts w:ascii="Arial" w:hAnsi="Arial" w:cs="Arial"/>
                      <w:sz w:val="18"/>
                      <w:szCs w:val="18"/>
                    </w:rPr>
                  </w:pPr>
                  <w:r w:rsidRPr="009F6BE3">
                    <w:rPr>
                      <w:rFonts w:ascii="Arial" w:hAnsi="Arial" w:cs="Arial"/>
                      <w:sz w:val="18"/>
                      <w:szCs w:val="18"/>
                    </w:rPr>
                    <w:t>https://www.fcc.gov/document/commissions-forfeiture-policy-statement-and-amendment-section-180</w:t>
                  </w:r>
                </w:p>
              </w:tc>
            </w:tr>
          </w:tbl>
          <w:p w14:paraId="0C642988" w14:textId="77777777" w:rsidR="004436F1" w:rsidRDefault="004436F1" w:rsidP="009F6BE3">
            <w:pPr>
              <w:spacing w:before="120" w:after="120" w:line="23" w:lineRule="atLeast"/>
              <w:jc w:val="both"/>
              <w:rPr>
                <w:rFonts w:ascii="Arial" w:hAnsi="Arial" w:cs="Arial"/>
                <w:bCs/>
                <w:sz w:val="18"/>
                <w:szCs w:val="18"/>
              </w:rPr>
            </w:pPr>
          </w:p>
        </w:tc>
      </w:tr>
    </w:tbl>
    <w:p w14:paraId="242ED60D" w14:textId="77777777" w:rsidR="005C2CF0" w:rsidRPr="005C2CF0" w:rsidRDefault="005C2CF0" w:rsidP="005C2CF0"/>
    <w:p w14:paraId="663FAF34" w14:textId="22398F67" w:rsidR="00356F49" w:rsidRPr="00730154" w:rsidRDefault="008B1B1F"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.15. Apartado 4.2 Daño causado</w:t>
      </w:r>
    </w:p>
    <w:p w14:paraId="34315C72" w14:textId="3326021C" w:rsidR="00356F49" w:rsidRDefault="008B1B1F"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 xml:space="preserve">.15.1. </w:t>
      </w:r>
      <w:r w:rsidR="00356F49" w:rsidRPr="00730154">
        <w:rPr>
          <w:rFonts w:ascii="Arial" w:hAnsi="Arial" w:cs="Arial"/>
          <w:b/>
          <w:bCs/>
          <w:color w:val="auto"/>
          <w:sz w:val="22"/>
          <w:szCs w:val="22"/>
        </w:rPr>
        <w:t>Síntesis de</w:t>
      </w:r>
      <w:r w:rsidR="00356F49" w:rsidRPr="00730154">
        <w:rPr>
          <w:rFonts w:ascii="Arial" w:hAnsi="Arial" w:cs="Arial"/>
          <w:b/>
          <w:color w:val="auto"/>
          <w:sz w:val="22"/>
          <w:szCs w:val="22"/>
        </w:rPr>
        <w:t xml:space="preserve"> los comentarios recibidos respecto de la propuesta del apartado 4.2 Daño causado</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4F66CB" w:rsidRPr="00730154" w14:paraId="702AA505" w14:textId="77777777" w:rsidTr="009F6BE3">
        <w:trPr>
          <w:tblHeader/>
        </w:trPr>
        <w:tc>
          <w:tcPr>
            <w:tcW w:w="3348" w:type="dxa"/>
            <w:tcBorders>
              <w:bottom w:val="single" w:sz="8" w:space="0" w:color="auto"/>
            </w:tcBorders>
            <w:shd w:val="clear" w:color="auto" w:fill="70AD47" w:themeFill="accent6"/>
          </w:tcPr>
          <w:p w14:paraId="7CD27732" w14:textId="77777777" w:rsidR="004F66CB" w:rsidRPr="00730154" w:rsidRDefault="004F66CB"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3133AD4E" w14:textId="77777777" w:rsidR="004F66CB" w:rsidRPr="00730154" w:rsidRDefault="004F66CB"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268C51CB" w14:textId="77777777" w:rsidR="004F66CB" w:rsidRPr="00730154" w:rsidRDefault="004F66CB"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4F66CB" w:rsidRPr="00730154" w14:paraId="2154A484" w14:textId="77777777" w:rsidTr="009F6BE3">
        <w:tc>
          <w:tcPr>
            <w:tcW w:w="9384" w:type="dxa"/>
            <w:gridSpan w:val="3"/>
            <w:tcBorders>
              <w:bottom w:val="single" w:sz="8" w:space="0" w:color="auto"/>
            </w:tcBorders>
            <w:shd w:val="clear" w:color="auto" w:fill="C5E0B3" w:themeFill="accent6" w:themeFillTint="66"/>
          </w:tcPr>
          <w:p w14:paraId="2F09AD93" w14:textId="4479ED47" w:rsidR="004F66CB" w:rsidRPr="00730154" w:rsidRDefault="004F66CB" w:rsidP="009F6BE3">
            <w:pPr>
              <w:spacing w:before="120" w:after="120" w:line="23" w:lineRule="atLeast"/>
              <w:jc w:val="center"/>
              <w:rPr>
                <w:rFonts w:ascii="Arial" w:hAnsi="Arial" w:cs="Arial"/>
                <w:b/>
                <w:sz w:val="18"/>
                <w:szCs w:val="18"/>
              </w:rPr>
            </w:pPr>
            <w:r w:rsidRPr="00730154">
              <w:rPr>
                <w:rFonts w:ascii="Arial" w:hAnsi="Arial" w:cs="Arial"/>
                <w:b/>
                <w:sz w:val="18"/>
                <w:szCs w:val="18"/>
              </w:rPr>
              <w:t>4.2. Daño causado</w:t>
            </w:r>
          </w:p>
        </w:tc>
      </w:tr>
      <w:tr w:rsidR="004F66CB" w:rsidRPr="003F324D" w14:paraId="21FB544F" w14:textId="77777777" w:rsidTr="009F6BE3">
        <w:tc>
          <w:tcPr>
            <w:tcW w:w="3348" w:type="dxa"/>
            <w:vMerge w:val="restart"/>
            <w:shd w:val="clear" w:color="auto" w:fill="FFFFFF" w:themeFill="background1"/>
          </w:tcPr>
          <w:p w14:paraId="473813B3" w14:textId="7A952D39" w:rsidR="004F66CB" w:rsidRPr="00730154" w:rsidRDefault="004F66CB" w:rsidP="009F6BE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“Este elemento se refiere al efecto adverso en el proceso de competencia en los mercados de que se trate causado por la conducta a sancionar. En estos casos, el análisis sobre los efectos nocivos en la competencia no se relaciona con el acreditamiento de la conducta, sino con una etapa posterior consistente en la gradación de la multa, la cual será directamente proporcional al daño causado al mercado.”</w:t>
            </w:r>
          </w:p>
        </w:tc>
        <w:tc>
          <w:tcPr>
            <w:tcW w:w="3280" w:type="dxa"/>
            <w:shd w:val="clear" w:color="auto" w:fill="FFFFFF" w:themeFill="background1"/>
          </w:tcPr>
          <w:p w14:paraId="745AEC4A" w14:textId="5EF4C569" w:rsidR="004F66CB" w:rsidRPr="00730154" w:rsidRDefault="004F66CB" w:rsidP="004F66CB">
            <w:pPr>
              <w:spacing w:before="120" w:after="120" w:line="23" w:lineRule="atLeast"/>
              <w:jc w:val="both"/>
              <w:rPr>
                <w:rFonts w:ascii="Arial" w:hAnsi="Arial" w:cs="Arial"/>
                <w:bCs/>
                <w:sz w:val="18"/>
                <w:szCs w:val="18"/>
              </w:rPr>
            </w:pPr>
            <w:r w:rsidRPr="00730154">
              <w:rPr>
                <w:rFonts w:ascii="Arial" w:hAnsi="Arial" w:cs="Arial"/>
                <w:bCs/>
                <w:sz w:val="18"/>
                <w:szCs w:val="18"/>
              </w:rPr>
              <w:t>Sugiere eliminar la afirmación de que la gradación de la multa consiste en sí misma en una etapa posterior.</w:t>
            </w:r>
          </w:p>
          <w:p w14:paraId="4D589943" w14:textId="09C9E40D" w:rsidR="004F66CB" w:rsidRPr="00730154" w:rsidRDefault="004F66CB" w:rsidP="009F6BE3">
            <w:pPr>
              <w:spacing w:before="120" w:after="120" w:line="23" w:lineRule="atLeast"/>
              <w:jc w:val="both"/>
              <w:rPr>
                <w:rFonts w:ascii="Arial" w:hAnsi="Arial" w:cs="Arial"/>
                <w:b/>
                <w:sz w:val="18"/>
                <w:szCs w:val="18"/>
              </w:rPr>
            </w:pPr>
          </w:p>
        </w:tc>
        <w:tc>
          <w:tcPr>
            <w:tcW w:w="2756" w:type="dxa"/>
            <w:shd w:val="clear" w:color="auto" w:fill="FFFFFF" w:themeFill="background1"/>
          </w:tcPr>
          <w:p w14:paraId="612F2FC9" w14:textId="77777777" w:rsidR="004F66CB" w:rsidRDefault="00B45B6F"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procedente toda vez, que la incorporación de la frase “una etapa posterior” puede interpretarse que la gradación de la multa no se realizará en la misma resolución que tenga por acreditada la conducta. </w:t>
            </w:r>
          </w:p>
          <w:p w14:paraId="1DAC76DE" w14:textId="77777777" w:rsidR="00CD5722" w:rsidRDefault="00CD5722" w:rsidP="00CD5722">
            <w:pPr>
              <w:spacing w:before="120" w:after="120" w:line="23" w:lineRule="atLeast"/>
              <w:jc w:val="both"/>
              <w:rPr>
                <w:rFonts w:ascii="Arial" w:hAnsi="Arial" w:cs="Arial"/>
                <w:sz w:val="18"/>
                <w:szCs w:val="18"/>
              </w:rPr>
            </w:pPr>
            <w:r w:rsidRPr="00077AFA">
              <w:rPr>
                <w:rFonts w:ascii="Arial" w:hAnsi="Arial" w:cs="Arial"/>
                <w:sz w:val="18"/>
                <w:szCs w:val="18"/>
              </w:rPr>
              <w:t>Conforme a lo anterior, se modifica al Proyecto el siguiente párrafo:</w:t>
            </w:r>
          </w:p>
          <w:tbl>
            <w:tblPr>
              <w:tblStyle w:val="Tablaconcuadrcula"/>
              <w:tblW w:w="0" w:type="auto"/>
              <w:jc w:val="center"/>
              <w:tblLook w:val="04A0" w:firstRow="1" w:lastRow="0" w:firstColumn="1" w:lastColumn="0" w:noHBand="0" w:noVBand="1"/>
            </w:tblPr>
            <w:tblGrid>
              <w:gridCol w:w="2530"/>
            </w:tblGrid>
            <w:tr w:rsidR="00CD5722" w:rsidRPr="00730154" w14:paraId="7893EA5A"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C58DFF0" w14:textId="77777777" w:rsidR="00CD5722" w:rsidRPr="00730154" w:rsidRDefault="00CD5722" w:rsidP="00CD5722">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CD5722" w:rsidRPr="00730154" w14:paraId="57A254BB"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D927BC0" w14:textId="22B90921" w:rsidR="00CD5722" w:rsidRPr="00730154" w:rsidRDefault="00CD5722" w:rsidP="00CD5722">
                  <w:pPr>
                    <w:pStyle w:val="Textoindependiente"/>
                    <w:spacing w:before="120" w:line="23" w:lineRule="atLeast"/>
                    <w:jc w:val="both"/>
                    <w:rPr>
                      <w:rFonts w:ascii="Arial" w:hAnsi="Arial" w:cs="Arial"/>
                      <w:sz w:val="18"/>
                      <w:szCs w:val="18"/>
                    </w:rPr>
                  </w:pPr>
                  <w:r w:rsidRPr="00730154">
                    <w:rPr>
                      <w:rFonts w:ascii="Arial" w:hAnsi="Arial" w:cs="Arial"/>
                      <w:iCs/>
                      <w:sz w:val="18"/>
                      <w:szCs w:val="18"/>
                    </w:rPr>
                    <w:lastRenderedPageBreak/>
                    <w:t xml:space="preserve">Este elemento se refiere al efecto adverso en el proceso de competencia en los mercados de que se trate causado por la conducta a sancionar. En estos casos, el análisis sobre los efectos nocivos en la competencia no se relaciona con el acreditamiento de la conducta, sino con </w:t>
                  </w:r>
                  <w:r w:rsidRPr="00D14EF3">
                    <w:rPr>
                      <w:rFonts w:ascii="Arial" w:hAnsi="Arial" w:cs="Arial"/>
                      <w:iCs/>
                      <w:strike/>
                      <w:sz w:val="18"/>
                      <w:szCs w:val="18"/>
                    </w:rPr>
                    <w:t>una etapa posterior</w:t>
                  </w:r>
                  <w:r w:rsidRPr="00730154">
                    <w:rPr>
                      <w:rFonts w:ascii="Arial" w:hAnsi="Arial" w:cs="Arial"/>
                      <w:iCs/>
                      <w:sz w:val="18"/>
                      <w:szCs w:val="18"/>
                    </w:rPr>
                    <w:t xml:space="preserve"> </w:t>
                  </w:r>
                  <w:r w:rsidRPr="00D14EF3">
                    <w:rPr>
                      <w:rFonts w:ascii="Arial" w:hAnsi="Arial" w:cs="Arial"/>
                      <w:iCs/>
                      <w:strike/>
                      <w:sz w:val="18"/>
                      <w:szCs w:val="18"/>
                    </w:rPr>
                    <w:t>consistente en</w:t>
                  </w:r>
                  <w:r w:rsidRPr="00730154">
                    <w:rPr>
                      <w:rFonts w:ascii="Arial" w:hAnsi="Arial" w:cs="Arial"/>
                      <w:iCs/>
                      <w:sz w:val="18"/>
                      <w:szCs w:val="18"/>
                    </w:rPr>
                    <w:t xml:space="preserve"> la gradación de la multa, la cual será directamente proporcional al daño causado al mercado.</w:t>
                  </w:r>
                </w:p>
              </w:tc>
            </w:tr>
          </w:tbl>
          <w:p w14:paraId="5AFC7402" w14:textId="0FC3AF77" w:rsidR="00A31FE7" w:rsidRPr="003F324D" w:rsidRDefault="00A31FE7" w:rsidP="009F6BE3">
            <w:pPr>
              <w:spacing w:before="120" w:after="120" w:line="23" w:lineRule="atLeast"/>
              <w:jc w:val="both"/>
              <w:rPr>
                <w:rFonts w:ascii="Arial" w:hAnsi="Arial" w:cs="Arial"/>
                <w:bCs/>
                <w:sz w:val="18"/>
                <w:szCs w:val="18"/>
              </w:rPr>
            </w:pPr>
          </w:p>
        </w:tc>
      </w:tr>
      <w:tr w:rsidR="004F66CB" w:rsidRPr="003F324D" w14:paraId="2873F580" w14:textId="77777777" w:rsidTr="009F6BE3">
        <w:tc>
          <w:tcPr>
            <w:tcW w:w="3348" w:type="dxa"/>
            <w:vMerge/>
            <w:shd w:val="clear" w:color="auto" w:fill="FFFFFF" w:themeFill="background1"/>
          </w:tcPr>
          <w:p w14:paraId="0FD4429C" w14:textId="77777777" w:rsidR="004F66CB" w:rsidRPr="00730154" w:rsidRDefault="004F66CB" w:rsidP="009F6BE3">
            <w:pPr>
              <w:spacing w:before="120" w:after="120" w:line="23" w:lineRule="atLeast"/>
              <w:jc w:val="both"/>
              <w:rPr>
                <w:rFonts w:ascii="Arial" w:hAnsi="Arial" w:cs="Arial"/>
                <w:bCs/>
                <w:sz w:val="18"/>
                <w:szCs w:val="18"/>
                <w:lang w:val="es-ES"/>
              </w:rPr>
            </w:pPr>
          </w:p>
        </w:tc>
        <w:tc>
          <w:tcPr>
            <w:tcW w:w="3280" w:type="dxa"/>
            <w:shd w:val="clear" w:color="auto" w:fill="FFFFFF" w:themeFill="background1"/>
          </w:tcPr>
          <w:p w14:paraId="5D0C1CAF" w14:textId="1F1E9749" w:rsidR="004F66CB" w:rsidRPr="00730154" w:rsidRDefault="004F66CB" w:rsidP="009F6BE3">
            <w:pPr>
              <w:spacing w:before="120" w:after="120" w:line="23" w:lineRule="atLeast"/>
              <w:jc w:val="both"/>
              <w:rPr>
                <w:rFonts w:ascii="Arial" w:hAnsi="Arial" w:cs="Arial"/>
                <w:b/>
                <w:sz w:val="18"/>
                <w:szCs w:val="18"/>
              </w:rPr>
            </w:pPr>
            <w:r w:rsidRPr="00730154">
              <w:rPr>
                <w:rFonts w:ascii="Arial" w:hAnsi="Arial" w:cs="Arial"/>
                <w:bCs/>
                <w:sz w:val="18"/>
                <w:szCs w:val="18"/>
              </w:rPr>
              <w:t>Sugiere que se explique el análisis que se realiza del tamaño del mercado afectado y la participación de la infracción a fin de facilitar el entendiendo de la estimación y cuantificación de daño causado.</w:t>
            </w:r>
          </w:p>
        </w:tc>
        <w:tc>
          <w:tcPr>
            <w:tcW w:w="2756" w:type="dxa"/>
            <w:shd w:val="clear" w:color="auto" w:fill="FFFFFF" w:themeFill="background1"/>
          </w:tcPr>
          <w:p w14:paraId="34B54063" w14:textId="4A4A7744" w:rsidR="004F66CB" w:rsidRPr="003F324D" w:rsidRDefault="00B45B6F" w:rsidP="009F6BE3">
            <w:pPr>
              <w:spacing w:before="120" w:after="120" w:line="23" w:lineRule="atLeast"/>
              <w:jc w:val="both"/>
              <w:rPr>
                <w:rFonts w:ascii="Arial" w:hAnsi="Arial" w:cs="Arial"/>
                <w:bCs/>
                <w:sz w:val="18"/>
                <w:szCs w:val="18"/>
              </w:rPr>
            </w:pPr>
            <w:r>
              <w:rPr>
                <w:rFonts w:ascii="Arial" w:hAnsi="Arial" w:cs="Arial"/>
                <w:bCs/>
                <w:sz w:val="18"/>
                <w:szCs w:val="18"/>
              </w:rPr>
              <w:t xml:space="preserve">Se considera improcedente en virtud de que la Guía sí expresa la manera en que se lleva a cabo el análisis del tamaño del mercado afectado y la participación de la infracción en los numerales 4.2 y 4.4 de la Guía. </w:t>
            </w:r>
          </w:p>
        </w:tc>
      </w:tr>
      <w:tr w:rsidR="004F66CB" w:rsidRPr="003F324D" w14:paraId="0E640B3A" w14:textId="77777777" w:rsidTr="009F6BE3">
        <w:tc>
          <w:tcPr>
            <w:tcW w:w="3348" w:type="dxa"/>
            <w:shd w:val="clear" w:color="auto" w:fill="FFFFFF" w:themeFill="background1"/>
          </w:tcPr>
          <w:p w14:paraId="3B3FC27F" w14:textId="77777777" w:rsidR="004F66CB" w:rsidRPr="00730154" w:rsidRDefault="004F66CB" w:rsidP="004F66CB">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“c) Expediente E-IFT/UC/DGIP/PMR/0003/2013 y acumulados</w:t>
            </w:r>
          </w:p>
          <w:p w14:paraId="74F6E7EB" w14:textId="1815432D" w:rsidR="004F66CB" w:rsidRPr="00730154" w:rsidRDefault="004F66CB" w:rsidP="004F66CB">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En el asunto referido, se determinó la responsabilidad de los agentes económicos de haber llevado a cabo una concentración en términos del artículo 16 de la LFCE abrogada 2006 […]”</w:t>
            </w:r>
          </w:p>
        </w:tc>
        <w:tc>
          <w:tcPr>
            <w:tcW w:w="3280" w:type="dxa"/>
            <w:shd w:val="clear" w:color="auto" w:fill="FFFFFF" w:themeFill="background1"/>
          </w:tcPr>
          <w:p w14:paraId="3F2C1BAE" w14:textId="769DD33E" w:rsidR="004F66CB" w:rsidRPr="00730154" w:rsidRDefault="004F66CB" w:rsidP="009F6BE3">
            <w:pPr>
              <w:spacing w:before="120" w:after="120" w:line="23" w:lineRule="atLeast"/>
              <w:jc w:val="both"/>
              <w:rPr>
                <w:rFonts w:ascii="Arial" w:hAnsi="Arial" w:cs="Arial"/>
                <w:b/>
                <w:sz w:val="18"/>
                <w:szCs w:val="18"/>
              </w:rPr>
            </w:pPr>
            <w:r w:rsidRPr="00730154">
              <w:rPr>
                <w:rFonts w:ascii="Arial" w:hAnsi="Arial" w:cs="Arial"/>
                <w:bCs/>
                <w:sz w:val="18"/>
                <w:szCs w:val="18"/>
              </w:rPr>
              <w:t>Se sugiere retirar dicho precedente ya que se encuentra pendiente de resolución y actualmente cuenta con una resolución de primera instancia que lo deja insubsistente.</w:t>
            </w:r>
          </w:p>
        </w:tc>
        <w:tc>
          <w:tcPr>
            <w:tcW w:w="2756" w:type="dxa"/>
            <w:shd w:val="clear" w:color="auto" w:fill="FFFFFF" w:themeFill="background1"/>
          </w:tcPr>
          <w:p w14:paraId="1A2EBF0D" w14:textId="30E405B5" w:rsidR="004F66CB" w:rsidRPr="003F324D" w:rsidRDefault="00A6104A" w:rsidP="00B45B6F">
            <w:pPr>
              <w:spacing w:before="120" w:after="120" w:line="23" w:lineRule="atLeast"/>
              <w:jc w:val="both"/>
              <w:rPr>
                <w:rFonts w:ascii="Arial" w:hAnsi="Arial" w:cs="Arial"/>
                <w:bCs/>
                <w:sz w:val="18"/>
                <w:szCs w:val="18"/>
              </w:rPr>
            </w:pPr>
            <w:r>
              <w:rPr>
                <w:rFonts w:ascii="Arial" w:hAnsi="Arial" w:cs="Arial"/>
                <w:bCs/>
                <w:sz w:val="18"/>
                <w:szCs w:val="18"/>
              </w:rPr>
              <w:t>Se considera improcedente en atención a que, aun cuando la resolución citada ha sido controvertida por los AE sancionados y actualmente está pendiente de resolución en PJF, su exposición sirve para ilustrar el ejercicio de las facultades del Instituto en la imposición de multas.</w:t>
            </w:r>
            <w:r w:rsidR="007B6F34">
              <w:rPr>
                <w:rFonts w:ascii="Arial" w:hAnsi="Arial" w:cs="Arial"/>
                <w:bCs/>
                <w:sz w:val="18"/>
                <w:szCs w:val="18"/>
              </w:rPr>
              <w:t xml:space="preserve"> Se precisa que la guía será revisada y actualizada cada 5 años, en términos del artículo 138 de la LFCE.</w:t>
            </w:r>
          </w:p>
        </w:tc>
      </w:tr>
    </w:tbl>
    <w:p w14:paraId="284F1482" w14:textId="77777777" w:rsidR="004F66CB" w:rsidRPr="004F66CB" w:rsidRDefault="004F66CB" w:rsidP="004F66CB"/>
    <w:p w14:paraId="0DB65286" w14:textId="2E1055FF" w:rsidR="00356F49" w:rsidRPr="00730154" w:rsidRDefault="008B1B1F"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.16. Apartado 4.3 Indicios de intencionalidad</w:t>
      </w:r>
    </w:p>
    <w:p w14:paraId="26889827" w14:textId="33BF9C97" w:rsidR="00356F49" w:rsidRDefault="008B1B1F"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 xml:space="preserve">.16.1. </w:t>
      </w:r>
      <w:r w:rsidR="00356F49" w:rsidRPr="00730154">
        <w:rPr>
          <w:rFonts w:ascii="Arial" w:hAnsi="Arial" w:cs="Arial"/>
          <w:b/>
          <w:bCs/>
          <w:color w:val="auto"/>
          <w:sz w:val="22"/>
          <w:szCs w:val="22"/>
        </w:rPr>
        <w:t>Síntesis de</w:t>
      </w:r>
      <w:r w:rsidR="00356F49" w:rsidRPr="00730154">
        <w:rPr>
          <w:rFonts w:ascii="Arial" w:hAnsi="Arial" w:cs="Arial"/>
          <w:b/>
          <w:color w:val="auto"/>
          <w:sz w:val="22"/>
          <w:szCs w:val="22"/>
        </w:rPr>
        <w:t xml:space="preserve"> los comentarios recibidos respecto de la propuesta del apartado 4.3 Indicios de intencionalidad</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E251A3" w:rsidRPr="00730154" w14:paraId="52AE5357" w14:textId="77777777" w:rsidTr="009F6BE3">
        <w:trPr>
          <w:tblHeader/>
        </w:trPr>
        <w:tc>
          <w:tcPr>
            <w:tcW w:w="3348" w:type="dxa"/>
            <w:tcBorders>
              <w:bottom w:val="single" w:sz="8" w:space="0" w:color="auto"/>
            </w:tcBorders>
            <w:shd w:val="clear" w:color="auto" w:fill="70AD47" w:themeFill="accent6"/>
          </w:tcPr>
          <w:p w14:paraId="60F94F81" w14:textId="77777777" w:rsidR="00E251A3" w:rsidRPr="00730154" w:rsidRDefault="00E251A3"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576BFA47" w14:textId="77777777" w:rsidR="00E251A3" w:rsidRPr="00730154" w:rsidRDefault="00E251A3"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646D5DA4" w14:textId="77777777" w:rsidR="00E251A3" w:rsidRPr="00730154" w:rsidRDefault="00E251A3"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E251A3" w:rsidRPr="00730154" w14:paraId="55CAEFAE" w14:textId="77777777" w:rsidTr="009F6BE3">
        <w:tc>
          <w:tcPr>
            <w:tcW w:w="9384" w:type="dxa"/>
            <w:gridSpan w:val="3"/>
            <w:tcBorders>
              <w:bottom w:val="single" w:sz="8" w:space="0" w:color="auto"/>
            </w:tcBorders>
            <w:shd w:val="clear" w:color="auto" w:fill="C5E0B3" w:themeFill="accent6" w:themeFillTint="66"/>
          </w:tcPr>
          <w:p w14:paraId="04C006A1" w14:textId="12085702" w:rsidR="00E251A3" w:rsidRPr="00730154" w:rsidRDefault="00E251A3" w:rsidP="009F6BE3">
            <w:pPr>
              <w:spacing w:before="120" w:after="120" w:line="23" w:lineRule="atLeast"/>
              <w:jc w:val="center"/>
              <w:rPr>
                <w:rFonts w:ascii="Arial" w:hAnsi="Arial" w:cs="Arial"/>
                <w:b/>
                <w:sz w:val="18"/>
                <w:szCs w:val="18"/>
              </w:rPr>
            </w:pPr>
            <w:r w:rsidRPr="00730154">
              <w:rPr>
                <w:rFonts w:ascii="Arial" w:hAnsi="Arial" w:cs="Arial"/>
                <w:b/>
                <w:sz w:val="18"/>
                <w:szCs w:val="18"/>
              </w:rPr>
              <w:t>4.3. Indicios de intencionalidad</w:t>
            </w:r>
          </w:p>
        </w:tc>
      </w:tr>
      <w:tr w:rsidR="00E251A3" w:rsidRPr="003F324D" w14:paraId="69EE0450" w14:textId="77777777" w:rsidTr="009F6BE3">
        <w:tc>
          <w:tcPr>
            <w:tcW w:w="3348" w:type="dxa"/>
            <w:shd w:val="clear" w:color="auto" w:fill="FFFFFF" w:themeFill="background1"/>
          </w:tcPr>
          <w:p w14:paraId="34386E40" w14:textId="77777777" w:rsidR="00E251A3" w:rsidRPr="00730154" w:rsidRDefault="00E251A3" w:rsidP="00E251A3">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“c) Expediente E-IFT/UC/DGIP/PMR/0003/2013 y Acumulados</w:t>
            </w:r>
          </w:p>
          <w:p w14:paraId="6559D1F5" w14:textId="73EA5E9F" w:rsidR="00E251A3" w:rsidRPr="00730154" w:rsidRDefault="00E251A3" w:rsidP="00E251A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lastRenderedPageBreak/>
              <w:t>En el asunto referido, para determinar los indicios de intencionalidad, el Instituto advirtió la existencia de elementos para determinar que las emplazadas tuvieron intencionalidad de la omisión que les fue imputada […]”</w:t>
            </w:r>
          </w:p>
        </w:tc>
        <w:tc>
          <w:tcPr>
            <w:tcW w:w="3280" w:type="dxa"/>
            <w:shd w:val="clear" w:color="auto" w:fill="FFFFFF" w:themeFill="background1"/>
          </w:tcPr>
          <w:p w14:paraId="41D8857C" w14:textId="27E99A1F" w:rsidR="00E251A3" w:rsidRPr="00730154" w:rsidRDefault="00E251A3" w:rsidP="009F6BE3">
            <w:pPr>
              <w:spacing w:before="120" w:after="120" w:line="23" w:lineRule="atLeast"/>
              <w:jc w:val="both"/>
              <w:rPr>
                <w:rFonts w:ascii="Arial" w:hAnsi="Arial" w:cs="Arial"/>
                <w:b/>
                <w:sz w:val="18"/>
                <w:szCs w:val="18"/>
              </w:rPr>
            </w:pPr>
            <w:r w:rsidRPr="00730154">
              <w:rPr>
                <w:rFonts w:ascii="Arial" w:hAnsi="Arial" w:cs="Arial"/>
                <w:bCs/>
                <w:sz w:val="18"/>
                <w:szCs w:val="18"/>
              </w:rPr>
              <w:lastRenderedPageBreak/>
              <w:t xml:space="preserve">Se sugiere retirar dicho precedente ya que se encuentra pendiente de resolución y actualmente cuenta con </w:t>
            </w:r>
            <w:r w:rsidRPr="00730154">
              <w:rPr>
                <w:rFonts w:ascii="Arial" w:hAnsi="Arial" w:cs="Arial"/>
                <w:bCs/>
                <w:sz w:val="18"/>
                <w:szCs w:val="18"/>
              </w:rPr>
              <w:lastRenderedPageBreak/>
              <w:t>una resolución de primera instancia que lo deja insubsistente.</w:t>
            </w:r>
          </w:p>
        </w:tc>
        <w:tc>
          <w:tcPr>
            <w:tcW w:w="2756" w:type="dxa"/>
            <w:shd w:val="clear" w:color="auto" w:fill="FFFFFF" w:themeFill="background1"/>
          </w:tcPr>
          <w:p w14:paraId="2A85CBF3" w14:textId="591F4285" w:rsidR="00E251A3" w:rsidRPr="003F324D" w:rsidRDefault="00E251A3" w:rsidP="009F6BE3">
            <w:pPr>
              <w:spacing w:before="120" w:after="120" w:line="23" w:lineRule="atLeast"/>
              <w:jc w:val="both"/>
              <w:rPr>
                <w:rFonts w:ascii="Arial" w:hAnsi="Arial" w:cs="Arial"/>
                <w:bCs/>
                <w:sz w:val="18"/>
                <w:szCs w:val="18"/>
              </w:rPr>
            </w:pPr>
            <w:r>
              <w:rPr>
                <w:rFonts w:ascii="Arial" w:hAnsi="Arial" w:cs="Arial"/>
                <w:bCs/>
                <w:sz w:val="18"/>
                <w:szCs w:val="18"/>
              </w:rPr>
              <w:lastRenderedPageBreak/>
              <w:t xml:space="preserve">Se considera improcedente en atención a que, aun cuando la resolución citada ha sido controvertida por los AE sancionados y actualmente está </w:t>
            </w:r>
            <w:r>
              <w:rPr>
                <w:rFonts w:ascii="Arial" w:hAnsi="Arial" w:cs="Arial"/>
                <w:bCs/>
                <w:sz w:val="18"/>
                <w:szCs w:val="18"/>
              </w:rPr>
              <w:lastRenderedPageBreak/>
              <w:t>pendiente de resolución en PJF, su exposición sirve para ilustrar el ejercicio de las facultades del Instituto en la imposición de multas.</w:t>
            </w:r>
            <w:r w:rsidR="007B6F34">
              <w:rPr>
                <w:rFonts w:ascii="Arial" w:hAnsi="Arial" w:cs="Arial"/>
                <w:bCs/>
                <w:sz w:val="18"/>
                <w:szCs w:val="18"/>
              </w:rPr>
              <w:t xml:space="preserve"> Se precisa que la guía será revisada y actualizada cada 5 años, en términos del artículo 138 de la LFCE.</w:t>
            </w:r>
          </w:p>
        </w:tc>
      </w:tr>
    </w:tbl>
    <w:p w14:paraId="78B8B4B4" w14:textId="77777777" w:rsidR="00E251A3" w:rsidRPr="00E251A3" w:rsidRDefault="00E251A3" w:rsidP="00E251A3"/>
    <w:p w14:paraId="60BFECED" w14:textId="3659F11F" w:rsidR="00356F49" w:rsidRPr="00730154" w:rsidRDefault="008B1B1F"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.17. Apartado 4.5 Duración de la práctica o concentración ilícita</w:t>
      </w:r>
    </w:p>
    <w:p w14:paraId="3DF11DAF" w14:textId="6B9A7592" w:rsidR="00356F49" w:rsidRDefault="008B1B1F"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 xml:space="preserve">.17.1. </w:t>
      </w:r>
      <w:r w:rsidR="00356F49" w:rsidRPr="00730154">
        <w:rPr>
          <w:rFonts w:ascii="Arial" w:hAnsi="Arial" w:cs="Arial"/>
          <w:b/>
          <w:bCs/>
          <w:color w:val="auto"/>
          <w:sz w:val="22"/>
          <w:szCs w:val="22"/>
        </w:rPr>
        <w:t>Síntesis de</w:t>
      </w:r>
      <w:r w:rsidR="00356F49" w:rsidRPr="00730154">
        <w:rPr>
          <w:rFonts w:ascii="Arial" w:hAnsi="Arial" w:cs="Arial"/>
          <w:b/>
          <w:color w:val="auto"/>
          <w:sz w:val="22"/>
          <w:szCs w:val="22"/>
        </w:rPr>
        <w:t xml:space="preserve"> los comentarios recibidos respecto de la propuesta del apartado 4.5 Duración de la práctica o concentración ilícita</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E251A3" w:rsidRPr="00730154" w14:paraId="5F2D95F7" w14:textId="77777777" w:rsidTr="009F6BE3">
        <w:trPr>
          <w:tblHeader/>
        </w:trPr>
        <w:tc>
          <w:tcPr>
            <w:tcW w:w="3348" w:type="dxa"/>
            <w:tcBorders>
              <w:bottom w:val="single" w:sz="8" w:space="0" w:color="auto"/>
            </w:tcBorders>
            <w:shd w:val="clear" w:color="auto" w:fill="70AD47" w:themeFill="accent6"/>
          </w:tcPr>
          <w:p w14:paraId="57DA2F68" w14:textId="77777777" w:rsidR="00E251A3" w:rsidRPr="00730154" w:rsidRDefault="00E251A3"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6859889D" w14:textId="77777777" w:rsidR="00E251A3" w:rsidRPr="00730154" w:rsidRDefault="00E251A3"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4DDAD516" w14:textId="77777777" w:rsidR="00E251A3" w:rsidRPr="00730154" w:rsidRDefault="00E251A3"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E251A3" w:rsidRPr="00730154" w14:paraId="72993906" w14:textId="77777777" w:rsidTr="009F6BE3">
        <w:tc>
          <w:tcPr>
            <w:tcW w:w="9384" w:type="dxa"/>
            <w:gridSpan w:val="3"/>
            <w:tcBorders>
              <w:bottom w:val="single" w:sz="8" w:space="0" w:color="auto"/>
            </w:tcBorders>
            <w:shd w:val="clear" w:color="auto" w:fill="C5E0B3" w:themeFill="accent6" w:themeFillTint="66"/>
          </w:tcPr>
          <w:p w14:paraId="72DF10ED" w14:textId="147EA0F4" w:rsidR="00E251A3" w:rsidRPr="00730154" w:rsidRDefault="00E251A3" w:rsidP="009F6BE3">
            <w:pPr>
              <w:spacing w:before="120" w:after="120" w:line="23" w:lineRule="atLeast"/>
              <w:jc w:val="center"/>
              <w:rPr>
                <w:rFonts w:ascii="Arial" w:hAnsi="Arial" w:cs="Arial"/>
                <w:b/>
                <w:sz w:val="18"/>
                <w:szCs w:val="18"/>
              </w:rPr>
            </w:pPr>
            <w:r w:rsidRPr="00730154">
              <w:rPr>
                <w:rFonts w:ascii="Arial" w:hAnsi="Arial" w:cs="Arial"/>
                <w:b/>
                <w:sz w:val="18"/>
                <w:szCs w:val="18"/>
              </w:rPr>
              <w:t>4.5. Duración de la práctica o concentración ilícita</w:t>
            </w:r>
          </w:p>
        </w:tc>
      </w:tr>
      <w:tr w:rsidR="00E251A3" w:rsidRPr="003F324D" w14:paraId="6F59FBCE" w14:textId="77777777" w:rsidTr="009F6BE3">
        <w:tc>
          <w:tcPr>
            <w:tcW w:w="3348" w:type="dxa"/>
            <w:shd w:val="clear" w:color="auto" w:fill="FFFFFF" w:themeFill="background1"/>
          </w:tcPr>
          <w:p w14:paraId="7B2D8ECA" w14:textId="77777777" w:rsidR="00E251A3" w:rsidRPr="00730154" w:rsidRDefault="00E251A3" w:rsidP="009F6BE3">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“c) Expediente E-IFT/UC/DGIP/PMR/0003/2013 y Acumulados</w:t>
            </w:r>
          </w:p>
          <w:p w14:paraId="1DCBE614" w14:textId="77777777" w:rsidR="00E251A3" w:rsidRPr="00730154" w:rsidRDefault="00E251A3" w:rsidP="009F6BE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En el asunto referido, para determinar los indicios de intencionalidad, el Instituto advirtió la existencia de elementos para determinar que las emplazadas tuvieron intencionalidad de la omisión que les fue imputada […]”</w:t>
            </w:r>
          </w:p>
        </w:tc>
        <w:tc>
          <w:tcPr>
            <w:tcW w:w="3280" w:type="dxa"/>
            <w:shd w:val="clear" w:color="auto" w:fill="FFFFFF" w:themeFill="background1"/>
          </w:tcPr>
          <w:p w14:paraId="32464922" w14:textId="63BEF9D7" w:rsidR="00E251A3" w:rsidRPr="00730154" w:rsidRDefault="00E251A3" w:rsidP="009F6BE3">
            <w:pPr>
              <w:spacing w:before="120" w:after="120" w:line="23" w:lineRule="atLeast"/>
              <w:jc w:val="both"/>
              <w:rPr>
                <w:rFonts w:ascii="Arial" w:hAnsi="Arial" w:cs="Arial"/>
                <w:b/>
                <w:sz w:val="18"/>
                <w:szCs w:val="18"/>
              </w:rPr>
            </w:pPr>
            <w:r w:rsidRPr="00730154">
              <w:rPr>
                <w:rFonts w:ascii="Arial" w:hAnsi="Arial" w:cs="Arial"/>
                <w:bCs/>
                <w:sz w:val="18"/>
                <w:szCs w:val="18"/>
              </w:rPr>
              <w:t>Se sugiere retirar dicho precedente ya que se encuentra pendiente de resolución y actualmente cuenta con una resolución de primera instancia que lo deja insubsistente.</w:t>
            </w:r>
          </w:p>
        </w:tc>
        <w:tc>
          <w:tcPr>
            <w:tcW w:w="2756" w:type="dxa"/>
            <w:shd w:val="clear" w:color="auto" w:fill="FFFFFF" w:themeFill="background1"/>
          </w:tcPr>
          <w:p w14:paraId="4D707C36" w14:textId="1FC220C4" w:rsidR="00E251A3" w:rsidRPr="003F324D" w:rsidRDefault="00E251A3" w:rsidP="009F6BE3">
            <w:pPr>
              <w:spacing w:before="120" w:after="120" w:line="23" w:lineRule="atLeast"/>
              <w:jc w:val="both"/>
              <w:rPr>
                <w:rFonts w:ascii="Arial" w:hAnsi="Arial" w:cs="Arial"/>
                <w:bCs/>
                <w:sz w:val="18"/>
                <w:szCs w:val="18"/>
              </w:rPr>
            </w:pPr>
            <w:r>
              <w:rPr>
                <w:rFonts w:ascii="Arial" w:hAnsi="Arial" w:cs="Arial"/>
                <w:bCs/>
                <w:sz w:val="18"/>
                <w:szCs w:val="18"/>
              </w:rPr>
              <w:t>Se considera improcedente en atención a que, aun cuando la resolución citada ha sido controvertida por los AE sancionados y actualmente está pendiente de resolución en PJF, su exposición sirve para ilustrar el ejercicio de las facultades del Instituto en la imposición de multas.</w:t>
            </w:r>
            <w:r w:rsidR="007B6F34">
              <w:rPr>
                <w:rFonts w:ascii="Arial" w:hAnsi="Arial" w:cs="Arial"/>
                <w:bCs/>
                <w:sz w:val="18"/>
                <w:szCs w:val="18"/>
              </w:rPr>
              <w:t xml:space="preserve"> Se precisa que la guía será revisada y actualizada cada 5 años, en términos del artículo 138 de la LFCE.</w:t>
            </w:r>
          </w:p>
        </w:tc>
      </w:tr>
    </w:tbl>
    <w:p w14:paraId="6FF4581F" w14:textId="73F9D467" w:rsidR="00356F49" w:rsidRPr="00730154" w:rsidRDefault="008B1B1F"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.18. Apartado 4.6 Capacidad económica</w:t>
      </w:r>
    </w:p>
    <w:p w14:paraId="0BE57D79" w14:textId="58201DC8" w:rsidR="00356F49" w:rsidRDefault="008B1B1F"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 xml:space="preserve">.18.1. </w:t>
      </w:r>
      <w:r w:rsidR="00356F49" w:rsidRPr="00730154">
        <w:rPr>
          <w:rFonts w:ascii="Arial" w:hAnsi="Arial" w:cs="Arial"/>
          <w:b/>
          <w:bCs/>
          <w:color w:val="auto"/>
          <w:sz w:val="22"/>
          <w:szCs w:val="22"/>
        </w:rPr>
        <w:t>Síntesis de</w:t>
      </w:r>
      <w:r w:rsidR="00356F49" w:rsidRPr="00730154">
        <w:rPr>
          <w:rFonts w:ascii="Arial" w:hAnsi="Arial" w:cs="Arial"/>
          <w:b/>
          <w:color w:val="auto"/>
          <w:sz w:val="22"/>
          <w:szCs w:val="22"/>
        </w:rPr>
        <w:t xml:space="preserve"> los comentarios recibidos respecto de la propuesta del apartado 4.6 Capacidad económica</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EB659A" w:rsidRPr="00730154" w14:paraId="10123BFE" w14:textId="77777777" w:rsidTr="009F6BE3">
        <w:trPr>
          <w:tblHeader/>
        </w:trPr>
        <w:tc>
          <w:tcPr>
            <w:tcW w:w="3348" w:type="dxa"/>
            <w:tcBorders>
              <w:bottom w:val="single" w:sz="8" w:space="0" w:color="auto"/>
            </w:tcBorders>
            <w:shd w:val="clear" w:color="auto" w:fill="70AD47" w:themeFill="accent6"/>
          </w:tcPr>
          <w:p w14:paraId="79EDBB86" w14:textId="77777777" w:rsidR="00EB659A" w:rsidRPr="00730154" w:rsidRDefault="00EB659A"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303FED68" w14:textId="77777777" w:rsidR="00EB659A" w:rsidRPr="00730154" w:rsidRDefault="00EB659A"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1F836DA6" w14:textId="77777777" w:rsidR="00EB659A" w:rsidRPr="00730154" w:rsidRDefault="00EB659A"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EB659A" w:rsidRPr="00730154" w14:paraId="223755B6" w14:textId="77777777" w:rsidTr="009F6BE3">
        <w:tc>
          <w:tcPr>
            <w:tcW w:w="9384" w:type="dxa"/>
            <w:gridSpan w:val="3"/>
            <w:tcBorders>
              <w:bottom w:val="single" w:sz="8" w:space="0" w:color="auto"/>
            </w:tcBorders>
            <w:shd w:val="clear" w:color="auto" w:fill="C5E0B3" w:themeFill="accent6" w:themeFillTint="66"/>
          </w:tcPr>
          <w:p w14:paraId="26944C14" w14:textId="342C4A3F" w:rsidR="00EB659A" w:rsidRPr="00730154" w:rsidRDefault="00EB659A" w:rsidP="009F6BE3">
            <w:pPr>
              <w:spacing w:before="120" w:after="120" w:line="23" w:lineRule="atLeast"/>
              <w:jc w:val="center"/>
              <w:rPr>
                <w:rFonts w:ascii="Arial" w:hAnsi="Arial" w:cs="Arial"/>
                <w:b/>
                <w:sz w:val="18"/>
                <w:szCs w:val="18"/>
              </w:rPr>
            </w:pPr>
            <w:r w:rsidRPr="00730154">
              <w:rPr>
                <w:rFonts w:ascii="Arial" w:hAnsi="Arial" w:cs="Arial"/>
                <w:b/>
                <w:sz w:val="18"/>
                <w:szCs w:val="18"/>
              </w:rPr>
              <w:t>4.6. Capacidad económica</w:t>
            </w:r>
          </w:p>
        </w:tc>
      </w:tr>
      <w:tr w:rsidR="00EB659A" w:rsidRPr="003F324D" w14:paraId="38ADB134" w14:textId="77777777" w:rsidTr="009F6BE3">
        <w:tc>
          <w:tcPr>
            <w:tcW w:w="3348" w:type="dxa"/>
            <w:shd w:val="clear" w:color="auto" w:fill="FFFFFF" w:themeFill="background1"/>
          </w:tcPr>
          <w:p w14:paraId="48FDA5C5" w14:textId="77777777" w:rsidR="00EB659A" w:rsidRPr="00730154" w:rsidRDefault="00EB659A" w:rsidP="00EB659A">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“Para evaluar la capacidad económica, el Instituto podrá considerar los siguientes elementos:</w:t>
            </w:r>
          </w:p>
          <w:p w14:paraId="45CD5520" w14:textId="77777777" w:rsidR="00EB659A" w:rsidRPr="00730154" w:rsidRDefault="00EB659A" w:rsidP="00EB659A">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 Solicitar al infractor o a la autoridad competente la información fiscal necesaria para verificar su capacidad económica, por ejemplo, sus estados financieros, y</w:t>
            </w:r>
          </w:p>
          <w:p w14:paraId="0DBA1DE3" w14:textId="71478F4E" w:rsidR="00EB659A" w:rsidRPr="00730154" w:rsidRDefault="00EB659A" w:rsidP="00EB659A">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 xml:space="preserve">• Determinarla con base en el monto de los activos del AE, utilizando información integrada en el expediente, </w:t>
            </w:r>
            <w:r w:rsidRPr="00730154">
              <w:rPr>
                <w:rFonts w:ascii="Arial" w:hAnsi="Arial" w:cs="Arial"/>
                <w:sz w:val="18"/>
                <w:szCs w:val="18"/>
                <w:lang w:val="es-ES"/>
              </w:rPr>
              <w:lastRenderedPageBreak/>
              <w:t>fuentes de acceso público y hechos notorios.”</w:t>
            </w:r>
          </w:p>
        </w:tc>
        <w:tc>
          <w:tcPr>
            <w:tcW w:w="3280" w:type="dxa"/>
            <w:shd w:val="clear" w:color="auto" w:fill="FFFFFF" w:themeFill="background1"/>
          </w:tcPr>
          <w:p w14:paraId="3819582B" w14:textId="55D86347" w:rsidR="00EB659A" w:rsidRPr="00730154" w:rsidRDefault="00EB659A" w:rsidP="009F6BE3">
            <w:pPr>
              <w:spacing w:before="120" w:after="120" w:line="23" w:lineRule="atLeast"/>
              <w:jc w:val="both"/>
              <w:rPr>
                <w:rFonts w:ascii="Arial" w:hAnsi="Arial" w:cs="Arial"/>
                <w:b/>
                <w:sz w:val="18"/>
                <w:szCs w:val="18"/>
              </w:rPr>
            </w:pPr>
            <w:r w:rsidRPr="00730154">
              <w:rPr>
                <w:rFonts w:ascii="Arial" w:hAnsi="Arial" w:cs="Arial"/>
                <w:bCs/>
                <w:sz w:val="18"/>
                <w:szCs w:val="18"/>
              </w:rPr>
              <w:lastRenderedPageBreak/>
              <w:t xml:space="preserve">Se recomienda adicionar, en términos de los artículos 120 de la LFCE y 176 de las DRLFCE independientemente de que se llegue a reportar o no la obtención de ingresos acumulables que las autoridades podrán tomar en cuenta, en caso de ser aplicable y como hecho notorio, información tal como el monto de la transacción, los activos de la sociedad objeto o monto de activos, los costos de producción, entre otros elementos que pudieran </w:t>
            </w:r>
            <w:r w:rsidRPr="00730154">
              <w:rPr>
                <w:rFonts w:ascii="Arial" w:hAnsi="Arial" w:cs="Arial"/>
                <w:bCs/>
                <w:sz w:val="18"/>
                <w:szCs w:val="18"/>
              </w:rPr>
              <w:lastRenderedPageBreak/>
              <w:t>relevante la capacidad económica de los infractores.</w:t>
            </w:r>
          </w:p>
        </w:tc>
        <w:tc>
          <w:tcPr>
            <w:tcW w:w="2756" w:type="dxa"/>
            <w:shd w:val="clear" w:color="auto" w:fill="FFFFFF" w:themeFill="background1"/>
          </w:tcPr>
          <w:p w14:paraId="40A5CBE6" w14:textId="77777777" w:rsidR="00EB659A" w:rsidRDefault="00EB659A" w:rsidP="009F6BE3">
            <w:pPr>
              <w:spacing w:before="120" w:after="120" w:line="23" w:lineRule="atLeast"/>
              <w:jc w:val="both"/>
              <w:rPr>
                <w:rFonts w:ascii="Arial" w:hAnsi="Arial" w:cs="Arial"/>
                <w:bCs/>
                <w:sz w:val="18"/>
                <w:szCs w:val="18"/>
              </w:rPr>
            </w:pPr>
            <w:r>
              <w:rPr>
                <w:rFonts w:ascii="Arial" w:hAnsi="Arial" w:cs="Arial"/>
                <w:bCs/>
                <w:sz w:val="18"/>
                <w:szCs w:val="18"/>
              </w:rPr>
              <w:lastRenderedPageBreak/>
              <w:t xml:space="preserve">Se considera procedente toda vez que aporta elementos que pueden ser de utilidad para la identificación de los ingresos de los infractores, empleados en el cálculo y determinación de multas. </w:t>
            </w:r>
          </w:p>
          <w:p w14:paraId="208FCD4C" w14:textId="77777777" w:rsidR="00E14B8C" w:rsidRDefault="00E14B8C" w:rsidP="00E14B8C">
            <w:pPr>
              <w:spacing w:before="120" w:after="120" w:line="23" w:lineRule="atLeast"/>
              <w:jc w:val="both"/>
              <w:rPr>
                <w:rFonts w:ascii="Arial" w:hAnsi="Arial" w:cs="Arial"/>
                <w:sz w:val="18"/>
                <w:szCs w:val="18"/>
              </w:rPr>
            </w:pPr>
            <w:r w:rsidRPr="00077AFA">
              <w:rPr>
                <w:rFonts w:ascii="Arial" w:hAnsi="Arial" w:cs="Arial"/>
                <w:sz w:val="18"/>
                <w:szCs w:val="18"/>
              </w:rPr>
              <w:t>Conforme a lo anterior, se modifica al Proyecto el siguiente párrafo:</w:t>
            </w:r>
          </w:p>
          <w:tbl>
            <w:tblPr>
              <w:tblStyle w:val="Tablaconcuadrcula"/>
              <w:tblW w:w="0" w:type="auto"/>
              <w:jc w:val="center"/>
              <w:tblLook w:val="04A0" w:firstRow="1" w:lastRow="0" w:firstColumn="1" w:lastColumn="0" w:noHBand="0" w:noVBand="1"/>
            </w:tblPr>
            <w:tblGrid>
              <w:gridCol w:w="2530"/>
            </w:tblGrid>
            <w:tr w:rsidR="00E14B8C" w:rsidRPr="00730154" w14:paraId="34F15F5E" w14:textId="77777777" w:rsidTr="009F6BE3">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7C39329" w14:textId="77777777" w:rsidR="00E14B8C" w:rsidRPr="00730154" w:rsidRDefault="00E14B8C" w:rsidP="00E14B8C">
                  <w:pPr>
                    <w:spacing w:before="120" w:after="120" w:line="23" w:lineRule="atLeast"/>
                    <w:jc w:val="center"/>
                    <w:rPr>
                      <w:rFonts w:ascii="Arial" w:hAnsi="Arial" w:cs="Arial"/>
                      <w:b/>
                      <w:sz w:val="18"/>
                      <w:szCs w:val="18"/>
                    </w:rPr>
                  </w:pPr>
                  <w:r>
                    <w:rPr>
                      <w:rFonts w:ascii="Arial" w:hAnsi="Arial" w:cs="Arial"/>
                      <w:b/>
                      <w:sz w:val="18"/>
                      <w:szCs w:val="18"/>
                    </w:rPr>
                    <w:lastRenderedPageBreak/>
                    <w:t>Modificación</w:t>
                  </w:r>
                  <w:r w:rsidRPr="00730154">
                    <w:rPr>
                      <w:rFonts w:ascii="Arial" w:hAnsi="Arial" w:cs="Arial"/>
                      <w:b/>
                      <w:sz w:val="18"/>
                      <w:szCs w:val="18"/>
                    </w:rPr>
                    <w:t xml:space="preserve"> al Proyecto </w:t>
                  </w:r>
                </w:p>
              </w:tc>
            </w:tr>
            <w:tr w:rsidR="00E14B8C" w:rsidRPr="00730154" w14:paraId="155C10C8" w14:textId="77777777" w:rsidTr="009F6BE3">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AE459F7" w14:textId="37925044" w:rsidR="00E14B8C" w:rsidRPr="00730154" w:rsidRDefault="00E14B8C" w:rsidP="00E14B8C">
                  <w:pPr>
                    <w:pStyle w:val="Textoindependiente"/>
                    <w:spacing w:before="120" w:line="23" w:lineRule="atLeast"/>
                    <w:jc w:val="both"/>
                    <w:rPr>
                      <w:rFonts w:ascii="Arial" w:hAnsi="Arial" w:cs="Arial"/>
                      <w:sz w:val="18"/>
                      <w:szCs w:val="18"/>
                    </w:rPr>
                  </w:pPr>
                  <w:r w:rsidRPr="00775C13">
                    <w:rPr>
                      <w:rFonts w:ascii="Arial" w:hAnsi="Arial" w:cs="Arial"/>
                      <w:b/>
                      <w:bCs/>
                      <w:sz w:val="18"/>
                      <w:szCs w:val="18"/>
                    </w:rPr>
                    <w:t>En caso de que no se cuente con la información anterior o los AE reporte ingresos acumulables iguales a cero,</w:t>
                  </w:r>
                  <w:r>
                    <w:rPr>
                      <w:rFonts w:ascii="Arial" w:hAnsi="Arial" w:cs="Arial"/>
                      <w:sz w:val="18"/>
                      <w:szCs w:val="18"/>
                    </w:rPr>
                    <w:t xml:space="preserve"> determinarla con base en </w:t>
                  </w:r>
                  <w:r w:rsidRPr="00775C13">
                    <w:rPr>
                      <w:rFonts w:ascii="Arial" w:hAnsi="Arial" w:cs="Arial"/>
                      <w:iCs/>
                      <w:strike/>
                      <w:sz w:val="18"/>
                      <w:szCs w:val="18"/>
                    </w:rPr>
                    <w:t>el monto de los activos del AE, utilizando</w:t>
                  </w:r>
                  <w:r>
                    <w:rPr>
                      <w:rFonts w:ascii="Arial" w:hAnsi="Arial" w:cs="Arial"/>
                      <w:iCs/>
                      <w:strike/>
                      <w:sz w:val="18"/>
                      <w:szCs w:val="18"/>
                    </w:rPr>
                    <w:t xml:space="preserve"> </w:t>
                  </w:r>
                  <w:r w:rsidRPr="00180E12">
                    <w:rPr>
                      <w:rFonts w:ascii="Arial" w:hAnsi="Arial" w:cs="Arial"/>
                      <w:sz w:val="18"/>
                      <w:szCs w:val="18"/>
                    </w:rPr>
                    <w:t>información integrada en el expediente, fuentes de acceso público y hechos notorios</w:t>
                  </w:r>
                  <w:r w:rsidRPr="00744008">
                    <w:rPr>
                      <w:rFonts w:ascii="Arial" w:hAnsi="Arial" w:cs="Arial"/>
                      <w:strike/>
                      <w:sz w:val="18"/>
                      <w:szCs w:val="18"/>
                    </w:rPr>
                    <w:t>.</w:t>
                  </w:r>
                  <w:r w:rsidRPr="00744008">
                    <w:rPr>
                      <w:rFonts w:ascii="Arial" w:hAnsi="Arial" w:cs="Arial"/>
                      <w:b/>
                      <w:bCs/>
                      <w:sz w:val="18"/>
                      <w:szCs w:val="18"/>
                    </w:rPr>
                    <w:t>,</w:t>
                  </w:r>
                  <w:r w:rsidRPr="00180E12">
                    <w:rPr>
                      <w:rFonts w:ascii="Arial" w:hAnsi="Arial" w:cs="Arial"/>
                      <w:sz w:val="18"/>
                      <w:szCs w:val="18"/>
                    </w:rPr>
                    <w:t xml:space="preserve"> </w:t>
                  </w:r>
                  <w:r w:rsidRPr="00180E12">
                    <w:rPr>
                      <w:rFonts w:ascii="Arial" w:hAnsi="Arial" w:cs="Arial"/>
                      <w:b/>
                      <w:bCs/>
                      <w:sz w:val="18"/>
                      <w:szCs w:val="18"/>
                    </w:rPr>
                    <w:t>sobre el monto de la transacción (cuando se trate de concentraciones ilícitas, concentraciones no notificadas e incumplimiento a condiciones establecidas en una resolución de concentración), los activos del infractor, los costos de producción, entre otro elementos que pudieran revelar la capacidad económica de los infractores</w:t>
                  </w:r>
                  <w:r w:rsidRPr="00180E12">
                    <w:rPr>
                      <w:rFonts w:ascii="Arial" w:hAnsi="Arial" w:cs="Arial"/>
                      <w:sz w:val="18"/>
                      <w:szCs w:val="18"/>
                    </w:rPr>
                    <w:t>.</w:t>
                  </w:r>
                  <w:r w:rsidRPr="00775C13">
                    <w:rPr>
                      <w:rStyle w:val="Refdenotaalpie"/>
                      <w:rFonts w:ascii="Arial" w:eastAsia="Times New Roman" w:hAnsi="Arial" w:cs="Arial"/>
                      <w:sz w:val="18"/>
                      <w:szCs w:val="18"/>
                    </w:rPr>
                    <w:footnoteReference w:id="5"/>
                  </w:r>
                </w:p>
              </w:tc>
            </w:tr>
          </w:tbl>
          <w:p w14:paraId="3F584722" w14:textId="7FE2F389" w:rsidR="00E14B8C" w:rsidRPr="003F324D" w:rsidRDefault="00E14B8C" w:rsidP="009F6BE3">
            <w:pPr>
              <w:spacing w:before="120" w:after="120" w:line="23" w:lineRule="atLeast"/>
              <w:jc w:val="both"/>
              <w:rPr>
                <w:rFonts w:ascii="Arial" w:hAnsi="Arial" w:cs="Arial"/>
                <w:bCs/>
                <w:sz w:val="18"/>
                <w:szCs w:val="18"/>
              </w:rPr>
            </w:pPr>
          </w:p>
        </w:tc>
      </w:tr>
    </w:tbl>
    <w:p w14:paraId="7C483A33" w14:textId="77777777" w:rsidR="00EB659A" w:rsidRPr="00EB659A" w:rsidRDefault="00EB659A" w:rsidP="00EB659A"/>
    <w:p w14:paraId="02941250" w14:textId="6225DE84" w:rsidR="00356F49" w:rsidRPr="00730154" w:rsidRDefault="008B1B1F" w:rsidP="00730154">
      <w:pPr>
        <w:pStyle w:val="Ttulo2"/>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.19. Apartado 4.7 Afectación al ejercicio de las atribuciones del IFT</w:t>
      </w:r>
    </w:p>
    <w:p w14:paraId="058F25F0" w14:textId="7980AF62" w:rsidR="00356F49" w:rsidRDefault="008B1B1F" w:rsidP="00730154">
      <w:pPr>
        <w:pStyle w:val="Ttulo3"/>
        <w:spacing w:before="120" w:after="120" w:line="23" w:lineRule="atLeast"/>
        <w:rPr>
          <w:rFonts w:ascii="Arial" w:hAnsi="Arial" w:cs="Arial"/>
          <w:b/>
          <w:color w:val="auto"/>
          <w:sz w:val="22"/>
          <w:szCs w:val="22"/>
        </w:rPr>
      </w:pPr>
      <w:r>
        <w:rPr>
          <w:rFonts w:ascii="Arial" w:hAnsi="Arial" w:cs="Arial"/>
          <w:b/>
          <w:color w:val="auto"/>
          <w:sz w:val="22"/>
          <w:szCs w:val="22"/>
        </w:rPr>
        <w:t>8</w:t>
      </w:r>
      <w:r w:rsidR="00356F49" w:rsidRPr="00730154">
        <w:rPr>
          <w:rFonts w:ascii="Arial" w:hAnsi="Arial" w:cs="Arial"/>
          <w:b/>
          <w:color w:val="auto"/>
          <w:sz w:val="22"/>
          <w:szCs w:val="22"/>
        </w:rPr>
        <w:t xml:space="preserve">.19.1. </w:t>
      </w:r>
      <w:r w:rsidR="00356F49" w:rsidRPr="00730154">
        <w:rPr>
          <w:rFonts w:ascii="Arial" w:hAnsi="Arial" w:cs="Arial"/>
          <w:b/>
          <w:bCs/>
          <w:color w:val="auto"/>
          <w:sz w:val="22"/>
          <w:szCs w:val="22"/>
        </w:rPr>
        <w:t>Síntesis de</w:t>
      </w:r>
      <w:r w:rsidR="00356F49" w:rsidRPr="00730154">
        <w:rPr>
          <w:rFonts w:ascii="Arial" w:hAnsi="Arial" w:cs="Arial"/>
          <w:b/>
          <w:color w:val="auto"/>
          <w:sz w:val="22"/>
          <w:szCs w:val="22"/>
        </w:rPr>
        <w:t xml:space="preserve"> los comentarios recibidos respecto de la propuesta del apartado 4.7 Afectación al ejercicio de las atribuciones del IFT</w:t>
      </w:r>
    </w:p>
    <w:tbl>
      <w:tblPr>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8"/>
        <w:gridCol w:w="3280"/>
        <w:gridCol w:w="2756"/>
      </w:tblGrid>
      <w:tr w:rsidR="00811536" w:rsidRPr="00730154" w14:paraId="3A77E960" w14:textId="77777777" w:rsidTr="009F6BE3">
        <w:trPr>
          <w:tblHeader/>
        </w:trPr>
        <w:tc>
          <w:tcPr>
            <w:tcW w:w="3348" w:type="dxa"/>
            <w:tcBorders>
              <w:bottom w:val="single" w:sz="8" w:space="0" w:color="auto"/>
            </w:tcBorders>
            <w:shd w:val="clear" w:color="auto" w:fill="70AD47" w:themeFill="accent6"/>
          </w:tcPr>
          <w:p w14:paraId="23B5B418" w14:textId="77777777" w:rsidR="00811536" w:rsidRPr="00730154" w:rsidRDefault="00811536" w:rsidP="009F6BE3">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3280" w:type="dxa"/>
            <w:tcBorders>
              <w:bottom w:val="single" w:sz="8" w:space="0" w:color="auto"/>
            </w:tcBorders>
            <w:shd w:val="clear" w:color="auto" w:fill="70AD47" w:themeFill="accent6"/>
          </w:tcPr>
          <w:p w14:paraId="0CCACF8E" w14:textId="77777777" w:rsidR="00811536" w:rsidRPr="00730154" w:rsidRDefault="00811536" w:rsidP="009F6BE3">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2756" w:type="dxa"/>
            <w:tcBorders>
              <w:bottom w:val="single" w:sz="8" w:space="0" w:color="auto"/>
            </w:tcBorders>
            <w:shd w:val="clear" w:color="auto" w:fill="70AD47" w:themeFill="accent6"/>
          </w:tcPr>
          <w:p w14:paraId="5B8939B6" w14:textId="77777777" w:rsidR="00811536" w:rsidRPr="00730154" w:rsidRDefault="00811536" w:rsidP="009F6BE3">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11536" w:rsidRPr="00730154" w14:paraId="43E0E982" w14:textId="77777777" w:rsidTr="009F6BE3">
        <w:tc>
          <w:tcPr>
            <w:tcW w:w="9384" w:type="dxa"/>
            <w:gridSpan w:val="3"/>
            <w:tcBorders>
              <w:bottom w:val="single" w:sz="8" w:space="0" w:color="auto"/>
            </w:tcBorders>
            <w:shd w:val="clear" w:color="auto" w:fill="C5E0B3" w:themeFill="accent6" w:themeFillTint="66"/>
          </w:tcPr>
          <w:p w14:paraId="2540D966" w14:textId="0AB3AFDD" w:rsidR="00811536" w:rsidRPr="00730154" w:rsidRDefault="00811536" w:rsidP="009F6BE3">
            <w:pPr>
              <w:spacing w:before="120" w:after="120" w:line="23" w:lineRule="atLeast"/>
              <w:jc w:val="center"/>
              <w:rPr>
                <w:rFonts w:ascii="Arial" w:hAnsi="Arial" w:cs="Arial"/>
                <w:b/>
                <w:sz w:val="18"/>
                <w:szCs w:val="18"/>
              </w:rPr>
            </w:pPr>
            <w:r w:rsidRPr="00730154">
              <w:rPr>
                <w:rFonts w:ascii="Arial" w:hAnsi="Arial" w:cs="Arial"/>
                <w:b/>
                <w:sz w:val="18"/>
                <w:szCs w:val="18"/>
              </w:rPr>
              <w:t>4.7. Afectación al ejercicio de las atribuciones del IFT</w:t>
            </w:r>
          </w:p>
        </w:tc>
      </w:tr>
      <w:tr w:rsidR="00811536" w:rsidRPr="003F324D" w14:paraId="40A1720C" w14:textId="77777777" w:rsidTr="009F6BE3">
        <w:tc>
          <w:tcPr>
            <w:tcW w:w="3348" w:type="dxa"/>
            <w:shd w:val="clear" w:color="auto" w:fill="FFFFFF" w:themeFill="background1"/>
          </w:tcPr>
          <w:p w14:paraId="266AF6B2" w14:textId="77777777" w:rsidR="00811536" w:rsidRPr="00730154" w:rsidRDefault="00811536" w:rsidP="009F6BE3">
            <w:pPr>
              <w:spacing w:before="120" w:after="120" w:line="23" w:lineRule="atLeast"/>
              <w:jc w:val="both"/>
              <w:rPr>
                <w:rFonts w:ascii="Arial" w:hAnsi="Arial" w:cs="Arial"/>
                <w:sz w:val="18"/>
                <w:szCs w:val="18"/>
                <w:lang w:val="es-ES"/>
              </w:rPr>
            </w:pPr>
            <w:r w:rsidRPr="00730154">
              <w:rPr>
                <w:rFonts w:ascii="Arial" w:hAnsi="Arial" w:cs="Arial"/>
                <w:sz w:val="18"/>
                <w:szCs w:val="18"/>
                <w:lang w:val="es-ES"/>
              </w:rPr>
              <w:t>“c) Expediente E-IFT/UC/DGIP/PMR/0003/2013 y Acumulados</w:t>
            </w:r>
          </w:p>
          <w:p w14:paraId="7086D5AA" w14:textId="77777777" w:rsidR="00811536" w:rsidRPr="00730154" w:rsidRDefault="00811536" w:rsidP="009F6BE3">
            <w:pPr>
              <w:spacing w:before="120" w:after="120" w:line="23" w:lineRule="atLeast"/>
              <w:jc w:val="both"/>
              <w:rPr>
                <w:rFonts w:ascii="Arial" w:hAnsi="Arial" w:cs="Arial"/>
                <w:bCs/>
                <w:sz w:val="18"/>
                <w:szCs w:val="18"/>
                <w:lang w:val="es-ES"/>
              </w:rPr>
            </w:pPr>
            <w:r w:rsidRPr="00730154">
              <w:rPr>
                <w:rFonts w:ascii="Arial" w:hAnsi="Arial" w:cs="Arial"/>
                <w:sz w:val="18"/>
                <w:szCs w:val="18"/>
                <w:lang w:val="es-ES"/>
              </w:rPr>
              <w:t>En el asunto referido, para determinar los indicios de intencionalidad, el Instituto advirtió la existencia de elementos para determinar que las emplazadas tuvieron intencionalidad de la omisión que les fue imputada […]”</w:t>
            </w:r>
          </w:p>
        </w:tc>
        <w:tc>
          <w:tcPr>
            <w:tcW w:w="3280" w:type="dxa"/>
            <w:shd w:val="clear" w:color="auto" w:fill="FFFFFF" w:themeFill="background1"/>
          </w:tcPr>
          <w:p w14:paraId="7FBFD423" w14:textId="127DA635" w:rsidR="00811536" w:rsidRPr="00730154" w:rsidRDefault="00811536" w:rsidP="009F6BE3">
            <w:pPr>
              <w:spacing w:before="120" w:after="120" w:line="23" w:lineRule="atLeast"/>
              <w:jc w:val="both"/>
              <w:rPr>
                <w:rFonts w:ascii="Arial" w:hAnsi="Arial" w:cs="Arial"/>
                <w:b/>
                <w:sz w:val="18"/>
                <w:szCs w:val="18"/>
              </w:rPr>
            </w:pPr>
            <w:r w:rsidRPr="00730154">
              <w:rPr>
                <w:rFonts w:ascii="Arial" w:hAnsi="Arial" w:cs="Arial"/>
                <w:bCs/>
                <w:sz w:val="18"/>
                <w:szCs w:val="18"/>
              </w:rPr>
              <w:t>Se sugiere retirar dicho precedente ya que se encuentra pendiente de resolución y actualmente cuenta con una resolución de primera instancia que lo deja insubsistente.</w:t>
            </w:r>
          </w:p>
        </w:tc>
        <w:tc>
          <w:tcPr>
            <w:tcW w:w="2756" w:type="dxa"/>
            <w:shd w:val="clear" w:color="auto" w:fill="FFFFFF" w:themeFill="background1"/>
          </w:tcPr>
          <w:p w14:paraId="7D3A4CCE" w14:textId="59FE252F" w:rsidR="00811536" w:rsidRPr="003F324D" w:rsidRDefault="00811536" w:rsidP="009F6BE3">
            <w:pPr>
              <w:spacing w:before="120" w:after="120" w:line="23" w:lineRule="atLeast"/>
              <w:jc w:val="both"/>
              <w:rPr>
                <w:rFonts w:ascii="Arial" w:hAnsi="Arial" w:cs="Arial"/>
                <w:bCs/>
                <w:sz w:val="18"/>
                <w:szCs w:val="18"/>
              </w:rPr>
            </w:pPr>
            <w:r>
              <w:rPr>
                <w:rFonts w:ascii="Arial" w:hAnsi="Arial" w:cs="Arial"/>
                <w:bCs/>
                <w:sz w:val="18"/>
                <w:szCs w:val="18"/>
              </w:rPr>
              <w:t>Se considera improcedente en atención a que, aun cuando la resolución citada ha sido controvertida por los AE sancionados y actualmente está pendiente de resolución en PJF, su exposición sirve para ilustrar el ejercicio de las facultades del Instituto en la imposición de multas.</w:t>
            </w:r>
            <w:r w:rsidR="007B6F34">
              <w:rPr>
                <w:rFonts w:ascii="Arial" w:hAnsi="Arial" w:cs="Arial"/>
                <w:bCs/>
                <w:sz w:val="18"/>
                <w:szCs w:val="18"/>
              </w:rPr>
              <w:t xml:space="preserve"> Se precisa que la guía será revisada y actualizada cada 5 años, en términos del artículo 138 de la LFCE.</w:t>
            </w:r>
          </w:p>
        </w:tc>
      </w:tr>
    </w:tbl>
    <w:p w14:paraId="0BCC7302" w14:textId="1B6D0187" w:rsidR="00356F49" w:rsidRPr="00730154" w:rsidRDefault="00356F49" w:rsidP="00730154">
      <w:pPr>
        <w:spacing w:before="120" w:after="120" w:line="23" w:lineRule="atLeast"/>
        <w:rPr>
          <w:rFonts w:ascii="Arial" w:hAnsi="Arial" w:cs="Arial"/>
        </w:rPr>
      </w:pPr>
    </w:p>
    <w:sectPr w:rsidR="00356F49" w:rsidRPr="00730154" w:rsidSect="00517AF3">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77D0D" w14:textId="77777777" w:rsidR="00743CAA" w:rsidRDefault="00743CAA" w:rsidP="005C5B1C">
      <w:pPr>
        <w:spacing w:after="0" w:line="240" w:lineRule="auto"/>
      </w:pPr>
      <w:r>
        <w:separator/>
      </w:r>
    </w:p>
  </w:endnote>
  <w:endnote w:type="continuationSeparator" w:id="0">
    <w:p w14:paraId="7839489B" w14:textId="77777777" w:rsidR="00743CAA" w:rsidRDefault="00743CAA" w:rsidP="005C5B1C">
      <w:pPr>
        <w:spacing w:after="0" w:line="240" w:lineRule="auto"/>
      </w:pPr>
      <w:r>
        <w:continuationSeparator/>
      </w:r>
    </w:p>
  </w:endnote>
  <w:endnote w:type="continuationNotice" w:id="1">
    <w:p w14:paraId="3E941283" w14:textId="77777777" w:rsidR="00743CAA" w:rsidRDefault="00743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171158"/>
      <w:docPartObj>
        <w:docPartGallery w:val="Page Numbers (Bottom of Page)"/>
        <w:docPartUnique/>
      </w:docPartObj>
    </w:sdtPr>
    <w:sdtEndPr/>
    <w:sdtContent>
      <w:sdt>
        <w:sdtPr>
          <w:id w:val="-1769616900"/>
          <w:docPartObj>
            <w:docPartGallery w:val="Page Numbers (Top of Page)"/>
            <w:docPartUnique/>
          </w:docPartObj>
        </w:sdtPr>
        <w:sdtEndPr/>
        <w:sdtContent>
          <w:p w14:paraId="776F747C" w14:textId="406662E9" w:rsidR="009F6BE3" w:rsidRDefault="009F6BE3">
            <w:pPr>
              <w:pStyle w:val="Piedepgina"/>
              <w:jc w:val="right"/>
            </w:pPr>
            <w:r w:rsidRPr="00D87CA2">
              <w:rPr>
                <w:rFonts w:ascii="Arial" w:hAnsi="Arial" w:cs="Arial"/>
                <w:sz w:val="18"/>
                <w:szCs w:val="18"/>
                <w:lang w:val="es-ES"/>
              </w:rPr>
              <w:t xml:space="preserve">Página </w:t>
            </w:r>
            <w:r w:rsidRPr="00D87CA2">
              <w:rPr>
                <w:rFonts w:ascii="Arial" w:hAnsi="Arial" w:cs="Arial"/>
                <w:b/>
                <w:bCs/>
                <w:sz w:val="18"/>
                <w:szCs w:val="18"/>
              </w:rPr>
              <w:fldChar w:fldCharType="begin"/>
            </w:r>
            <w:r w:rsidRPr="00D87CA2">
              <w:rPr>
                <w:rFonts w:ascii="Arial" w:hAnsi="Arial" w:cs="Arial"/>
                <w:b/>
                <w:bCs/>
                <w:sz w:val="18"/>
                <w:szCs w:val="18"/>
              </w:rPr>
              <w:instrText>PAGE</w:instrText>
            </w:r>
            <w:r w:rsidRPr="00D87CA2">
              <w:rPr>
                <w:rFonts w:ascii="Arial" w:hAnsi="Arial" w:cs="Arial"/>
                <w:b/>
                <w:bCs/>
                <w:sz w:val="18"/>
                <w:szCs w:val="18"/>
              </w:rPr>
              <w:fldChar w:fldCharType="separate"/>
            </w:r>
            <w:r w:rsidRPr="00D87CA2">
              <w:rPr>
                <w:rFonts w:ascii="Arial" w:hAnsi="Arial" w:cs="Arial"/>
                <w:b/>
                <w:bCs/>
                <w:sz w:val="18"/>
                <w:szCs w:val="18"/>
                <w:lang w:val="es-ES"/>
              </w:rPr>
              <w:t>2</w:t>
            </w:r>
            <w:r w:rsidRPr="00D87CA2">
              <w:rPr>
                <w:rFonts w:ascii="Arial" w:hAnsi="Arial" w:cs="Arial"/>
                <w:b/>
                <w:bCs/>
                <w:sz w:val="18"/>
                <w:szCs w:val="18"/>
              </w:rPr>
              <w:fldChar w:fldCharType="end"/>
            </w:r>
            <w:r w:rsidRPr="00D87CA2">
              <w:rPr>
                <w:rFonts w:ascii="Arial" w:hAnsi="Arial" w:cs="Arial"/>
                <w:sz w:val="18"/>
                <w:szCs w:val="18"/>
                <w:lang w:val="es-ES"/>
              </w:rPr>
              <w:t xml:space="preserve"> de </w:t>
            </w:r>
            <w:r w:rsidRPr="00D87CA2">
              <w:rPr>
                <w:rFonts w:ascii="Arial" w:hAnsi="Arial" w:cs="Arial"/>
                <w:b/>
                <w:bCs/>
                <w:sz w:val="18"/>
                <w:szCs w:val="18"/>
              </w:rPr>
              <w:fldChar w:fldCharType="begin"/>
            </w:r>
            <w:r w:rsidRPr="00D87CA2">
              <w:rPr>
                <w:rFonts w:ascii="Arial" w:hAnsi="Arial" w:cs="Arial"/>
                <w:b/>
                <w:bCs/>
                <w:sz w:val="18"/>
                <w:szCs w:val="18"/>
              </w:rPr>
              <w:instrText>NUMPAGES</w:instrText>
            </w:r>
            <w:r w:rsidRPr="00D87CA2">
              <w:rPr>
                <w:rFonts w:ascii="Arial" w:hAnsi="Arial" w:cs="Arial"/>
                <w:b/>
                <w:bCs/>
                <w:sz w:val="18"/>
                <w:szCs w:val="18"/>
              </w:rPr>
              <w:fldChar w:fldCharType="separate"/>
            </w:r>
            <w:r w:rsidRPr="00D87CA2">
              <w:rPr>
                <w:rFonts w:ascii="Arial" w:hAnsi="Arial" w:cs="Arial"/>
                <w:b/>
                <w:bCs/>
                <w:sz w:val="18"/>
                <w:szCs w:val="18"/>
                <w:lang w:val="es-ES"/>
              </w:rPr>
              <w:t>2</w:t>
            </w:r>
            <w:r w:rsidRPr="00D87CA2">
              <w:rPr>
                <w:rFonts w:ascii="Arial" w:hAnsi="Arial" w:cs="Arial"/>
                <w:b/>
                <w:bCs/>
                <w:sz w:val="18"/>
                <w:szCs w:val="18"/>
              </w:rPr>
              <w:fldChar w:fldCharType="end"/>
            </w:r>
          </w:p>
        </w:sdtContent>
      </w:sdt>
    </w:sdtContent>
  </w:sdt>
  <w:p w14:paraId="305F1FB1" w14:textId="77777777" w:rsidR="009F6BE3" w:rsidRDefault="009F6B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8BF42" w14:textId="77777777" w:rsidR="00743CAA" w:rsidRDefault="00743CAA" w:rsidP="005C5B1C">
      <w:pPr>
        <w:spacing w:after="0" w:line="240" w:lineRule="auto"/>
      </w:pPr>
      <w:r>
        <w:separator/>
      </w:r>
    </w:p>
  </w:footnote>
  <w:footnote w:type="continuationSeparator" w:id="0">
    <w:p w14:paraId="570E5CD5" w14:textId="77777777" w:rsidR="00743CAA" w:rsidRDefault="00743CAA" w:rsidP="005C5B1C">
      <w:pPr>
        <w:spacing w:after="0" w:line="240" w:lineRule="auto"/>
      </w:pPr>
      <w:r>
        <w:continuationSeparator/>
      </w:r>
    </w:p>
  </w:footnote>
  <w:footnote w:type="continuationNotice" w:id="1">
    <w:p w14:paraId="3869FBC6" w14:textId="77777777" w:rsidR="00743CAA" w:rsidRDefault="00743CAA">
      <w:pPr>
        <w:spacing w:after="0" w:line="240" w:lineRule="auto"/>
      </w:pPr>
    </w:p>
  </w:footnote>
  <w:footnote w:id="2">
    <w:p w14:paraId="00F0D530" w14:textId="77777777" w:rsidR="009F6BE3" w:rsidRPr="00D87CA2" w:rsidRDefault="009F6BE3" w:rsidP="0084524F">
      <w:pPr>
        <w:spacing w:after="0" w:line="240" w:lineRule="auto"/>
        <w:jc w:val="both"/>
        <w:rPr>
          <w:rFonts w:ascii="Arial" w:hAnsi="Arial" w:cs="Arial"/>
          <w:i/>
          <w:iCs/>
          <w:sz w:val="14"/>
          <w:szCs w:val="14"/>
        </w:rPr>
      </w:pPr>
      <w:r w:rsidRPr="00517AF3">
        <w:rPr>
          <w:rStyle w:val="Refdenotaalpie"/>
          <w:rFonts w:ascii="Arial" w:hAnsi="Arial" w:cs="Arial"/>
          <w:sz w:val="14"/>
          <w:szCs w:val="14"/>
        </w:rPr>
        <w:footnoteRef/>
      </w:r>
      <w:r w:rsidRPr="00517AF3">
        <w:rPr>
          <w:rFonts w:ascii="Arial" w:hAnsi="Arial" w:cs="Arial"/>
          <w:sz w:val="14"/>
          <w:szCs w:val="14"/>
        </w:rPr>
        <w:t xml:space="preserve"> “</w:t>
      </w:r>
      <w:r w:rsidRPr="00327E2B">
        <w:rPr>
          <w:rFonts w:ascii="Arial" w:hAnsi="Arial" w:cs="Arial"/>
          <w:b/>
          <w:bCs/>
          <w:i/>
          <w:iCs/>
          <w:sz w:val="14"/>
          <w:szCs w:val="14"/>
        </w:rPr>
        <w:t xml:space="preserve">Noveno.- </w:t>
      </w:r>
      <w:r w:rsidRPr="00327E2B">
        <w:rPr>
          <w:rFonts w:ascii="Arial" w:hAnsi="Arial" w:cs="Arial"/>
          <w:i/>
          <w:iCs/>
          <w:sz w:val="14"/>
          <w:szCs w:val="14"/>
        </w:rPr>
        <w:t>La información, comentarios, opiniones, aportaciones u otros elementos de análisis que los participantes presenten al Instituto, en los procesos de consulta pública que realice, no tendrán carácter vinculante. No obstante, siempre y cuando se hayan recib</w:t>
      </w:r>
      <w:r w:rsidRPr="001D1119">
        <w:rPr>
          <w:rFonts w:ascii="Arial" w:hAnsi="Arial" w:cs="Arial"/>
          <w:i/>
          <w:iCs/>
          <w:sz w:val="14"/>
          <w:szCs w:val="14"/>
        </w:rPr>
        <w:t>ido en tiempo y forma, las Unidades y/o Coordinaciones Generales correspondientes deberán analizarlos, ponderarlos y pre</w:t>
      </w:r>
      <w:r w:rsidRPr="00D87CA2">
        <w:rPr>
          <w:rFonts w:ascii="Arial" w:hAnsi="Arial" w:cs="Arial"/>
          <w:i/>
          <w:iCs/>
          <w:sz w:val="14"/>
          <w:szCs w:val="14"/>
        </w:rPr>
        <w:t>sentar una respuesta o posicionamiento sobre ellos a través de un Informe de Consideraciones, que contenga, cuando menos, la siguiente información:</w:t>
      </w:r>
    </w:p>
    <w:p w14:paraId="322F4BE9" w14:textId="77777777" w:rsidR="009F6BE3" w:rsidRPr="00327E2B" w:rsidRDefault="009F6BE3" w:rsidP="0084524F">
      <w:pPr>
        <w:spacing w:after="0" w:line="240" w:lineRule="auto"/>
        <w:jc w:val="both"/>
        <w:rPr>
          <w:rFonts w:ascii="Arial" w:hAnsi="Arial" w:cs="Arial"/>
          <w:i/>
          <w:iCs/>
          <w:sz w:val="14"/>
          <w:szCs w:val="14"/>
        </w:rPr>
      </w:pPr>
      <w:r w:rsidRPr="00327E2B">
        <w:rPr>
          <w:rFonts w:ascii="Arial" w:hAnsi="Arial" w:cs="Arial"/>
          <w:i/>
          <w:iCs/>
          <w:sz w:val="14"/>
          <w:szCs w:val="14"/>
        </w:rPr>
        <w:t>I.     Fecha de elaboración;</w:t>
      </w:r>
    </w:p>
    <w:p w14:paraId="5B7FE955" w14:textId="77777777" w:rsidR="009F6BE3" w:rsidRPr="00327E2B" w:rsidRDefault="009F6BE3" w:rsidP="0084524F">
      <w:pPr>
        <w:spacing w:after="0" w:line="240" w:lineRule="auto"/>
        <w:jc w:val="both"/>
        <w:rPr>
          <w:rFonts w:ascii="Arial" w:hAnsi="Arial" w:cs="Arial"/>
          <w:i/>
          <w:iCs/>
          <w:sz w:val="14"/>
          <w:szCs w:val="14"/>
        </w:rPr>
      </w:pPr>
      <w:r w:rsidRPr="00327E2B">
        <w:rPr>
          <w:rFonts w:ascii="Arial" w:hAnsi="Arial" w:cs="Arial"/>
          <w:i/>
          <w:iCs/>
          <w:sz w:val="14"/>
          <w:szCs w:val="14"/>
        </w:rPr>
        <w:t>II.    Título o denominación de la consulta pública;</w:t>
      </w:r>
    </w:p>
    <w:p w14:paraId="5527565B" w14:textId="77777777" w:rsidR="009F6BE3" w:rsidRPr="00327E2B" w:rsidRDefault="009F6BE3" w:rsidP="0084524F">
      <w:pPr>
        <w:spacing w:after="0" w:line="240" w:lineRule="auto"/>
        <w:jc w:val="both"/>
        <w:rPr>
          <w:rFonts w:ascii="Arial" w:hAnsi="Arial" w:cs="Arial"/>
          <w:i/>
          <w:iCs/>
          <w:sz w:val="14"/>
          <w:szCs w:val="14"/>
        </w:rPr>
      </w:pPr>
      <w:r w:rsidRPr="00327E2B">
        <w:rPr>
          <w:rFonts w:ascii="Arial" w:hAnsi="Arial" w:cs="Arial"/>
          <w:i/>
          <w:iCs/>
          <w:sz w:val="14"/>
          <w:szCs w:val="14"/>
        </w:rPr>
        <w:t>III.    Descripción de la consulta pública;</w:t>
      </w:r>
    </w:p>
    <w:p w14:paraId="6128B593" w14:textId="77777777" w:rsidR="009F6BE3" w:rsidRPr="00327E2B" w:rsidRDefault="009F6BE3" w:rsidP="0084524F">
      <w:pPr>
        <w:spacing w:after="0" w:line="240" w:lineRule="auto"/>
        <w:jc w:val="both"/>
        <w:rPr>
          <w:rFonts w:ascii="Arial" w:hAnsi="Arial" w:cs="Arial"/>
          <w:i/>
          <w:iCs/>
          <w:sz w:val="14"/>
          <w:szCs w:val="14"/>
        </w:rPr>
      </w:pPr>
      <w:r w:rsidRPr="00327E2B">
        <w:rPr>
          <w:rFonts w:ascii="Arial" w:hAnsi="Arial" w:cs="Arial"/>
          <w:i/>
          <w:iCs/>
          <w:sz w:val="14"/>
          <w:szCs w:val="14"/>
        </w:rPr>
        <w:t>IV.   Objetivos de la consulta pública;</w:t>
      </w:r>
    </w:p>
    <w:p w14:paraId="71CAC468" w14:textId="77777777" w:rsidR="009F6BE3" w:rsidRPr="00327E2B" w:rsidRDefault="009F6BE3" w:rsidP="0084524F">
      <w:pPr>
        <w:spacing w:after="0" w:line="240" w:lineRule="auto"/>
        <w:jc w:val="both"/>
        <w:rPr>
          <w:rFonts w:ascii="Arial" w:hAnsi="Arial" w:cs="Arial"/>
          <w:i/>
          <w:iCs/>
          <w:sz w:val="14"/>
          <w:szCs w:val="14"/>
        </w:rPr>
      </w:pPr>
      <w:r w:rsidRPr="00327E2B">
        <w:rPr>
          <w:rFonts w:ascii="Arial" w:hAnsi="Arial" w:cs="Arial"/>
          <w:i/>
          <w:iCs/>
          <w:sz w:val="14"/>
          <w:szCs w:val="14"/>
        </w:rPr>
        <w:t>V.    Unidades y/o Coordinaciones Generales responsables de la consulta pública;</w:t>
      </w:r>
    </w:p>
    <w:p w14:paraId="0ADDBB3A" w14:textId="77777777" w:rsidR="009F6BE3" w:rsidRPr="00327E2B" w:rsidRDefault="009F6BE3" w:rsidP="0084524F">
      <w:pPr>
        <w:spacing w:after="0" w:line="240" w:lineRule="auto"/>
        <w:jc w:val="both"/>
        <w:rPr>
          <w:rFonts w:ascii="Arial" w:hAnsi="Arial" w:cs="Arial"/>
          <w:i/>
          <w:iCs/>
          <w:sz w:val="14"/>
          <w:szCs w:val="14"/>
        </w:rPr>
      </w:pPr>
      <w:r w:rsidRPr="00327E2B">
        <w:rPr>
          <w:rFonts w:ascii="Arial" w:hAnsi="Arial" w:cs="Arial"/>
          <w:i/>
          <w:iCs/>
          <w:sz w:val="14"/>
          <w:szCs w:val="14"/>
        </w:rPr>
        <w:t>VI.   Descripción de los participantes en la consulta pública, y</w:t>
      </w:r>
    </w:p>
    <w:p w14:paraId="776453D8" w14:textId="77777777" w:rsidR="009F6BE3" w:rsidRPr="00327E2B" w:rsidRDefault="009F6BE3" w:rsidP="0084524F">
      <w:pPr>
        <w:spacing w:after="0" w:line="240" w:lineRule="auto"/>
        <w:jc w:val="both"/>
        <w:rPr>
          <w:rFonts w:ascii="Arial" w:hAnsi="Arial" w:cs="Arial"/>
          <w:i/>
          <w:iCs/>
          <w:sz w:val="14"/>
          <w:szCs w:val="14"/>
        </w:rPr>
      </w:pPr>
      <w:r w:rsidRPr="00327E2B">
        <w:rPr>
          <w:rFonts w:ascii="Arial" w:hAnsi="Arial" w:cs="Arial"/>
          <w:i/>
          <w:iCs/>
          <w:sz w:val="14"/>
          <w:szCs w:val="14"/>
        </w:rPr>
        <w:t>VII.  Las respuestas o posicionamientos que correspondan por parte del Instituto.</w:t>
      </w:r>
    </w:p>
    <w:p w14:paraId="5EF17303" w14:textId="77777777" w:rsidR="009F6BE3" w:rsidRPr="00327E2B" w:rsidRDefault="009F6BE3" w:rsidP="0084524F">
      <w:pPr>
        <w:spacing w:after="0" w:line="240" w:lineRule="auto"/>
        <w:jc w:val="both"/>
        <w:rPr>
          <w:rFonts w:ascii="Arial" w:hAnsi="Arial" w:cs="Arial"/>
          <w:i/>
          <w:iCs/>
          <w:sz w:val="14"/>
          <w:szCs w:val="14"/>
        </w:rPr>
      </w:pPr>
      <w:r w:rsidRPr="00327E2B">
        <w:rPr>
          <w:rFonts w:ascii="Arial" w:hAnsi="Arial" w:cs="Arial"/>
          <w:i/>
          <w:iCs/>
          <w:sz w:val="14"/>
          <w:szCs w:val="14"/>
        </w:rPr>
        <w:t>De así considerarlo, las Unidades y/o Coordinaciones Generales podrán presentar una respuesta o posicionamiento de manera agrupada acerca de la información, comentarios, opiniones, aportaciones u otros elementos de análisis que los participantes hayan aportado al Instituto.</w:t>
      </w:r>
    </w:p>
    <w:p w14:paraId="6BCDA0E6" w14:textId="7E2826BF" w:rsidR="009F6BE3" w:rsidRPr="00517AF3" w:rsidRDefault="009F6BE3" w:rsidP="005F2A88">
      <w:pPr>
        <w:spacing w:after="0" w:line="240" w:lineRule="auto"/>
        <w:jc w:val="both"/>
        <w:rPr>
          <w:rFonts w:ascii="Arial" w:hAnsi="Arial" w:cs="Arial"/>
          <w:sz w:val="14"/>
          <w:szCs w:val="14"/>
        </w:rPr>
      </w:pPr>
      <w:r w:rsidRPr="00327E2B">
        <w:rPr>
          <w:rFonts w:ascii="Arial" w:hAnsi="Arial" w:cs="Arial"/>
          <w:i/>
          <w:iCs/>
          <w:sz w:val="14"/>
          <w:szCs w:val="14"/>
        </w:rPr>
        <w:t>En el caso de que el Instituto determine la integración de algún grupo de enfoque, conforme a lo señalado en el Lineamiento Sexto, segundo párrafo, deberán referir en el Informe de Consideraciones los resultados del mismo, preservando la confidencialidad o reserva de la información que se haya determinado con ese carácter</w:t>
      </w:r>
      <w:r w:rsidRPr="00517AF3">
        <w:rPr>
          <w:rFonts w:ascii="Arial" w:hAnsi="Arial" w:cs="Arial"/>
          <w:sz w:val="14"/>
          <w:szCs w:val="14"/>
        </w:rPr>
        <w:t>”.</w:t>
      </w:r>
    </w:p>
  </w:footnote>
  <w:footnote w:id="3">
    <w:p w14:paraId="30B33DA7" w14:textId="77777777" w:rsidR="009F6BE3" w:rsidRPr="00994ACB" w:rsidRDefault="009F6BE3" w:rsidP="00C325CE">
      <w:pPr>
        <w:spacing w:after="0" w:line="240" w:lineRule="auto"/>
        <w:jc w:val="both"/>
        <w:rPr>
          <w:rFonts w:ascii="Arial" w:hAnsi="Arial" w:cs="Arial"/>
          <w:sz w:val="14"/>
          <w:szCs w:val="14"/>
        </w:rPr>
      </w:pPr>
      <w:r w:rsidRPr="00994ACB">
        <w:rPr>
          <w:rStyle w:val="Refdenotaalpie"/>
          <w:rFonts w:ascii="Arial" w:hAnsi="Arial" w:cs="Arial"/>
          <w:sz w:val="14"/>
          <w:szCs w:val="14"/>
        </w:rPr>
        <w:footnoteRef/>
      </w:r>
      <w:r w:rsidRPr="00994ACB">
        <w:rPr>
          <w:rFonts w:ascii="Arial" w:hAnsi="Arial" w:cs="Arial"/>
          <w:sz w:val="14"/>
          <w:szCs w:val="14"/>
        </w:rPr>
        <w:t xml:space="preserve"> Lo anterior es consistente con las siguientes directrices:</w:t>
      </w:r>
    </w:p>
    <w:p w14:paraId="6751065C" w14:textId="77777777" w:rsidR="009F6BE3" w:rsidRPr="00994ACB" w:rsidRDefault="009F6BE3" w:rsidP="00C325CE">
      <w:pPr>
        <w:spacing w:after="0" w:line="240" w:lineRule="auto"/>
        <w:ind w:left="567"/>
        <w:jc w:val="both"/>
        <w:rPr>
          <w:rFonts w:ascii="Arial" w:hAnsi="Arial" w:cs="Arial"/>
          <w:sz w:val="14"/>
          <w:szCs w:val="14"/>
        </w:rPr>
      </w:pPr>
      <w:r w:rsidRPr="00994ACB">
        <w:rPr>
          <w:rFonts w:ascii="Arial" w:hAnsi="Arial" w:cs="Arial"/>
          <w:sz w:val="14"/>
          <w:szCs w:val="14"/>
        </w:rPr>
        <w:t>i)</w:t>
      </w:r>
      <w:r w:rsidRPr="00994ACB">
        <w:rPr>
          <w:rFonts w:ascii="Arial" w:hAnsi="Arial" w:cs="Arial"/>
          <w:i/>
          <w:iCs/>
          <w:sz w:val="14"/>
          <w:szCs w:val="14"/>
        </w:rPr>
        <w:t>“Por lo general, es difícil obtener datos precisos sobre estas ganancias ilícitas, los precios que habría de no existir la actividad ilegal, la elasticidad de la demanda, la pérdida de eficiencia social, la pérdida de bienestar para el consumidor, etc. Teniendo en cuenta estas dificultades, los agentes de la ley de competencia (p. ej., la Unión Europea38) suelen usar elementos sustitutos para calcular una multa base, entre ellos el volumen de ventas en el mercado afectado, la cuota de mercado, el tipo de comportamiento ilegal, la duración de la infracción y las características del mercado afectado.”</w:t>
      </w:r>
      <w:r w:rsidRPr="00994ACB">
        <w:rPr>
          <w:rFonts w:ascii="Arial" w:hAnsi="Arial" w:cs="Arial"/>
          <w:sz w:val="14"/>
          <w:szCs w:val="14"/>
        </w:rPr>
        <w:t xml:space="preserve"> (P. 18, párrafo 37). </w:t>
      </w:r>
    </w:p>
    <w:p w14:paraId="2A6DD755" w14:textId="77777777" w:rsidR="009F6BE3" w:rsidRPr="00994ACB" w:rsidRDefault="009F6BE3" w:rsidP="00C325CE">
      <w:pPr>
        <w:spacing w:after="0" w:line="240" w:lineRule="auto"/>
        <w:jc w:val="both"/>
        <w:rPr>
          <w:rFonts w:ascii="Arial" w:hAnsi="Arial" w:cs="Arial"/>
          <w:sz w:val="14"/>
          <w:szCs w:val="14"/>
        </w:rPr>
      </w:pPr>
      <w:r w:rsidRPr="00994ACB">
        <w:rPr>
          <w:rFonts w:ascii="Arial" w:hAnsi="Arial" w:cs="Arial"/>
          <w:sz w:val="14"/>
          <w:szCs w:val="14"/>
        </w:rPr>
        <w:t xml:space="preserve">OCDE (2013). Criterios para la imposición de multas por infracciones a la ley de competencia. Documento de base preparado por el Secretariado de la OCDE, sesión 1. Disponible en: </w:t>
      </w:r>
      <w:hyperlink r:id="rId1" w:history="1">
        <w:r w:rsidRPr="00994ACB">
          <w:rPr>
            <w:rStyle w:val="Hipervnculo"/>
            <w:rFonts w:ascii="Arial" w:hAnsi="Arial" w:cs="Arial"/>
            <w:sz w:val="14"/>
            <w:szCs w:val="14"/>
          </w:rPr>
          <w:t>https://www.oecd.org/officialdocuments/publicdisplaydocumentpdf/?cote=DAF/COMP/LACF(2013)4/REV1&amp;docLanguage=Es</w:t>
        </w:r>
      </w:hyperlink>
      <w:r w:rsidRPr="00994ACB">
        <w:rPr>
          <w:rFonts w:ascii="Arial" w:hAnsi="Arial" w:cs="Arial"/>
          <w:sz w:val="14"/>
          <w:szCs w:val="14"/>
        </w:rPr>
        <w:t xml:space="preserve"> </w:t>
      </w:r>
    </w:p>
    <w:p w14:paraId="52EA9E89" w14:textId="77777777" w:rsidR="009F6BE3" w:rsidRPr="00994ACB" w:rsidRDefault="009F6BE3" w:rsidP="00C325CE">
      <w:pPr>
        <w:spacing w:after="0" w:line="240" w:lineRule="auto"/>
        <w:ind w:left="567"/>
        <w:jc w:val="both"/>
        <w:rPr>
          <w:rFonts w:ascii="Arial" w:hAnsi="Arial" w:cs="Arial"/>
          <w:sz w:val="14"/>
          <w:szCs w:val="14"/>
        </w:rPr>
      </w:pPr>
      <w:r w:rsidRPr="00994ACB">
        <w:rPr>
          <w:rFonts w:ascii="Arial" w:hAnsi="Arial" w:cs="Arial"/>
          <w:sz w:val="14"/>
          <w:szCs w:val="14"/>
        </w:rPr>
        <w:t>ii)</w:t>
      </w:r>
      <w:r w:rsidRPr="00994ACB">
        <w:rPr>
          <w:rFonts w:ascii="Arial" w:hAnsi="Arial" w:cs="Arial"/>
          <w:i/>
          <w:iCs/>
          <w:sz w:val="14"/>
          <w:szCs w:val="14"/>
        </w:rPr>
        <w:t xml:space="preserve"> “Para intentar recabar mayor información sobre los perjuicios causados por los cárteles, el Comité de Legislación y Política de Competencia de la OCDE ha llevado a cabo una encuesta sobre los casos de cártel tratados por sus miembros de 1996 a 2000. </w:t>
      </w:r>
      <w:r w:rsidRPr="00994ACB">
        <w:rPr>
          <w:rFonts w:ascii="Arial" w:hAnsi="Arial" w:cs="Arial"/>
          <w:b/>
          <w:bCs/>
          <w:i/>
          <w:iCs/>
          <w:sz w:val="14"/>
          <w:szCs w:val="14"/>
        </w:rPr>
        <w:t>Los países que han participado en la encuesta han señalado un total de 119 casos, pero en muchos de ellos ha sido imposible evaluar el perjuicio causado</w:t>
      </w:r>
      <w:r w:rsidRPr="00994ACB">
        <w:rPr>
          <w:rFonts w:ascii="Arial" w:hAnsi="Arial" w:cs="Arial"/>
          <w:i/>
          <w:iCs/>
          <w:sz w:val="14"/>
          <w:szCs w:val="14"/>
        </w:rPr>
        <w:t>.”</w:t>
      </w:r>
      <w:r w:rsidRPr="00994ACB">
        <w:rPr>
          <w:rFonts w:ascii="Arial" w:hAnsi="Arial" w:cs="Arial"/>
          <w:sz w:val="14"/>
          <w:szCs w:val="14"/>
        </w:rPr>
        <w:t xml:space="preserve"> (p. 3).</w:t>
      </w:r>
    </w:p>
    <w:p w14:paraId="0DD0D2A0" w14:textId="77777777" w:rsidR="009F6BE3" w:rsidRPr="00994ACB" w:rsidRDefault="009F6BE3" w:rsidP="00C325CE">
      <w:pPr>
        <w:spacing w:after="0" w:line="240" w:lineRule="auto"/>
        <w:ind w:left="567"/>
        <w:jc w:val="both"/>
        <w:rPr>
          <w:rFonts w:ascii="Arial" w:hAnsi="Arial" w:cs="Arial"/>
          <w:sz w:val="14"/>
          <w:szCs w:val="14"/>
        </w:rPr>
      </w:pPr>
      <w:r w:rsidRPr="00994ACB">
        <w:rPr>
          <w:rFonts w:ascii="Arial" w:hAnsi="Arial" w:cs="Arial"/>
          <w:i/>
          <w:iCs/>
          <w:sz w:val="14"/>
          <w:szCs w:val="14"/>
        </w:rPr>
        <w:t xml:space="preserve">“La encuesta de la OCDE sólo ha permitido comparar las sanciones financieras con las ganancias obtenidas por los cárteles en un número limitado de casos. Las multas expresadas en porcentaje de ganancias variaban, en un amplio abanico, del 3% al 189%. En tan sólo cuatro casos –dos en Estados Unidos, uno en Canadá y otro en Alemania-, las multas superaron el 100% de la ganancia estimada, sin que su importe alcanzara, en ningún caso, </w:t>
      </w:r>
      <w:r w:rsidRPr="00994ACB">
        <w:rPr>
          <w:rFonts w:ascii="Arial" w:hAnsi="Arial" w:cs="Arial"/>
          <w:b/>
          <w:bCs/>
          <w:i/>
          <w:iCs/>
          <w:sz w:val="14"/>
          <w:szCs w:val="14"/>
        </w:rPr>
        <w:t>el doble o el triple de la ganancia supuestamente obtenida -tal y como lo recomiendan algunos expertos</w:t>
      </w:r>
      <w:r w:rsidRPr="00994ACB">
        <w:rPr>
          <w:rFonts w:ascii="Arial" w:hAnsi="Arial" w:cs="Arial"/>
          <w:i/>
          <w:iCs/>
          <w:sz w:val="14"/>
          <w:szCs w:val="14"/>
        </w:rPr>
        <w:t xml:space="preserve">. Por ende, cabe concluir que, pese a que existe una tendencia clara, aunque desigual, a endurecer las sanciones en los casos de cártel, la información disponible demuestra que </w:t>
      </w:r>
      <w:r w:rsidRPr="00994ACB">
        <w:rPr>
          <w:rFonts w:ascii="Arial" w:hAnsi="Arial" w:cs="Arial"/>
          <w:b/>
          <w:bCs/>
          <w:i/>
          <w:iCs/>
          <w:sz w:val="14"/>
          <w:szCs w:val="14"/>
        </w:rPr>
        <w:t>se necesitan sanciones más fuertes para conseguir que el efecto disuasivo sea realmente eficaz.</w:t>
      </w:r>
      <w:r w:rsidRPr="00994ACB">
        <w:rPr>
          <w:rFonts w:ascii="Arial" w:hAnsi="Arial" w:cs="Arial"/>
          <w:i/>
          <w:iCs/>
          <w:sz w:val="14"/>
          <w:szCs w:val="14"/>
        </w:rPr>
        <w:t>”</w:t>
      </w:r>
      <w:r w:rsidRPr="00994ACB">
        <w:rPr>
          <w:rFonts w:ascii="Arial" w:hAnsi="Arial" w:cs="Arial"/>
          <w:sz w:val="14"/>
          <w:szCs w:val="14"/>
        </w:rPr>
        <w:t xml:space="preserve"> (p. 6).</w:t>
      </w:r>
    </w:p>
    <w:p w14:paraId="1F2D0A56" w14:textId="77777777" w:rsidR="009F6BE3" w:rsidRPr="00994ACB" w:rsidRDefault="009F6BE3" w:rsidP="00C325CE">
      <w:pPr>
        <w:spacing w:after="0" w:line="240" w:lineRule="auto"/>
        <w:jc w:val="both"/>
        <w:rPr>
          <w:rFonts w:ascii="Arial" w:hAnsi="Arial" w:cs="Arial"/>
          <w:sz w:val="14"/>
          <w:szCs w:val="14"/>
        </w:rPr>
      </w:pPr>
      <w:r w:rsidRPr="00BE7368">
        <w:rPr>
          <w:rFonts w:ascii="Arial" w:hAnsi="Arial" w:cs="Arial"/>
          <w:sz w:val="14"/>
          <w:szCs w:val="14"/>
        </w:rPr>
        <w:t xml:space="preserve">OCDE (2002). </w:t>
      </w:r>
      <w:r w:rsidRPr="00BE7368">
        <w:rPr>
          <w:rFonts w:ascii="Arial" w:hAnsi="Arial" w:cs="Arial"/>
          <w:i/>
          <w:iCs/>
          <w:sz w:val="14"/>
          <w:szCs w:val="14"/>
        </w:rPr>
        <w:t xml:space="preserve">Hard Core Cartels Harm and Effective Sanctions. </w:t>
      </w:r>
      <w:r w:rsidRPr="00994ACB">
        <w:rPr>
          <w:rFonts w:ascii="Arial" w:hAnsi="Arial" w:cs="Arial"/>
          <w:i/>
          <w:iCs/>
          <w:sz w:val="14"/>
          <w:szCs w:val="14"/>
        </w:rPr>
        <w:t>Perjuicios causados por los cárteles y aplicación de sanciones eficaces</w:t>
      </w:r>
      <w:r w:rsidRPr="00994ACB">
        <w:rPr>
          <w:rFonts w:ascii="Arial" w:hAnsi="Arial" w:cs="Arial"/>
          <w:sz w:val="14"/>
          <w:szCs w:val="14"/>
        </w:rPr>
        <w:t xml:space="preserve">. Disponible en: </w:t>
      </w:r>
      <w:hyperlink r:id="rId2" w:history="1">
        <w:r w:rsidRPr="00994ACB">
          <w:rPr>
            <w:rStyle w:val="Hipervnculo"/>
            <w:rFonts w:ascii="Arial" w:hAnsi="Arial" w:cs="Arial"/>
            <w:sz w:val="14"/>
            <w:szCs w:val="14"/>
          </w:rPr>
          <w:t>https://www.oecd.org/competition/cartels/1935141.pdf</w:t>
        </w:r>
      </w:hyperlink>
      <w:r w:rsidRPr="00994ACB">
        <w:rPr>
          <w:rFonts w:ascii="Arial" w:hAnsi="Arial" w:cs="Arial"/>
          <w:sz w:val="14"/>
          <w:szCs w:val="14"/>
        </w:rPr>
        <w:t xml:space="preserve"> </w:t>
      </w:r>
    </w:p>
    <w:p w14:paraId="1DF2404A" w14:textId="77777777" w:rsidR="009F6BE3" w:rsidRPr="00994ACB" w:rsidRDefault="009F6BE3" w:rsidP="00C325CE">
      <w:pPr>
        <w:spacing w:after="0" w:line="276" w:lineRule="auto"/>
        <w:ind w:left="567"/>
        <w:contextualSpacing/>
        <w:jc w:val="both"/>
        <w:rPr>
          <w:rFonts w:ascii="Arial" w:eastAsia="Times New Roman" w:hAnsi="Arial" w:cs="Arial"/>
          <w:sz w:val="14"/>
          <w:szCs w:val="14"/>
          <w:shd w:val="clear" w:color="auto" w:fill="FFFFFF"/>
        </w:rPr>
      </w:pPr>
      <w:r w:rsidRPr="00994ACB">
        <w:rPr>
          <w:rFonts w:ascii="Arial" w:hAnsi="Arial" w:cs="Arial"/>
          <w:sz w:val="14"/>
          <w:szCs w:val="14"/>
        </w:rPr>
        <w:t xml:space="preserve">iii) Castillo Cerdas, Francisco Eleazar, “Multas óptimas en materia de competencia económica: sanciones individuales por acuerdos colusorios y medidas de apremio”. México, noviembre 2016, </w:t>
      </w:r>
      <w:hyperlink r:id="rId3" w:history="1">
        <w:r w:rsidRPr="00994ACB">
          <w:rPr>
            <w:rStyle w:val="Hipervnculo"/>
            <w:rFonts w:ascii="Arial" w:hAnsi="Arial" w:cs="Arial"/>
            <w:sz w:val="14"/>
            <w:szCs w:val="14"/>
          </w:rPr>
          <w:t>000155561_documento.pdf (repositorioinstitucional.mx)</w:t>
        </w:r>
      </w:hyperlink>
      <w:r w:rsidRPr="00994ACB">
        <w:rPr>
          <w:rFonts w:ascii="Arial" w:hAnsi="Arial" w:cs="Arial"/>
          <w:sz w:val="14"/>
          <w:szCs w:val="14"/>
        </w:rPr>
        <w:t>.</w:t>
      </w:r>
    </w:p>
  </w:footnote>
  <w:footnote w:id="4">
    <w:p w14:paraId="0A33595F" w14:textId="77777777" w:rsidR="009F6BE3" w:rsidRPr="00FB1D27" w:rsidRDefault="009F6BE3" w:rsidP="003F5DAA">
      <w:pPr>
        <w:pStyle w:val="Textonotapie"/>
        <w:rPr>
          <w:rFonts w:ascii="Arial" w:hAnsi="Arial" w:cs="Arial"/>
          <w:sz w:val="14"/>
          <w:szCs w:val="14"/>
        </w:rPr>
      </w:pPr>
      <w:r w:rsidRPr="00FB1D27">
        <w:rPr>
          <w:rStyle w:val="Refdenotaalpie"/>
          <w:rFonts w:ascii="Arial" w:hAnsi="Arial" w:cs="Arial"/>
          <w:sz w:val="14"/>
          <w:szCs w:val="14"/>
        </w:rPr>
        <w:footnoteRef/>
      </w:r>
      <w:r w:rsidRPr="00FB1D27">
        <w:rPr>
          <w:rFonts w:ascii="Arial" w:hAnsi="Arial" w:cs="Arial"/>
          <w:sz w:val="14"/>
          <w:szCs w:val="14"/>
        </w:rPr>
        <w:t xml:space="preserve"> En términos de los artículos 120 de la LFCE y 176 de las DRLFCE.</w:t>
      </w:r>
    </w:p>
  </w:footnote>
  <w:footnote w:id="5">
    <w:p w14:paraId="031E1F1E" w14:textId="77777777" w:rsidR="009F6BE3" w:rsidRPr="0034445B" w:rsidRDefault="009F6BE3" w:rsidP="00E14B8C">
      <w:pPr>
        <w:pStyle w:val="Textonotapie"/>
        <w:rPr>
          <w:rFonts w:ascii="Arial" w:hAnsi="Arial" w:cs="Arial"/>
          <w:sz w:val="14"/>
          <w:szCs w:val="14"/>
        </w:rPr>
      </w:pPr>
      <w:r w:rsidRPr="0034445B">
        <w:rPr>
          <w:rStyle w:val="Refdenotaalpie"/>
          <w:rFonts w:ascii="Arial" w:hAnsi="Arial" w:cs="Arial"/>
          <w:sz w:val="14"/>
          <w:szCs w:val="14"/>
        </w:rPr>
        <w:footnoteRef/>
      </w:r>
      <w:r w:rsidRPr="0034445B">
        <w:rPr>
          <w:rFonts w:ascii="Arial" w:hAnsi="Arial" w:cs="Arial"/>
          <w:sz w:val="14"/>
          <w:szCs w:val="14"/>
        </w:rPr>
        <w:t xml:space="preserve"> En términos de los artículos 120 de la LFCE y 176 de las DRLFCE.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2D15"/>
    <w:multiLevelType w:val="hybridMultilevel"/>
    <w:tmpl w:val="5D284214"/>
    <w:lvl w:ilvl="0" w:tplc="63D2E79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7160D51"/>
    <w:multiLevelType w:val="multilevel"/>
    <w:tmpl w:val="DD440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345FE1"/>
    <w:multiLevelType w:val="hybridMultilevel"/>
    <w:tmpl w:val="00F4FDCA"/>
    <w:lvl w:ilvl="0" w:tplc="CC380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D68AF"/>
    <w:multiLevelType w:val="hybridMultilevel"/>
    <w:tmpl w:val="B0A89A02"/>
    <w:lvl w:ilvl="0" w:tplc="855A74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B2DE0"/>
    <w:multiLevelType w:val="hybridMultilevel"/>
    <w:tmpl w:val="1C5C3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3350F7"/>
    <w:multiLevelType w:val="hybridMultilevel"/>
    <w:tmpl w:val="92AE8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D30A3"/>
    <w:multiLevelType w:val="hybridMultilevel"/>
    <w:tmpl w:val="262E1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827B6C"/>
    <w:multiLevelType w:val="hybridMultilevel"/>
    <w:tmpl w:val="B1A826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AE733F9"/>
    <w:multiLevelType w:val="hybridMultilevel"/>
    <w:tmpl w:val="3E34A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945D82"/>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C5547E"/>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9E23D1"/>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A3259F"/>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8837354"/>
    <w:multiLevelType w:val="hybridMultilevel"/>
    <w:tmpl w:val="7C3C6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76825"/>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105EEF"/>
    <w:multiLevelType w:val="hybridMultilevel"/>
    <w:tmpl w:val="92C03D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3E52821"/>
    <w:multiLevelType w:val="hybridMultilevel"/>
    <w:tmpl w:val="8814D038"/>
    <w:lvl w:ilvl="0" w:tplc="3DE8612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48E60DF"/>
    <w:multiLevelType w:val="hybridMultilevel"/>
    <w:tmpl w:val="A2EE0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78552F"/>
    <w:multiLevelType w:val="hybridMultilevel"/>
    <w:tmpl w:val="F1F61B18"/>
    <w:lvl w:ilvl="0" w:tplc="C0864CC0">
      <w:start w:val="1"/>
      <w:numFmt w:val="upperRoman"/>
      <w:lvlText w:val="%1."/>
      <w:lvlJc w:val="left"/>
      <w:pPr>
        <w:ind w:left="1004" w:hanging="720"/>
      </w:pPr>
      <w:rPr>
        <w:rFonts w:hint="default"/>
        <w:b/>
        <w:sz w:val="18"/>
        <w:szCs w:val="18"/>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7AE4AA7"/>
    <w:multiLevelType w:val="hybridMultilevel"/>
    <w:tmpl w:val="D802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A5089A"/>
    <w:multiLevelType w:val="hybridMultilevel"/>
    <w:tmpl w:val="8E0E496C"/>
    <w:lvl w:ilvl="0" w:tplc="29E465A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347"/>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6372F8"/>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5E1B60"/>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00C56C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31029B"/>
    <w:multiLevelType w:val="hybridMultilevel"/>
    <w:tmpl w:val="8AD6CD32"/>
    <w:lvl w:ilvl="0" w:tplc="805A6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3F4D38"/>
    <w:multiLevelType w:val="hybridMultilevel"/>
    <w:tmpl w:val="D5C2F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AA6D18"/>
    <w:multiLevelType w:val="hybridMultilevel"/>
    <w:tmpl w:val="643CE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26D3E"/>
    <w:multiLevelType w:val="hybridMultilevel"/>
    <w:tmpl w:val="7E92306A"/>
    <w:lvl w:ilvl="0" w:tplc="0A0CCA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AA5434"/>
    <w:multiLevelType w:val="hybridMultilevel"/>
    <w:tmpl w:val="28128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446C82"/>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34543"/>
    <w:multiLevelType w:val="hybridMultilevel"/>
    <w:tmpl w:val="F5E047A8"/>
    <w:lvl w:ilvl="0" w:tplc="7B92144A">
      <w:start w:val="1"/>
      <w:numFmt w:val="decimal"/>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2" w15:restartNumberingAfterBreak="0">
    <w:nsid w:val="60E633C1"/>
    <w:multiLevelType w:val="hybridMultilevel"/>
    <w:tmpl w:val="AF46A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0C2AE9"/>
    <w:multiLevelType w:val="hybridMultilevel"/>
    <w:tmpl w:val="8C284D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2E52E7"/>
    <w:multiLevelType w:val="hybridMultilevel"/>
    <w:tmpl w:val="8D7AF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D8315C"/>
    <w:multiLevelType w:val="hybridMultilevel"/>
    <w:tmpl w:val="CB1A58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69C3317"/>
    <w:multiLevelType w:val="hybridMultilevel"/>
    <w:tmpl w:val="7F94D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0D01F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DC2C7D"/>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D35397"/>
    <w:multiLevelType w:val="hybridMultilevel"/>
    <w:tmpl w:val="0A3C03BA"/>
    <w:lvl w:ilvl="0" w:tplc="29E465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B82833"/>
    <w:multiLevelType w:val="hybridMultilevel"/>
    <w:tmpl w:val="543A87EE"/>
    <w:lvl w:ilvl="0" w:tplc="290E852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11"/>
  </w:num>
  <w:num w:numId="5">
    <w:abstractNumId w:val="27"/>
  </w:num>
  <w:num w:numId="6">
    <w:abstractNumId w:val="20"/>
  </w:num>
  <w:num w:numId="7">
    <w:abstractNumId w:val="10"/>
  </w:num>
  <w:num w:numId="8">
    <w:abstractNumId w:val="7"/>
  </w:num>
  <w:num w:numId="9">
    <w:abstractNumId w:val="23"/>
  </w:num>
  <w:num w:numId="10">
    <w:abstractNumId w:val="12"/>
  </w:num>
  <w:num w:numId="11">
    <w:abstractNumId w:val="4"/>
  </w:num>
  <w:num w:numId="12">
    <w:abstractNumId w:val="22"/>
  </w:num>
  <w:num w:numId="13">
    <w:abstractNumId w:val="37"/>
  </w:num>
  <w:num w:numId="14">
    <w:abstractNumId w:val="38"/>
  </w:num>
  <w:num w:numId="15">
    <w:abstractNumId w:val="30"/>
  </w:num>
  <w:num w:numId="16">
    <w:abstractNumId w:val="9"/>
  </w:num>
  <w:num w:numId="17">
    <w:abstractNumId w:val="24"/>
  </w:num>
  <w:num w:numId="18">
    <w:abstractNumId w:val="19"/>
  </w:num>
  <w:num w:numId="19">
    <w:abstractNumId w:val="39"/>
  </w:num>
  <w:num w:numId="20">
    <w:abstractNumId w:val="29"/>
  </w:num>
  <w:num w:numId="21">
    <w:abstractNumId w:val="36"/>
  </w:num>
  <w:num w:numId="22">
    <w:abstractNumId w:val="40"/>
  </w:num>
  <w:num w:numId="23">
    <w:abstractNumId w:val="26"/>
  </w:num>
  <w:num w:numId="24">
    <w:abstractNumId w:val="0"/>
  </w:num>
  <w:num w:numId="25">
    <w:abstractNumId w:val="18"/>
  </w:num>
  <w:num w:numId="26">
    <w:abstractNumId w:val="2"/>
  </w:num>
  <w:num w:numId="27">
    <w:abstractNumId w:val="17"/>
  </w:num>
  <w:num w:numId="28">
    <w:abstractNumId w:val="31"/>
  </w:num>
  <w:num w:numId="29">
    <w:abstractNumId w:val="21"/>
  </w:num>
  <w:num w:numId="30">
    <w:abstractNumId w:val="16"/>
  </w:num>
  <w:num w:numId="31">
    <w:abstractNumId w:val="14"/>
  </w:num>
  <w:num w:numId="32">
    <w:abstractNumId w:val="3"/>
  </w:num>
  <w:num w:numId="33">
    <w:abstractNumId w:val="25"/>
  </w:num>
  <w:num w:numId="34">
    <w:abstractNumId w:val="13"/>
  </w:num>
  <w:num w:numId="35">
    <w:abstractNumId w:val="28"/>
  </w:num>
  <w:num w:numId="36">
    <w:abstractNumId w:val="15"/>
  </w:num>
  <w:num w:numId="37">
    <w:abstractNumId w:val="33"/>
  </w:num>
  <w:num w:numId="38">
    <w:abstractNumId w:val="8"/>
  </w:num>
  <w:num w:numId="39">
    <w:abstractNumId w:val="34"/>
  </w:num>
  <w:num w:numId="40">
    <w:abstractNumId w:val="3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7A"/>
    <w:rsid w:val="000032A1"/>
    <w:rsid w:val="00004E20"/>
    <w:rsid w:val="00006F00"/>
    <w:rsid w:val="00010EB5"/>
    <w:rsid w:val="00011521"/>
    <w:rsid w:val="00012AF5"/>
    <w:rsid w:val="00014156"/>
    <w:rsid w:val="00014617"/>
    <w:rsid w:val="00014F76"/>
    <w:rsid w:val="0001601C"/>
    <w:rsid w:val="0002118A"/>
    <w:rsid w:val="00036F3A"/>
    <w:rsid w:val="000403FA"/>
    <w:rsid w:val="000416C8"/>
    <w:rsid w:val="00043D3B"/>
    <w:rsid w:val="00044E20"/>
    <w:rsid w:val="0004653A"/>
    <w:rsid w:val="0004741B"/>
    <w:rsid w:val="00050949"/>
    <w:rsid w:val="000561A9"/>
    <w:rsid w:val="000576AB"/>
    <w:rsid w:val="00057CFC"/>
    <w:rsid w:val="00060002"/>
    <w:rsid w:val="00063DE3"/>
    <w:rsid w:val="00076141"/>
    <w:rsid w:val="00076CF6"/>
    <w:rsid w:val="00077345"/>
    <w:rsid w:val="00077F66"/>
    <w:rsid w:val="000820DE"/>
    <w:rsid w:val="00085F90"/>
    <w:rsid w:val="00087685"/>
    <w:rsid w:val="00090C55"/>
    <w:rsid w:val="00093612"/>
    <w:rsid w:val="00093ABA"/>
    <w:rsid w:val="00093B51"/>
    <w:rsid w:val="000943F0"/>
    <w:rsid w:val="00097864"/>
    <w:rsid w:val="000A43F2"/>
    <w:rsid w:val="000A5690"/>
    <w:rsid w:val="000A5A3E"/>
    <w:rsid w:val="000B19AF"/>
    <w:rsid w:val="000B699E"/>
    <w:rsid w:val="000C1AAE"/>
    <w:rsid w:val="000C3148"/>
    <w:rsid w:val="000C4176"/>
    <w:rsid w:val="000C5402"/>
    <w:rsid w:val="000C5B98"/>
    <w:rsid w:val="000C7C3A"/>
    <w:rsid w:val="000C7C82"/>
    <w:rsid w:val="000D255B"/>
    <w:rsid w:val="000D6019"/>
    <w:rsid w:val="000E0F47"/>
    <w:rsid w:val="000E4CBC"/>
    <w:rsid w:val="000E53CE"/>
    <w:rsid w:val="000E62E2"/>
    <w:rsid w:val="000E6FDA"/>
    <w:rsid w:val="000E7114"/>
    <w:rsid w:val="000F197B"/>
    <w:rsid w:val="000F57FE"/>
    <w:rsid w:val="000F609A"/>
    <w:rsid w:val="00101BB8"/>
    <w:rsid w:val="001034B3"/>
    <w:rsid w:val="001045DA"/>
    <w:rsid w:val="0011245B"/>
    <w:rsid w:val="00116014"/>
    <w:rsid w:val="001173FF"/>
    <w:rsid w:val="001175F7"/>
    <w:rsid w:val="00117C6E"/>
    <w:rsid w:val="00121DC1"/>
    <w:rsid w:val="00122621"/>
    <w:rsid w:val="001233EC"/>
    <w:rsid w:val="00123F09"/>
    <w:rsid w:val="00125B4C"/>
    <w:rsid w:val="00125B76"/>
    <w:rsid w:val="00127F65"/>
    <w:rsid w:val="00133BD9"/>
    <w:rsid w:val="00134034"/>
    <w:rsid w:val="00135E83"/>
    <w:rsid w:val="0013739E"/>
    <w:rsid w:val="001416DF"/>
    <w:rsid w:val="001436B1"/>
    <w:rsid w:val="00145329"/>
    <w:rsid w:val="001479A7"/>
    <w:rsid w:val="00152D38"/>
    <w:rsid w:val="00155FAA"/>
    <w:rsid w:val="001639C7"/>
    <w:rsid w:val="00170433"/>
    <w:rsid w:val="00170807"/>
    <w:rsid w:val="0017168D"/>
    <w:rsid w:val="001724CA"/>
    <w:rsid w:val="001755AE"/>
    <w:rsid w:val="00180E12"/>
    <w:rsid w:val="00181848"/>
    <w:rsid w:val="00184669"/>
    <w:rsid w:val="00184B2B"/>
    <w:rsid w:val="00187C36"/>
    <w:rsid w:val="00190758"/>
    <w:rsid w:val="00192FD4"/>
    <w:rsid w:val="00197F08"/>
    <w:rsid w:val="001A4045"/>
    <w:rsid w:val="001A657E"/>
    <w:rsid w:val="001B04AD"/>
    <w:rsid w:val="001B3AB0"/>
    <w:rsid w:val="001C27F6"/>
    <w:rsid w:val="001C3589"/>
    <w:rsid w:val="001C5789"/>
    <w:rsid w:val="001C6585"/>
    <w:rsid w:val="001C6888"/>
    <w:rsid w:val="001D0E4D"/>
    <w:rsid w:val="001D1119"/>
    <w:rsid w:val="001D2BBD"/>
    <w:rsid w:val="001D2E78"/>
    <w:rsid w:val="001D72F3"/>
    <w:rsid w:val="001E127B"/>
    <w:rsid w:val="001E19E3"/>
    <w:rsid w:val="001E3817"/>
    <w:rsid w:val="001E45CD"/>
    <w:rsid w:val="001E4A78"/>
    <w:rsid w:val="001E6C80"/>
    <w:rsid w:val="001F3A0D"/>
    <w:rsid w:val="001F51D3"/>
    <w:rsid w:val="001F532C"/>
    <w:rsid w:val="001F613B"/>
    <w:rsid w:val="001F6B45"/>
    <w:rsid w:val="001F6C81"/>
    <w:rsid w:val="002009B6"/>
    <w:rsid w:val="00202441"/>
    <w:rsid w:val="002054CA"/>
    <w:rsid w:val="00205AC5"/>
    <w:rsid w:val="00206B66"/>
    <w:rsid w:val="00213538"/>
    <w:rsid w:val="0021442B"/>
    <w:rsid w:val="00217C5C"/>
    <w:rsid w:val="002209A1"/>
    <w:rsid w:val="00220C84"/>
    <w:rsid w:val="00222832"/>
    <w:rsid w:val="002251D4"/>
    <w:rsid w:val="00226B60"/>
    <w:rsid w:val="0023221B"/>
    <w:rsid w:val="0023327E"/>
    <w:rsid w:val="002364EE"/>
    <w:rsid w:val="0024108C"/>
    <w:rsid w:val="00242985"/>
    <w:rsid w:val="0024452F"/>
    <w:rsid w:val="00244CF8"/>
    <w:rsid w:val="00251D46"/>
    <w:rsid w:val="00253B96"/>
    <w:rsid w:val="00254DB2"/>
    <w:rsid w:val="00255F71"/>
    <w:rsid w:val="002605CE"/>
    <w:rsid w:val="00264092"/>
    <w:rsid w:val="0026591E"/>
    <w:rsid w:val="0027071B"/>
    <w:rsid w:val="00273754"/>
    <w:rsid w:val="00274319"/>
    <w:rsid w:val="002813CD"/>
    <w:rsid w:val="00281A1D"/>
    <w:rsid w:val="0028351F"/>
    <w:rsid w:val="0028422C"/>
    <w:rsid w:val="00284404"/>
    <w:rsid w:val="002848B3"/>
    <w:rsid w:val="002A3CB0"/>
    <w:rsid w:val="002A3D05"/>
    <w:rsid w:val="002A6B69"/>
    <w:rsid w:val="002A7849"/>
    <w:rsid w:val="002B085C"/>
    <w:rsid w:val="002B2979"/>
    <w:rsid w:val="002C1B6B"/>
    <w:rsid w:val="002C451F"/>
    <w:rsid w:val="002C4854"/>
    <w:rsid w:val="002D1FAA"/>
    <w:rsid w:val="002E0289"/>
    <w:rsid w:val="002E0A12"/>
    <w:rsid w:val="002E206B"/>
    <w:rsid w:val="002E3C19"/>
    <w:rsid w:val="002F407D"/>
    <w:rsid w:val="002F40B3"/>
    <w:rsid w:val="002F612C"/>
    <w:rsid w:val="003004EE"/>
    <w:rsid w:val="00303E7F"/>
    <w:rsid w:val="003108D6"/>
    <w:rsid w:val="003126F0"/>
    <w:rsid w:val="003201F8"/>
    <w:rsid w:val="00320E6A"/>
    <w:rsid w:val="0032362F"/>
    <w:rsid w:val="00325724"/>
    <w:rsid w:val="003258F2"/>
    <w:rsid w:val="00326F2D"/>
    <w:rsid w:val="00327E2B"/>
    <w:rsid w:val="003302E5"/>
    <w:rsid w:val="003314C6"/>
    <w:rsid w:val="00331D5E"/>
    <w:rsid w:val="00332198"/>
    <w:rsid w:val="00332853"/>
    <w:rsid w:val="0033341F"/>
    <w:rsid w:val="00335477"/>
    <w:rsid w:val="00335FA8"/>
    <w:rsid w:val="00336DDE"/>
    <w:rsid w:val="00340515"/>
    <w:rsid w:val="0034057B"/>
    <w:rsid w:val="003421CE"/>
    <w:rsid w:val="00342EB7"/>
    <w:rsid w:val="0034445B"/>
    <w:rsid w:val="00350371"/>
    <w:rsid w:val="00351140"/>
    <w:rsid w:val="003513DE"/>
    <w:rsid w:val="00351AE7"/>
    <w:rsid w:val="0035269B"/>
    <w:rsid w:val="00353906"/>
    <w:rsid w:val="003556C3"/>
    <w:rsid w:val="00356F49"/>
    <w:rsid w:val="00357891"/>
    <w:rsid w:val="00362EF6"/>
    <w:rsid w:val="00363050"/>
    <w:rsid w:val="003640FA"/>
    <w:rsid w:val="00364F00"/>
    <w:rsid w:val="00364F80"/>
    <w:rsid w:val="0036508D"/>
    <w:rsid w:val="00371920"/>
    <w:rsid w:val="00373E72"/>
    <w:rsid w:val="00375202"/>
    <w:rsid w:val="0038465A"/>
    <w:rsid w:val="003851F6"/>
    <w:rsid w:val="0038566C"/>
    <w:rsid w:val="00385767"/>
    <w:rsid w:val="00386375"/>
    <w:rsid w:val="00387709"/>
    <w:rsid w:val="00392E56"/>
    <w:rsid w:val="00395501"/>
    <w:rsid w:val="003977BE"/>
    <w:rsid w:val="003977FF"/>
    <w:rsid w:val="00397D86"/>
    <w:rsid w:val="003A1E3F"/>
    <w:rsid w:val="003A2CEA"/>
    <w:rsid w:val="003A4173"/>
    <w:rsid w:val="003A499A"/>
    <w:rsid w:val="003B0164"/>
    <w:rsid w:val="003B54F3"/>
    <w:rsid w:val="003B578B"/>
    <w:rsid w:val="003C2892"/>
    <w:rsid w:val="003C35B4"/>
    <w:rsid w:val="003C3FBF"/>
    <w:rsid w:val="003C46F8"/>
    <w:rsid w:val="003C591D"/>
    <w:rsid w:val="003C62C7"/>
    <w:rsid w:val="003D2B8E"/>
    <w:rsid w:val="003D6873"/>
    <w:rsid w:val="003D7105"/>
    <w:rsid w:val="003D7BDB"/>
    <w:rsid w:val="003D7E8B"/>
    <w:rsid w:val="003E164E"/>
    <w:rsid w:val="003E2214"/>
    <w:rsid w:val="003E467D"/>
    <w:rsid w:val="003F36D0"/>
    <w:rsid w:val="003F506C"/>
    <w:rsid w:val="003F55E3"/>
    <w:rsid w:val="003F57BD"/>
    <w:rsid w:val="003F5DAA"/>
    <w:rsid w:val="003F74A6"/>
    <w:rsid w:val="003F7EEA"/>
    <w:rsid w:val="00400A40"/>
    <w:rsid w:val="004020BC"/>
    <w:rsid w:val="00405AA3"/>
    <w:rsid w:val="004060A7"/>
    <w:rsid w:val="004061BD"/>
    <w:rsid w:val="004119AB"/>
    <w:rsid w:val="00413890"/>
    <w:rsid w:val="00414198"/>
    <w:rsid w:val="004173FB"/>
    <w:rsid w:val="00417EBC"/>
    <w:rsid w:val="004212A7"/>
    <w:rsid w:val="004239CA"/>
    <w:rsid w:val="00424FF8"/>
    <w:rsid w:val="00425965"/>
    <w:rsid w:val="00426FA8"/>
    <w:rsid w:val="00430151"/>
    <w:rsid w:val="0043224A"/>
    <w:rsid w:val="004336B7"/>
    <w:rsid w:val="0043542C"/>
    <w:rsid w:val="004355C9"/>
    <w:rsid w:val="00436460"/>
    <w:rsid w:val="004367ED"/>
    <w:rsid w:val="00440CA8"/>
    <w:rsid w:val="00442797"/>
    <w:rsid w:val="004436F1"/>
    <w:rsid w:val="00444716"/>
    <w:rsid w:val="004465D9"/>
    <w:rsid w:val="004513DA"/>
    <w:rsid w:val="00451987"/>
    <w:rsid w:val="00451E84"/>
    <w:rsid w:val="00452615"/>
    <w:rsid w:val="00452A70"/>
    <w:rsid w:val="0045599E"/>
    <w:rsid w:val="00470D93"/>
    <w:rsid w:val="00472BB0"/>
    <w:rsid w:val="00472EAC"/>
    <w:rsid w:val="00477E11"/>
    <w:rsid w:val="00485290"/>
    <w:rsid w:val="00485A21"/>
    <w:rsid w:val="00490991"/>
    <w:rsid w:val="004914CD"/>
    <w:rsid w:val="004934CC"/>
    <w:rsid w:val="0049445F"/>
    <w:rsid w:val="00494A48"/>
    <w:rsid w:val="00496FB4"/>
    <w:rsid w:val="00496FFC"/>
    <w:rsid w:val="004A0E52"/>
    <w:rsid w:val="004A34B0"/>
    <w:rsid w:val="004A4245"/>
    <w:rsid w:val="004A4CF3"/>
    <w:rsid w:val="004A5D6F"/>
    <w:rsid w:val="004B1040"/>
    <w:rsid w:val="004B124D"/>
    <w:rsid w:val="004B185F"/>
    <w:rsid w:val="004B3B1F"/>
    <w:rsid w:val="004C37CB"/>
    <w:rsid w:val="004C580C"/>
    <w:rsid w:val="004C5A7B"/>
    <w:rsid w:val="004D1C33"/>
    <w:rsid w:val="004D36EB"/>
    <w:rsid w:val="004D4B31"/>
    <w:rsid w:val="004D5139"/>
    <w:rsid w:val="004D6EDF"/>
    <w:rsid w:val="004D7125"/>
    <w:rsid w:val="004D78E6"/>
    <w:rsid w:val="004E2450"/>
    <w:rsid w:val="004E5601"/>
    <w:rsid w:val="004E6E63"/>
    <w:rsid w:val="004E7D76"/>
    <w:rsid w:val="004F0C84"/>
    <w:rsid w:val="004F3A1C"/>
    <w:rsid w:val="004F54B6"/>
    <w:rsid w:val="004F66CB"/>
    <w:rsid w:val="004F6B3D"/>
    <w:rsid w:val="00502519"/>
    <w:rsid w:val="00503FF5"/>
    <w:rsid w:val="0050414F"/>
    <w:rsid w:val="00506681"/>
    <w:rsid w:val="005109FA"/>
    <w:rsid w:val="005139C9"/>
    <w:rsid w:val="005157F9"/>
    <w:rsid w:val="00516339"/>
    <w:rsid w:val="00516A4F"/>
    <w:rsid w:val="00516C37"/>
    <w:rsid w:val="00516FED"/>
    <w:rsid w:val="00517AF3"/>
    <w:rsid w:val="00520F7B"/>
    <w:rsid w:val="00525996"/>
    <w:rsid w:val="00527EA3"/>
    <w:rsid w:val="005346BE"/>
    <w:rsid w:val="00535042"/>
    <w:rsid w:val="005356AB"/>
    <w:rsid w:val="00535F77"/>
    <w:rsid w:val="00536A6E"/>
    <w:rsid w:val="00537249"/>
    <w:rsid w:val="0054165A"/>
    <w:rsid w:val="005428DB"/>
    <w:rsid w:val="00542AF1"/>
    <w:rsid w:val="00543E6D"/>
    <w:rsid w:val="00550103"/>
    <w:rsid w:val="00554135"/>
    <w:rsid w:val="005572FA"/>
    <w:rsid w:val="00560A37"/>
    <w:rsid w:val="00564DFA"/>
    <w:rsid w:val="00571FF3"/>
    <w:rsid w:val="00572691"/>
    <w:rsid w:val="00573642"/>
    <w:rsid w:val="0057596A"/>
    <w:rsid w:val="0058256D"/>
    <w:rsid w:val="005826FC"/>
    <w:rsid w:val="00586397"/>
    <w:rsid w:val="00586598"/>
    <w:rsid w:val="005A023E"/>
    <w:rsid w:val="005A3964"/>
    <w:rsid w:val="005A4C8F"/>
    <w:rsid w:val="005A67BA"/>
    <w:rsid w:val="005B0D67"/>
    <w:rsid w:val="005B2628"/>
    <w:rsid w:val="005B2D60"/>
    <w:rsid w:val="005B5A68"/>
    <w:rsid w:val="005B5D73"/>
    <w:rsid w:val="005C0C95"/>
    <w:rsid w:val="005C19DB"/>
    <w:rsid w:val="005C29AC"/>
    <w:rsid w:val="005C2CF0"/>
    <w:rsid w:val="005C2FB3"/>
    <w:rsid w:val="005C4451"/>
    <w:rsid w:val="005C5B1C"/>
    <w:rsid w:val="005C6AB8"/>
    <w:rsid w:val="005C6F1F"/>
    <w:rsid w:val="005D065A"/>
    <w:rsid w:val="005D0BCD"/>
    <w:rsid w:val="005D1527"/>
    <w:rsid w:val="005D6DD3"/>
    <w:rsid w:val="005D7417"/>
    <w:rsid w:val="005E0630"/>
    <w:rsid w:val="005E11F9"/>
    <w:rsid w:val="005E2B6F"/>
    <w:rsid w:val="005E2DBE"/>
    <w:rsid w:val="005E5A82"/>
    <w:rsid w:val="005F2A88"/>
    <w:rsid w:val="005F36A6"/>
    <w:rsid w:val="005F5D64"/>
    <w:rsid w:val="00600897"/>
    <w:rsid w:val="006017DA"/>
    <w:rsid w:val="0060241A"/>
    <w:rsid w:val="006052D6"/>
    <w:rsid w:val="00606CFA"/>
    <w:rsid w:val="00610D51"/>
    <w:rsid w:val="00616B71"/>
    <w:rsid w:val="00617665"/>
    <w:rsid w:val="00617CFF"/>
    <w:rsid w:val="0062242C"/>
    <w:rsid w:val="006224AE"/>
    <w:rsid w:val="00626E49"/>
    <w:rsid w:val="006278BC"/>
    <w:rsid w:val="00630FB4"/>
    <w:rsid w:val="006310A8"/>
    <w:rsid w:val="0063303B"/>
    <w:rsid w:val="006356AF"/>
    <w:rsid w:val="00640DD4"/>
    <w:rsid w:val="00643756"/>
    <w:rsid w:val="00643B2F"/>
    <w:rsid w:val="006451E9"/>
    <w:rsid w:val="00646566"/>
    <w:rsid w:val="006477A4"/>
    <w:rsid w:val="00650564"/>
    <w:rsid w:val="00650A96"/>
    <w:rsid w:val="006524BA"/>
    <w:rsid w:val="00652C21"/>
    <w:rsid w:val="0065318D"/>
    <w:rsid w:val="00657A25"/>
    <w:rsid w:val="00657D61"/>
    <w:rsid w:val="00660E58"/>
    <w:rsid w:val="00662F40"/>
    <w:rsid w:val="006646BA"/>
    <w:rsid w:val="00665A63"/>
    <w:rsid w:val="006661DE"/>
    <w:rsid w:val="00671A5F"/>
    <w:rsid w:val="00673A4C"/>
    <w:rsid w:val="00675F52"/>
    <w:rsid w:val="00680476"/>
    <w:rsid w:val="00681A5F"/>
    <w:rsid w:val="00683403"/>
    <w:rsid w:val="0069031A"/>
    <w:rsid w:val="00690FB5"/>
    <w:rsid w:val="00694066"/>
    <w:rsid w:val="00694850"/>
    <w:rsid w:val="0069762C"/>
    <w:rsid w:val="006A117A"/>
    <w:rsid w:val="006A16D1"/>
    <w:rsid w:val="006A1F8C"/>
    <w:rsid w:val="006A27FC"/>
    <w:rsid w:val="006A366D"/>
    <w:rsid w:val="006A74F0"/>
    <w:rsid w:val="006A7DFA"/>
    <w:rsid w:val="006B0E7B"/>
    <w:rsid w:val="006B1889"/>
    <w:rsid w:val="006B313B"/>
    <w:rsid w:val="006B565F"/>
    <w:rsid w:val="006B5D1E"/>
    <w:rsid w:val="006B5E2C"/>
    <w:rsid w:val="006B602B"/>
    <w:rsid w:val="006B627A"/>
    <w:rsid w:val="006B7394"/>
    <w:rsid w:val="006C1BCF"/>
    <w:rsid w:val="006C2CEC"/>
    <w:rsid w:val="006C6019"/>
    <w:rsid w:val="006C7D9F"/>
    <w:rsid w:val="006D08F3"/>
    <w:rsid w:val="006D3C47"/>
    <w:rsid w:val="006D4A95"/>
    <w:rsid w:val="006D51E9"/>
    <w:rsid w:val="006D7EE8"/>
    <w:rsid w:val="006E0E40"/>
    <w:rsid w:val="006E4B30"/>
    <w:rsid w:val="006E52CA"/>
    <w:rsid w:val="006E5CFA"/>
    <w:rsid w:val="006E6827"/>
    <w:rsid w:val="006F311B"/>
    <w:rsid w:val="006F428D"/>
    <w:rsid w:val="006F614B"/>
    <w:rsid w:val="006F7079"/>
    <w:rsid w:val="006F7F1C"/>
    <w:rsid w:val="00705B02"/>
    <w:rsid w:val="00711557"/>
    <w:rsid w:val="00714F3D"/>
    <w:rsid w:val="007154B5"/>
    <w:rsid w:val="00716472"/>
    <w:rsid w:val="00725A2A"/>
    <w:rsid w:val="007270EE"/>
    <w:rsid w:val="00730154"/>
    <w:rsid w:val="00730219"/>
    <w:rsid w:val="0073606C"/>
    <w:rsid w:val="0074178A"/>
    <w:rsid w:val="00743CAA"/>
    <w:rsid w:val="00744008"/>
    <w:rsid w:val="00745A4E"/>
    <w:rsid w:val="00745F49"/>
    <w:rsid w:val="007464F2"/>
    <w:rsid w:val="00746C2C"/>
    <w:rsid w:val="00750023"/>
    <w:rsid w:val="007500D3"/>
    <w:rsid w:val="00751875"/>
    <w:rsid w:val="00751A23"/>
    <w:rsid w:val="0075452A"/>
    <w:rsid w:val="00756169"/>
    <w:rsid w:val="00756CBB"/>
    <w:rsid w:val="007602C2"/>
    <w:rsid w:val="0076221D"/>
    <w:rsid w:val="00762817"/>
    <w:rsid w:val="007631A2"/>
    <w:rsid w:val="0076613B"/>
    <w:rsid w:val="00770EE6"/>
    <w:rsid w:val="007729A7"/>
    <w:rsid w:val="00773B4A"/>
    <w:rsid w:val="007751F6"/>
    <w:rsid w:val="00775C13"/>
    <w:rsid w:val="007800AC"/>
    <w:rsid w:val="0078220E"/>
    <w:rsid w:val="00783DEF"/>
    <w:rsid w:val="007875B0"/>
    <w:rsid w:val="00794355"/>
    <w:rsid w:val="00796472"/>
    <w:rsid w:val="00797BAA"/>
    <w:rsid w:val="007A0E86"/>
    <w:rsid w:val="007A0F77"/>
    <w:rsid w:val="007A2BCE"/>
    <w:rsid w:val="007A3B24"/>
    <w:rsid w:val="007A64D2"/>
    <w:rsid w:val="007A7152"/>
    <w:rsid w:val="007B6BB5"/>
    <w:rsid w:val="007B6E26"/>
    <w:rsid w:val="007B6F34"/>
    <w:rsid w:val="007C0121"/>
    <w:rsid w:val="007C0715"/>
    <w:rsid w:val="007C1D00"/>
    <w:rsid w:val="007C32D9"/>
    <w:rsid w:val="007C3FEC"/>
    <w:rsid w:val="007C513C"/>
    <w:rsid w:val="007C7408"/>
    <w:rsid w:val="007E359C"/>
    <w:rsid w:val="007F0EEE"/>
    <w:rsid w:val="007F420A"/>
    <w:rsid w:val="007F4955"/>
    <w:rsid w:val="007F5858"/>
    <w:rsid w:val="007F5D82"/>
    <w:rsid w:val="008016BA"/>
    <w:rsid w:val="008047C0"/>
    <w:rsid w:val="008051BC"/>
    <w:rsid w:val="00810385"/>
    <w:rsid w:val="00810FF3"/>
    <w:rsid w:val="00811536"/>
    <w:rsid w:val="008116F2"/>
    <w:rsid w:val="00814C00"/>
    <w:rsid w:val="008206AA"/>
    <w:rsid w:val="0082549D"/>
    <w:rsid w:val="00827439"/>
    <w:rsid w:val="00830DAF"/>
    <w:rsid w:val="008317F5"/>
    <w:rsid w:val="00833BA8"/>
    <w:rsid w:val="0083604B"/>
    <w:rsid w:val="00842E43"/>
    <w:rsid w:val="00842E5A"/>
    <w:rsid w:val="008439C8"/>
    <w:rsid w:val="0084524F"/>
    <w:rsid w:val="0084589F"/>
    <w:rsid w:val="00851130"/>
    <w:rsid w:val="008513E2"/>
    <w:rsid w:val="00852F99"/>
    <w:rsid w:val="008537F3"/>
    <w:rsid w:val="0085469B"/>
    <w:rsid w:val="00861691"/>
    <w:rsid w:val="00861DB7"/>
    <w:rsid w:val="008626E8"/>
    <w:rsid w:val="00862C32"/>
    <w:rsid w:val="00864A6B"/>
    <w:rsid w:val="0086666F"/>
    <w:rsid w:val="0086711F"/>
    <w:rsid w:val="008757E2"/>
    <w:rsid w:val="0087671E"/>
    <w:rsid w:val="008767E2"/>
    <w:rsid w:val="0088292B"/>
    <w:rsid w:val="00884A5D"/>
    <w:rsid w:val="00884F0A"/>
    <w:rsid w:val="00885153"/>
    <w:rsid w:val="0088653C"/>
    <w:rsid w:val="00887A9F"/>
    <w:rsid w:val="008A2D10"/>
    <w:rsid w:val="008A5754"/>
    <w:rsid w:val="008A582D"/>
    <w:rsid w:val="008A7A14"/>
    <w:rsid w:val="008B0E73"/>
    <w:rsid w:val="008B1B1F"/>
    <w:rsid w:val="008B2E4A"/>
    <w:rsid w:val="008B5F82"/>
    <w:rsid w:val="008B621F"/>
    <w:rsid w:val="008B661B"/>
    <w:rsid w:val="008B7E34"/>
    <w:rsid w:val="008C0937"/>
    <w:rsid w:val="008C27E2"/>
    <w:rsid w:val="008C3586"/>
    <w:rsid w:val="008C39A9"/>
    <w:rsid w:val="008C5D01"/>
    <w:rsid w:val="008C790B"/>
    <w:rsid w:val="008D0DC4"/>
    <w:rsid w:val="008D1554"/>
    <w:rsid w:val="008D204B"/>
    <w:rsid w:val="008D2BD7"/>
    <w:rsid w:val="008D4B85"/>
    <w:rsid w:val="008D51A0"/>
    <w:rsid w:val="008D5332"/>
    <w:rsid w:val="008D68B2"/>
    <w:rsid w:val="008D73F3"/>
    <w:rsid w:val="008E3C2F"/>
    <w:rsid w:val="008E54C7"/>
    <w:rsid w:val="008E69EE"/>
    <w:rsid w:val="008E7681"/>
    <w:rsid w:val="008F0610"/>
    <w:rsid w:val="008F0A7D"/>
    <w:rsid w:val="008F0E05"/>
    <w:rsid w:val="008F3A86"/>
    <w:rsid w:val="008F4BC4"/>
    <w:rsid w:val="009012DA"/>
    <w:rsid w:val="00901398"/>
    <w:rsid w:val="00902AFE"/>
    <w:rsid w:val="00902F7A"/>
    <w:rsid w:val="00903609"/>
    <w:rsid w:val="009045FE"/>
    <w:rsid w:val="009047AD"/>
    <w:rsid w:val="0090581F"/>
    <w:rsid w:val="00905C08"/>
    <w:rsid w:val="009079C8"/>
    <w:rsid w:val="00910489"/>
    <w:rsid w:val="00910D9F"/>
    <w:rsid w:val="00911119"/>
    <w:rsid w:val="00911553"/>
    <w:rsid w:val="00921A40"/>
    <w:rsid w:val="0092342B"/>
    <w:rsid w:val="00930D3E"/>
    <w:rsid w:val="00932D2E"/>
    <w:rsid w:val="00933FAB"/>
    <w:rsid w:val="00941DE2"/>
    <w:rsid w:val="00944194"/>
    <w:rsid w:val="00952B18"/>
    <w:rsid w:val="009539E7"/>
    <w:rsid w:val="00954721"/>
    <w:rsid w:val="00957DAB"/>
    <w:rsid w:val="0096132E"/>
    <w:rsid w:val="009628FA"/>
    <w:rsid w:val="0096407F"/>
    <w:rsid w:val="00964B56"/>
    <w:rsid w:val="009654E5"/>
    <w:rsid w:val="0097072A"/>
    <w:rsid w:val="00983BA8"/>
    <w:rsid w:val="00985006"/>
    <w:rsid w:val="00987623"/>
    <w:rsid w:val="00995ECE"/>
    <w:rsid w:val="00996299"/>
    <w:rsid w:val="00997064"/>
    <w:rsid w:val="009A3214"/>
    <w:rsid w:val="009A3FE0"/>
    <w:rsid w:val="009A4078"/>
    <w:rsid w:val="009A4794"/>
    <w:rsid w:val="009A56B9"/>
    <w:rsid w:val="009A588B"/>
    <w:rsid w:val="009A5B3E"/>
    <w:rsid w:val="009A5E2C"/>
    <w:rsid w:val="009A65F1"/>
    <w:rsid w:val="009A7404"/>
    <w:rsid w:val="009A78F9"/>
    <w:rsid w:val="009B0FDC"/>
    <w:rsid w:val="009B2DD3"/>
    <w:rsid w:val="009B2FB0"/>
    <w:rsid w:val="009B5469"/>
    <w:rsid w:val="009B5CE6"/>
    <w:rsid w:val="009B6129"/>
    <w:rsid w:val="009C102E"/>
    <w:rsid w:val="009C195B"/>
    <w:rsid w:val="009C2746"/>
    <w:rsid w:val="009D0821"/>
    <w:rsid w:val="009D2C4C"/>
    <w:rsid w:val="009D6530"/>
    <w:rsid w:val="009D700E"/>
    <w:rsid w:val="009D77F0"/>
    <w:rsid w:val="009D7CAF"/>
    <w:rsid w:val="009E0038"/>
    <w:rsid w:val="009E0A3D"/>
    <w:rsid w:val="009E22B5"/>
    <w:rsid w:val="009E3B99"/>
    <w:rsid w:val="009E6E28"/>
    <w:rsid w:val="009E7A32"/>
    <w:rsid w:val="009E7AC5"/>
    <w:rsid w:val="009F0ADF"/>
    <w:rsid w:val="009F0E6A"/>
    <w:rsid w:val="009F2450"/>
    <w:rsid w:val="009F47E4"/>
    <w:rsid w:val="009F649E"/>
    <w:rsid w:val="009F6BE3"/>
    <w:rsid w:val="00A03B00"/>
    <w:rsid w:val="00A041D2"/>
    <w:rsid w:val="00A0482D"/>
    <w:rsid w:val="00A04E26"/>
    <w:rsid w:val="00A05251"/>
    <w:rsid w:val="00A053D0"/>
    <w:rsid w:val="00A05720"/>
    <w:rsid w:val="00A066DE"/>
    <w:rsid w:val="00A0756A"/>
    <w:rsid w:val="00A1022F"/>
    <w:rsid w:val="00A10559"/>
    <w:rsid w:val="00A12360"/>
    <w:rsid w:val="00A13906"/>
    <w:rsid w:val="00A14B1C"/>
    <w:rsid w:val="00A2117B"/>
    <w:rsid w:val="00A22EA9"/>
    <w:rsid w:val="00A2641D"/>
    <w:rsid w:val="00A30171"/>
    <w:rsid w:val="00A30E28"/>
    <w:rsid w:val="00A31FE7"/>
    <w:rsid w:val="00A35028"/>
    <w:rsid w:val="00A354C9"/>
    <w:rsid w:val="00A35818"/>
    <w:rsid w:val="00A412F0"/>
    <w:rsid w:val="00A42739"/>
    <w:rsid w:val="00A4652A"/>
    <w:rsid w:val="00A4705A"/>
    <w:rsid w:val="00A536AC"/>
    <w:rsid w:val="00A6104A"/>
    <w:rsid w:val="00A6673A"/>
    <w:rsid w:val="00A67DA9"/>
    <w:rsid w:val="00A70876"/>
    <w:rsid w:val="00A70A5E"/>
    <w:rsid w:val="00A73BA9"/>
    <w:rsid w:val="00A76128"/>
    <w:rsid w:val="00A80689"/>
    <w:rsid w:val="00A817AA"/>
    <w:rsid w:val="00A83657"/>
    <w:rsid w:val="00A8444B"/>
    <w:rsid w:val="00A86178"/>
    <w:rsid w:val="00A8764B"/>
    <w:rsid w:val="00A878D9"/>
    <w:rsid w:val="00A904C2"/>
    <w:rsid w:val="00A90D8E"/>
    <w:rsid w:val="00A90F86"/>
    <w:rsid w:val="00A95491"/>
    <w:rsid w:val="00A95DA7"/>
    <w:rsid w:val="00A97C3B"/>
    <w:rsid w:val="00AA14A8"/>
    <w:rsid w:val="00AA226B"/>
    <w:rsid w:val="00AA22E3"/>
    <w:rsid w:val="00AA2543"/>
    <w:rsid w:val="00AA2C93"/>
    <w:rsid w:val="00AA4104"/>
    <w:rsid w:val="00AA49F8"/>
    <w:rsid w:val="00AA6EFC"/>
    <w:rsid w:val="00AB2DDB"/>
    <w:rsid w:val="00AB3057"/>
    <w:rsid w:val="00AC00D4"/>
    <w:rsid w:val="00AC1D27"/>
    <w:rsid w:val="00AC577C"/>
    <w:rsid w:val="00AC7620"/>
    <w:rsid w:val="00AD0D50"/>
    <w:rsid w:val="00AD212E"/>
    <w:rsid w:val="00AD267A"/>
    <w:rsid w:val="00AD296E"/>
    <w:rsid w:val="00AD2F40"/>
    <w:rsid w:val="00AD77CD"/>
    <w:rsid w:val="00AE3653"/>
    <w:rsid w:val="00AE7CC2"/>
    <w:rsid w:val="00AF421A"/>
    <w:rsid w:val="00AF5946"/>
    <w:rsid w:val="00AF6729"/>
    <w:rsid w:val="00AF7669"/>
    <w:rsid w:val="00B02326"/>
    <w:rsid w:val="00B04E5D"/>
    <w:rsid w:val="00B05E54"/>
    <w:rsid w:val="00B10A5F"/>
    <w:rsid w:val="00B1224B"/>
    <w:rsid w:val="00B12607"/>
    <w:rsid w:val="00B17313"/>
    <w:rsid w:val="00B178BC"/>
    <w:rsid w:val="00B21266"/>
    <w:rsid w:val="00B21329"/>
    <w:rsid w:val="00B21BCD"/>
    <w:rsid w:val="00B22942"/>
    <w:rsid w:val="00B25743"/>
    <w:rsid w:val="00B26C7A"/>
    <w:rsid w:val="00B311F3"/>
    <w:rsid w:val="00B3474C"/>
    <w:rsid w:val="00B35770"/>
    <w:rsid w:val="00B42084"/>
    <w:rsid w:val="00B420F2"/>
    <w:rsid w:val="00B424D0"/>
    <w:rsid w:val="00B42C51"/>
    <w:rsid w:val="00B45B6F"/>
    <w:rsid w:val="00B4765F"/>
    <w:rsid w:val="00B52C40"/>
    <w:rsid w:val="00B556ED"/>
    <w:rsid w:val="00B55732"/>
    <w:rsid w:val="00B62A64"/>
    <w:rsid w:val="00B63C19"/>
    <w:rsid w:val="00B63D7D"/>
    <w:rsid w:val="00B64B60"/>
    <w:rsid w:val="00B64F5D"/>
    <w:rsid w:val="00B661B7"/>
    <w:rsid w:val="00B7337F"/>
    <w:rsid w:val="00B76E9D"/>
    <w:rsid w:val="00B770E5"/>
    <w:rsid w:val="00B821C1"/>
    <w:rsid w:val="00B90FE7"/>
    <w:rsid w:val="00B9227A"/>
    <w:rsid w:val="00B93BF8"/>
    <w:rsid w:val="00B9523E"/>
    <w:rsid w:val="00B97779"/>
    <w:rsid w:val="00BA053B"/>
    <w:rsid w:val="00BA1B0B"/>
    <w:rsid w:val="00BA1B84"/>
    <w:rsid w:val="00BA22A0"/>
    <w:rsid w:val="00BA281A"/>
    <w:rsid w:val="00BA4456"/>
    <w:rsid w:val="00BA547C"/>
    <w:rsid w:val="00BA67AC"/>
    <w:rsid w:val="00BB10A5"/>
    <w:rsid w:val="00BB10F5"/>
    <w:rsid w:val="00BB1D60"/>
    <w:rsid w:val="00BB45C6"/>
    <w:rsid w:val="00BC084E"/>
    <w:rsid w:val="00BC15A5"/>
    <w:rsid w:val="00BC76FE"/>
    <w:rsid w:val="00BC79E1"/>
    <w:rsid w:val="00BD0E37"/>
    <w:rsid w:val="00BD2229"/>
    <w:rsid w:val="00BD2CDD"/>
    <w:rsid w:val="00BD3B67"/>
    <w:rsid w:val="00BD5AEB"/>
    <w:rsid w:val="00BD68AE"/>
    <w:rsid w:val="00BE2E47"/>
    <w:rsid w:val="00BE654F"/>
    <w:rsid w:val="00BE7368"/>
    <w:rsid w:val="00BF1120"/>
    <w:rsid w:val="00BF1480"/>
    <w:rsid w:val="00BF5B00"/>
    <w:rsid w:val="00BF7202"/>
    <w:rsid w:val="00C12CA3"/>
    <w:rsid w:val="00C143C5"/>
    <w:rsid w:val="00C1519B"/>
    <w:rsid w:val="00C161A2"/>
    <w:rsid w:val="00C16706"/>
    <w:rsid w:val="00C16BA5"/>
    <w:rsid w:val="00C200B9"/>
    <w:rsid w:val="00C22270"/>
    <w:rsid w:val="00C22FE2"/>
    <w:rsid w:val="00C241DF"/>
    <w:rsid w:val="00C25D93"/>
    <w:rsid w:val="00C3165B"/>
    <w:rsid w:val="00C325CE"/>
    <w:rsid w:val="00C3275F"/>
    <w:rsid w:val="00C329C8"/>
    <w:rsid w:val="00C364C5"/>
    <w:rsid w:val="00C376E5"/>
    <w:rsid w:val="00C378BA"/>
    <w:rsid w:val="00C378E7"/>
    <w:rsid w:val="00C37C52"/>
    <w:rsid w:val="00C40D02"/>
    <w:rsid w:val="00C411E1"/>
    <w:rsid w:val="00C4172B"/>
    <w:rsid w:val="00C44483"/>
    <w:rsid w:val="00C4602B"/>
    <w:rsid w:val="00C4747B"/>
    <w:rsid w:val="00C519A6"/>
    <w:rsid w:val="00C544D6"/>
    <w:rsid w:val="00C54550"/>
    <w:rsid w:val="00C575DE"/>
    <w:rsid w:val="00C62D06"/>
    <w:rsid w:val="00C65325"/>
    <w:rsid w:val="00C65373"/>
    <w:rsid w:val="00C7080B"/>
    <w:rsid w:val="00C7151E"/>
    <w:rsid w:val="00C738B9"/>
    <w:rsid w:val="00C76008"/>
    <w:rsid w:val="00C76A30"/>
    <w:rsid w:val="00C776E5"/>
    <w:rsid w:val="00C81D3F"/>
    <w:rsid w:val="00C82B15"/>
    <w:rsid w:val="00C83DC9"/>
    <w:rsid w:val="00C86759"/>
    <w:rsid w:val="00C86BE9"/>
    <w:rsid w:val="00C90AEF"/>
    <w:rsid w:val="00C923AB"/>
    <w:rsid w:val="00C93BC5"/>
    <w:rsid w:val="00C9419E"/>
    <w:rsid w:val="00C946DF"/>
    <w:rsid w:val="00CA3EE4"/>
    <w:rsid w:val="00CA5E65"/>
    <w:rsid w:val="00CA617F"/>
    <w:rsid w:val="00CA62CA"/>
    <w:rsid w:val="00CA70FD"/>
    <w:rsid w:val="00CA79C4"/>
    <w:rsid w:val="00CB0750"/>
    <w:rsid w:val="00CB16F0"/>
    <w:rsid w:val="00CB17B6"/>
    <w:rsid w:val="00CB56F8"/>
    <w:rsid w:val="00CB5972"/>
    <w:rsid w:val="00CB5A6E"/>
    <w:rsid w:val="00CB695A"/>
    <w:rsid w:val="00CC12A7"/>
    <w:rsid w:val="00CD2842"/>
    <w:rsid w:val="00CD5722"/>
    <w:rsid w:val="00CD618A"/>
    <w:rsid w:val="00CD72D0"/>
    <w:rsid w:val="00CD7FD5"/>
    <w:rsid w:val="00CE291A"/>
    <w:rsid w:val="00CE3E77"/>
    <w:rsid w:val="00CE4E69"/>
    <w:rsid w:val="00CE7397"/>
    <w:rsid w:val="00CF3BEA"/>
    <w:rsid w:val="00CF3F89"/>
    <w:rsid w:val="00CF737E"/>
    <w:rsid w:val="00CF7797"/>
    <w:rsid w:val="00CF78A7"/>
    <w:rsid w:val="00D01197"/>
    <w:rsid w:val="00D01BF3"/>
    <w:rsid w:val="00D01E28"/>
    <w:rsid w:val="00D078DB"/>
    <w:rsid w:val="00D101F8"/>
    <w:rsid w:val="00D14E56"/>
    <w:rsid w:val="00D14EF3"/>
    <w:rsid w:val="00D174D9"/>
    <w:rsid w:val="00D32584"/>
    <w:rsid w:val="00D37C2A"/>
    <w:rsid w:val="00D42232"/>
    <w:rsid w:val="00D469D4"/>
    <w:rsid w:val="00D47300"/>
    <w:rsid w:val="00D52B24"/>
    <w:rsid w:val="00D542B6"/>
    <w:rsid w:val="00D54DF7"/>
    <w:rsid w:val="00D56C06"/>
    <w:rsid w:val="00D57DBD"/>
    <w:rsid w:val="00D6119E"/>
    <w:rsid w:val="00D617EF"/>
    <w:rsid w:val="00D6181F"/>
    <w:rsid w:val="00D64E40"/>
    <w:rsid w:val="00D657A4"/>
    <w:rsid w:val="00D70C7D"/>
    <w:rsid w:val="00D72F5F"/>
    <w:rsid w:val="00D76E6E"/>
    <w:rsid w:val="00D82389"/>
    <w:rsid w:val="00D83C3C"/>
    <w:rsid w:val="00D84DBC"/>
    <w:rsid w:val="00D856E1"/>
    <w:rsid w:val="00D87CA2"/>
    <w:rsid w:val="00D87D57"/>
    <w:rsid w:val="00D90510"/>
    <w:rsid w:val="00D91128"/>
    <w:rsid w:val="00D918D3"/>
    <w:rsid w:val="00D91993"/>
    <w:rsid w:val="00D91FA4"/>
    <w:rsid w:val="00D92617"/>
    <w:rsid w:val="00D94581"/>
    <w:rsid w:val="00D97F37"/>
    <w:rsid w:val="00DA07BC"/>
    <w:rsid w:val="00DA23FC"/>
    <w:rsid w:val="00DA5707"/>
    <w:rsid w:val="00DB0182"/>
    <w:rsid w:val="00DB0498"/>
    <w:rsid w:val="00DB176E"/>
    <w:rsid w:val="00DB1806"/>
    <w:rsid w:val="00DB1CC4"/>
    <w:rsid w:val="00DB4A29"/>
    <w:rsid w:val="00DB542E"/>
    <w:rsid w:val="00DB71F2"/>
    <w:rsid w:val="00DC0837"/>
    <w:rsid w:val="00DC2148"/>
    <w:rsid w:val="00DC6B43"/>
    <w:rsid w:val="00DC7A2C"/>
    <w:rsid w:val="00DD240C"/>
    <w:rsid w:val="00DD7D7C"/>
    <w:rsid w:val="00DE0CB4"/>
    <w:rsid w:val="00DE2956"/>
    <w:rsid w:val="00DE43CA"/>
    <w:rsid w:val="00DE6728"/>
    <w:rsid w:val="00DF0322"/>
    <w:rsid w:val="00DF0DC0"/>
    <w:rsid w:val="00DF1BD3"/>
    <w:rsid w:val="00DF1DA3"/>
    <w:rsid w:val="00DF5A31"/>
    <w:rsid w:val="00E00A07"/>
    <w:rsid w:val="00E04C9F"/>
    <w:rsid w:val="00E054DA"/>
    <w:rsid w:val="00E11F55"/>
    <w:rsid w:val="00E12006"/>
    <w:rsid w:val="00E1250A"/>
    <w:rsid w:val="00E14B8C"/>
    <w:rsid w:val="00E15781"/>
    <w:rsid w:val="00E20F1F"/>
    <w:rsid w:val="00E226D8"/>
    <w:rsid w:val="00E22FD1"/>
    <w:rsid w:val="00E237BD"/>
    <w:rsid w:val="00E251A3"/>
    <w:rsid w:val="00E252CE"/>
    <w:rsid w:val="00E27981"/>
    <w:rsid w:val="00E30F9B"/>
    <w:rsid w:val="00E32FB7"/>
    <w:rsid w:val="00E34B0C"/>
    <w:rsid w:val="00E36450"/>
    <w:rsid w:val="00E3711D"/>
    <w:rsid w:val="00E43073"/>
    <w:rsid w:val="00E505DE"/>
    <w:rsid w:val="00E50D84"/>
    <w:rsid w:val="00E51898"/>
    <w:rsid w:val="00E574C1"/>
    <w:rsid w:val="00E60E00"/>
    <w:rsid w:val="00E61964"/>
    <w:rsid w:val="00E6223A"/>
    <w:rsid w:val="00E62693"/>
    <w:rsid w:val="00E62799"/>
    <w:rsid w:val="00E6367B"/>
    <w:rsid w:val="00E642A3"/>
    <w:rsid w:val="00E6654A"/>
    <w:rsid w:val="00E6667B"/>
    <w:rsid w:val="00E70A14"/>
    <w:rsid w:val="00E717C5"/>
    <w:rsid w:val="00E74636"/>
    <w:rsid w:val="00E77E6F"/>
    <w:rsid w:val="00E870E3"/>
    <w:rsid w:val="00E90061"/>
    <w:rsid w:val="00E92065"/>
    <w:rsid w:val="00E961E4"/>
    <w:rsid w:val="00E978F1"/>
    <w:rsid w:val="00EA32C4"/>
    <w:rsid w:val="00EA5F83"/>
    <w:rsid w:val="00EB1E15"/>
    <w:rsid w:val="00EB31E0"/>
    <w:rsid w:val="00EB659A"/>
    <w:rsid w:val="00EB6738"/>
    <w:rsid w:val="00EC203D"/>
    <w:rsid w:val="00EC3D7A"/>
    <w:rsid w:val="00EC41F1"/>
    <w:rsid w:val="00EC5B89"/>
    <w:rsid w:val="00ED0D3F"/>
    <w:rsid w:val="00ED3768"/>
    <w:rsid w:val="00ED5274"/>
    <w:rsid w:val="00ED6944"/>
    <w:rsid w:val="00EE1667"/>
    <w:rsid w:val="00EE2933"/>
    <w:rsid w:val="00EE2F2D"/>
    <w:rsid w:val="00EE4C06"/>
    <w:rsid w:val="00EE6631"/>
    <w:rsid w:val="00EE7B42"/>
    <w:rsid w:val="00EF116B"/>
    <w:rsid w:val="00EF54C8"/>
    <w:rsid w:val="00F016C8"/>
    <w:rsid w:val="00F03122"/>
    <w:rsid w:val="00F066C5"/>
    <w:rsid w:val="00F10118"/>
    <w:rsid w:val="00F163EE"/>
    <w:rsid w:val="00F16946"/>
    <w:rsid w:val="00F20D2B"/>
    <w:rsid w:val="00F21048"/>
    <w:rsid w:val="00F219E6"/>
    <w:rsid w:val="00F22417"/>
    <w:rsid w:val="00F350E2"/>
    <w:rsid w:val="00F372CD"/>
    <w:rsid w:val="00F43C40"/>
    <w:rsid w:val="00F43DAE"/>
    <w:rsid w:val="00F44DA3"/>
    <w:rsid w:val="00F453FF"/>
    <w:rsid w:val="00F45C06"/>
    <w:rsid w:val="00F4656C"/>
    <w:rsid w:val="00F46AD1"/>
    <w:rsid w:val="00F46C2B"/>
    <w:rsid w:val="00F47829"/>
    <w:rsid w:val="00F503FC"/>
    <w:rsid w:val="00F50D0B"/>
    <w:rsid w:val="00F52101"/>
    <w:rsid w:val="00F52F23"/>
    <w:rsid w:val="00F60358"/>
    <w:rsid w:val="00F60FA8"/>
    <w:rsid w:val="00F62011"/>
    <w:rsid w:val="00F64340"/>
    <w:rsid w:val="00F65297"/>
    <w:rsid w:val="00F67619"/>
    <w:rsid w:val="00F679A9"/>
    <w:rsid w:val="00F722C7"/>
    <w:rsid w:val="00F72EB0"/>
    <w:rsid w:val="00F7327E"/>
    <w:rsid w:val="00F7446D"/>
    <w:rsid w:val="00F74B72"/>
    <w:rsid w:val="00F82F7A"/>
    <w:rsid w:val="00F83375"/>
    <w:rsid w:val="00F83B4D"/>
    <w:rsid w:val="00F8599A"/>
    <w:rsid w:val="00F87189"/>
    <w:rsid w:val="00F9180D"/>
    <w:rsid w:val="00F91E29"/>
    <w:rsid w:val="00F967E6"/>
    <w:rsid w:val="00F970E2"/>
    <w:rsid w:val="00F97AEB"/>
    <w:rsid w:val="00FA23A6"/>
    <w:rsid w:val="00FA38FA"/>
    <w:rsid w:val="00FA3D77"/>
    <w:rsid w:val="00FA406E"/>
    <w:rsid w:val="00FA6CE8"/>
    <w:rsid w:val="00FA7A01"/>
    <w:rsid w:val="00FB04F0"/>
    <w:rsid w:val="00FB384E"/>
    <w:rsid w:val="00FB57C6"/>
    <w:rsid w:val="00FB69BD"/>
    <w:rsid w:val="00FC3E67"/>
    <w:rsid w:val="00FC50CA"/>
    <w:rsid w:val="00FC5C3F"/>
    <w:rsid w:val="00FD2DE9"/>
    <w:rsid w:val="00FE009E"/>
    <w:rsid w:val="00FE7C5F"/>
    <w:rsid w:val="00FF1291"/>
    <w:rsid w:val="00FF45F2"/>
    <w:rsid w:val="00FF4DB5"/>
    <w:rsid w:val="00FF7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2925"/>
  <w15:chartTrackingRefBased/>
  <w15:docId w15:val="{85F4A58C-C9AC-49C8-AA67-E757A96E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221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E221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E221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834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221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E221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3E2214"/>
    <w:rPr>
      <w:rFonts w:asciiTheme="majorHAnsi" w:eastAsiaTheme="majorEastAsia" w:hAnsiTheme="majorHAnsi" w:cstheme="majorBidi"/>
      <w:color w:val="1F3763" w:themeColor="accent1" w:themeShade="7F"/>
      <w:sz w:val="24"/>
      <w:szCs w:val="24"/>
    </w:rPr>
  </w:style>
  <w:style w:type="paragraph" w:styleId="Prrafodelista">
    <w:name w:val="List Paragraph"/>
    <w:aliases w:val="Llista Nivell1,Lista de nivel 1,Numeración 1,Cuadrícula media 1 - Énfasis 21,prueba1,List Paragraph,Normal_Tabla,Bullet List,FooterText,numbered,List Paragraph1,Bulletr List Paragraph,列出段落,列出段落1,lp1,List Paragraph11,Listas,Scitum normal"/>
    <w:basedOn w:val="Normal"/>
    <w:link w:val="PrrafodelistaCar"/>
    <w:uiPriority w:val="34"/>
    <w:qFormat/>
    <w:rsid w:val="00B9227A"/>
    <w:pPr>
      <w:ind w:left="720"/>
      <w:contextualSpacing/>
    </w:pPr>
  </w:style>
  <w:style w:type="character" w:customStyle="1" w:styleId="PrrafodelistaCar">
    <w:name w:val="Párrafo de lista Car"/>
    <w:aliases w:val="Llista Nivell1 Car,Lista de nivel 1 Car,Numeración 1 Car,Cuadrícula media 1 - Énfasis 21 Car,prueba1 Car,List Paragraph Car,Normal_Tabla Car,Bullet List Car,FooterText Car,numbered Car,List Paragraph1 Car,Bulletr List Paragraph Car"/>
    <w:link w:val="Prrafodelista"/>
    <w:uiPriority w:val="34"/>
    <w:qFormat/>
    <w:rsid w:val="003E2214"/>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5C5B1C"/>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C5B1C"/>
    <w:rPr>
      <w:sz w:val="20"/>
      <w:szCs w:val="20"/>
    </w:rPr>
  </w:style>
  <w:style w:type="character" w:styleId="Refdenotaalpie">
    <w:name w:val="footnote reference"/>
    <w:aliases w:val="Ref,de nota al pie,Ref. de nota al pie 2,Footnotes refss,Texto de nota al pie,Appel note de bas de page,(NECG) Footnote Reference,o,fr,Style 3,Appel note de bas de p,Style 12,Style 124,Style 13,FR,Style 17,Style 6,Footnote Reference/"/>
    <w:uiPriority w:val="99"/>
    <w:unhideWhenUsed/>
    <w:qFormat/>
    <w:rsid w:val="005C5B1C"/>
    <w:rPr>
      <w:vertAlign w:val="superscript"/>
    </w:rPr>
  </w:style>
  <w:style w:type="paragraph" w:styleId="Encabezado">
    <w:name w:val="header"/>
    <w:basedOn w:val="Normal"/>
    <w:link w:val="Encabezado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E2214"/>
    <w:rPr>
      <w:rFonts w:ascii="Calibri" w:eastAsia="Calibri" w:hAnsi="Calibri" w:cs="Times New Roman"/>
    </w:rPr>
  </w:style>
  <w:style w:type="paragraph" w:styleId="Piedepgina">
    <w:name w:val="footer"/>
    <w:basedOn w:val="Normal"/>
    <w:link w:val="Piedepgina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E2214"/>
    <w:rPr>
      <w:rFonts w:ascii="Calibri" w:eastAsia="Calibri" w:hAnsi="Calibri" w:cs="Times New Roman"/>
    </w:rPr>
  </w:style>
  <w:style w:type="paragraph" w:customStyle="1" w:styleId="estilo30">
    <w:name w:val="estilo30"/>
    <w:basedOn w:val="Normal"/>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E221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uiPriority w:val="99"/>
    <w:unhideWhenUsed/>
    <w:rsid w:val="003E2214"/>
    <w:rPr>
      <w:color w:val="0563C1"/>
      <w:u w:val="single"/>
    </w:rPr>
  </w:style>
  <w:style w:type="table" w:styleId="Tablaconcuadrcula">
    <w:name w:val="Table Grid"/>
    <w:basedOn w:val="Tablanormal"/>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2214"/>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unhideWhenUsed/>
    <w:rsid w:val="003E2214"/>
    <w:pPr>
      <w:spacing w:after="20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3E2214"/>
    <w:rPr>
      <w:rFonts w:ascii="Calibri" w:eastAsia="Calibri" w:hAnsi="Calibri" w:cs="Times New Roman"/>
      <w:sz w:val="20"/>
      <w:szCs w:val="20"/>
      <w:lang w:val="x-none"/>
    </w:rPr>
  </w:style>
  <w:style w:type="character" w:customStyle="1" w:styleId="TextodegloboCar">
    <w:name w:val="Texto de globo Car"/>
    <w:basedOn w:val="Fuentedeprrafopredeter"/>
    <w:link w:val="Textodeglobo"/>
    <w:uiPriority w:val="99"/>
    <w:semiHidden/>
    <w:rsid w:val="003E2214"/>
    <w:rPr>
      <w:rFonts w:ascii="Tahoma" w:eastAsia="Calibri" w:hAnsi="Tahoma" w:cs="Times New Roman"/>
      <w:sz w:val="16"/>
      <w:szCs w:val="16"/>
      <w:lang w:val="x-none"/>
    </w:rPr>
  </w:style>
  <w:style w:type="paragraph" w:styleId="Textodeglobo">
    <w:name w:val="Balloon Text"/>
    <w:basedOn w:val="Normal"/>
    <w:link w:val="TextodegloboCar"/>
    <w:uiPriority w:val="99"/>
    <w:semiHidden/>
    <w:unhideWhenUsed/>
    <w:rsid w:val="003E2214"/>
    <w:pPr>
      <w:spacing w:after="0" w:line="240" w:lineRule="auto"/>
    </w:pPr>
    <w:rPr>
      <w:rFonts w:ascii="Tahoma" w:eastAsia="Calibri" w:hAnsi="Tahoma" w:cs="Times New Roman"/>
      <w:sz w:val="16"/>
      <w:szCs w:val="16"/>
      <w:lang w:val="x-none"/>
    </w:rPr>
  </w:style>
  <w:style w:type="character" w:customStyle="1" w:styleId="apple-converted-space">
    <w:name w:val="apple-converted-space"/>
    <w:basedOn w:val="Fuentedeprrafopredeter"/>
    <w:rsid w:val="003E2214"/>
  </w:style>
  <w:style w:type="character" w:customStyle="1" w:styleId="AsuntodelcomentarioCar">
    <w:name w:val="Asunto del comentario Car"/>
    <w:basedOn w:val="TextocomentarioCar"/>
    <w:link w:val="Asuntodelcomentario"/>
    <w:uiPriority w:val="99"/>
    <w:semiHidden/>
    <w:rsid w:val="003E2214"/>
    <w:rPr>
      <w:rFonts w:ascii="Calibri" w:eastAsia="Calibri" w:hAnsi="Calibri" w:cs="Times New Roman"/>
      <w:b/>
      <w:bCs/>
      <w:sz w:val="20"/>
      <w:szCs w:val="20"/>
      <w:lang w:val="x-none"/>
    </w:rPr>
  </w:style>
  <w:style w:type="paragraph" w:styleId="Asuntodelcomentario">
    <w:name w:val="annotation subject"/>
    <w:basedOn w:val="Textocomentario"/>
    <w:next w:val="Textocomentario"/>
    <w:link w:val="AsuntodelcomentarioCar"/>
    <w:uiPriority w:val="99"/>
    <w:semiHidden/>
    <w:unhideWhenUsed/>
    <w:rsid w:val="003E2214"/>
    <w:pPr>
      <w:spacing w:line="240" w:lineRule="auto"/>
    </w:pPr>
    <w:rPr>
      <w:b/>
      <w:bCs/>
      <w:lang w:val="es-MX"/>
    </w:rPr>
  </w:style>
  <w:style w:type="character" w:styleId="Textoennegrita">
    <w:name w:val="Strong"/>
    <w:basedOn w:val="Fuentedeprrafopredeter"/>
    <w:uiPriority w:val="22"/>
    <w:qFormat/>
    <w:rsid w:val="003E2214"/>
    <w:rPr>
      <w:b/>
      <w:bCs/>
    </w:rPr>
  </w:style>
  <w:style w:type="paragraph" w:customStyle="1" w:styleId="Seccin">
    <w:name w:val="Sección"/>
    <w:basedOn w:val="Normal"/>
    <w:qFormat/>
    <w:rsid w:val="003E2214"/>
    <w:pPr>
      <w:spacing w:before="360" w:after="0"/>
      <w:jc w:val="both"/>
    </w:pPr>
    <w:rPr>
      <w:rFonts w:ascii="ITC Avant Garde" w:eastAsiaTheme="minorEastAsia" w:hAnsi="ITC Avant Garde"/>
      <w:b/>
      <w:smallCaps/>
      <w:sz w:val="20"/>
      <w:szCs w:val="24"/>
      <w:lang w:eastAsia="ja-JP"/>
    </w:rPr>
  </w:style>
  <w:style w:type="paragraph" w:customStyle="1" w:styleId="ROMANOS">
    <w:name w:val="ROMANOS"/>
    <w:basedOn w:val="Normal"/>
    <w:link w:val="ROMANOSCar"/>
    <w:rsid w:val="003E2214"/>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E2214"/>
    <w:rPr>
      <w:rFonts w:ascii="Arial" w:eastAsia="Times New Roman" w:hAnsi="Arial" w:cs="Arial"/>
      <w:sz w:val="18"/>
      <w:szCs w:val="18"/>
      <w:lang w:val="es-ES_tradnl" w:eastAsia="es-ES"/>
    </w:rPr>
  </w:style>
  <w:style w:type="paragraph" w:styleId="Subttulo">
    <w:name w:val="Subtitle"/>
    <w:basedOn w:val="Normal"/>
    <w:next w:val="Normal"/>
    <w:link w:val="SubttuloCar"/>
    <w:uiPriority w:val="11"/>
    <w:qFormat/>
    <w:rsid w:val="003E2214"/>
    <w:pPr>
      <w:numPr>
        <w:ilvl w:val="1"/>
      </w:numPr>
      <w:spacing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E2214"/>
    <w:rPr>
      <w:rFonts w:eastAsiaTheme="minorEastAsia"/>
      <w:color w:val="5A5A5A" w:themeColor="text1" w:themeTint="A5"/>
      <w:spacing w:val="15"/>
    </w:rPr>
  </w:style>
  <w:style w:type="character" w:customStyle="1" w:styleId="Textoindependiente2Car">
    <w:name w:val="Texto independiente 2 Car"/>
    <w:basedOn w:val="Fuentedeprrafopredeter"/>
    <w:link w:val="Textoindependiente2"/>
    <w:uiPriority w:val="99"/>
    <w:semiHidden/>
    <w:rsid w:val="003E2214"/>
    <w:rPr>
      <w:rFonts w:ascii="Calibri" w:eastAsia="Calibri" w:hAnsi="Calibri" w:cs="Times New Roman"/>
    </w:rPr>
  </w:style>
  <w:style w:type="paragraph" w:styleId="Textoindependiente2">
    <w:name w:val="Body Text 2"/>
    <w:basedOn w:val="Normal"/>
    <w:link w:val="Textoindependiente2Car"/>
    <w:uiPriority w:val="99"/>
    <w:semiHidden/>
    <w:unhideWhenUsed/>
    <w:rsid w:val="003E2214"/>
    <w:pPr>
      <w:spacing w:after="120" w:line="480" w:lineRule="auto"/>
    </w:pPr>
    <w:rPr>
      <w:rFonts w:ascii="Calibri" w:eastAsia="Calibri" w:hAnsi="Calibri" w:cs="Times New Roman"/>
    </w:rPr>
  </w:style>
  <w:style w:type="paragraph" w:styleId="Textoindependiente">
    <w:name w:val="Body Text"/>
    <w:basedOn w:val="Normal"/>
    <w:link w:val="TextoindependienteCar"/>
    <w:uiPriority w:val="99"/>
    <w:unhideWhenUsed/>
    <w:rsid w:val="003E2214"/>
    <w:pPr>
      <w:spacing w:after="120"/>
    </w:pPr>
  </w:style>
  <w:style w:type="character" w:customStyle="1" w:styleId="TextoindependienteCar">
    <w:name w:val="Texto independiente Car"/>
    <w:basedOn w:val="Fuentedeprrafopredeter"/>
    <w:link w:val="Textoindependiente"/>
    <w:uiPriority w:val="99"/>
    <w:rsid w:val="003E2214"/>
  </w:style>
  <w:style w:type="character" w:styleId="nfasisintenso">
    <w:name w:val="Intense Emphasis"/>
    <w:basedOn w:val="Fuentedeprrafopredeter"/>
    <w:uiPriority w:val="21"/>
    <w:qFormat/>
    <w:rsid w:val="003E2214"/>
    <w:rPr>
      <w:i/>
      <w:iCs/>
      <w:color w:val="4472C4" w:themeColor="accent1"/>
    </w:rPr>
  </w:style>
  <w:style w:type="paragraph" w:customStyle="1" w:styleId="PreguntaInciso">
    <w:name w:val="Pregunta Inciso"/>
    <w:link w:val="PreguntaIncisoCar"/>
    <w:qFormat/>
    <w:rsid w:val="003E2214"/>
    <w:pPr>
      <w:spacing w:after="120" w:line="240" w:lineRule="auto"/>
      <w:ind w:left="720" w:hanging="360"/>
      <w:jc w:val="both"/>
    </w:pPr>
    <w:rPr>
      <w:rFonts w:ascii="ITC Avant Garde" w:eastAsia="Calibri" w:hAnsi="ITC Avant Garde" w:cs="Times New Roman"/>
      <w:color w:val="000000"/>
      <w:lang w:val="es-ES"/>
    </w:rPr>
  </w:style>
  <w:style w:type="character" w:customStyle="1" w:styleId="PreguntaIncisoCar">
    <w:name w:val="Pregunta Inciso Car"/>
    <w:basedOn w:val="Fuentedeprrafopredeter"/>
    <w:link w:val="PreguntaInciso"/>
    <w:rsid w:val="003E2214"/>
    <w:rPr>
      <w:rFonts w:ascii="ITC Avant Garde" w:eastAsia="Calibri" w:hAnsi="ITC Avant Garde" w:cs="Times New Roman"/>
      <w:color w:val="000000"/>
      <w:lang w:val="es-ES"/>
    </w:rPr>
  </w:style>
  <w:style w:type="table" w:customStyle="1" w:styleId="Tablaconcuadrcula3">
    <w:name w:val="Tabla con cuadrícula3"/>
    <w:basedOn w:val="Tablanormal"/>
    <w:next w:val="Tablaconcuadrcula"/>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rsid w:val="003E2214"/>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3E2214"/>
    <w:pPr>
      <w:spacing w:after="0" w:line="240" w:lineRule="auto"/>
    </w:pPr>
    <w:rPr>
      <w:rFonts w:ascii="Calibri" w:eastAsia="Calibri" w:hAnsi="Calibri" w:cs="Times New Roman"/>
      <w:sz w:val="20"/>
      <w:szCs w:val="20"/>
    </w:rPr>
  </w:style>
  <w:style w:type="character" w:customStyle="1" w:styleId="TextoCar">
    <w:name w:val="Texto Car"/>
    <w:link w:val="Texto"/>
    <w:locked/>
    <w:rsid w:val="003E2214"/>
    <w:rPr>
      <w:rFonts w:ascii="Arial" w:hAnsi="Arial" w:cs="Arial"/>
      <w:sz w:val="18"/>
      <w:lang w:val="es-ES" w:eastAsia="es-ES"/>
    </w:rPr>
  </w:style>
  <w:style w:type="paragraph" w:customStyle="1" w:styleId="Texto">
    <w:name w:val="Texto"/>
    <w:basedOn w:val="Normal"/>
    <w:link w:val="TextoCar"/>
    <w:rsid w:val="003E2214"/>
    <w:pPr>
      <w:spacing w:after="101" w:line="216" w:lineRule="exact"/>
      <w:ind w:firstLine="288"/>
      <w:jc w:val="both"/>
    </w:pPr>
    <w:rPr>
      <w:rFonts w:ascii="Arial" w:hAnsi="Arial" w:cs="Arial"/>
      <w:sz w:val="18"/>
      <w:lang w:val="es-ES" w:eastAsia="es-ES"/>
    </w:rPr>
  </w:style>
  <w:style w:type="paragraph" w:styleId="Cita">
    <w:name w:val="Quote"/>
    <w:link w:val="CitaCar"/>
    <w:uiPriority w:val="73"/>
    <w:rsid w:val="003E2214"/>
    <w:pPr>
      <w:spacing w:before="120" w:after="120" w:line="240" w:lineRule="auto"/>
      <w:ind w:left="862" w:right="862"/>
      <w:jc w:val="both"/>
    </w:pPr>
    <w:rPr>
      <w:rFonts w:ascii="Arial" w:eastAsia="Times New Roman" w:hAnsi="Arial" w:cs="Times New Roman"/>
      <w:i/>
      <w:iCs/>
      <w:sz w:val="20"/>
      <w:lang w:eastAsia="es-MX"/>
    </w:rPr>
  </w:style>
  <w:style w:type="character" w:customStyle="1" w:styleId="CitaCar">
    <w:name w:val="Cita Car"/>
    <w:basedOn w:val="Fuentedeprrafopredeter"/>
    <w:link w:val="Cita"/>
    <w:uiPriority w:val="73"/>
    <w:rsid w:val="003E2214"/>
    <w:rPr>
      <w:rFonts w:ascii="Arial" w:eastAsia="Times New Roman" w:hAnsi="Arial" w:cs="Times New Roman"/>
      <w:i/>
      <w:iCs/>
      <w:sz w:val="20"/>
      <w:lang w:eastAsia="es-MX"/>
    </w:rPr>
  </w:style>
  <w:style w:type="character" w:customStyle="1" w:styleId="CitaN">
    <w:name w:val="Cita N"/>
    <w:uiPriority w:val="1"/>
    <w:qFormat/>
    <w:rsid w:val="003E2214"/>
    <w:rPr>
      <w:rFonts w:ascii="Arial" w:hAnsi="Arial"/>
      <w:b/>
      <w:i w:val="0"/>
      <w:sz w:val="20"/>
    </w:rPr>
  </w:style>
  <w:style w:type="paragraph" w:customStyle="1" w:styleId="Listavistosa-nfasis11">
    <w:name w:val="Lista vistosa - Énfasis 11"/>
    <w:basedOn w:val="Normal"/>
    <w:uiPriority w:val="34"/>
    <w:qFormat/>
    <w:rsid w:val="003E2214"/>
    <w:pPr>
      <w:ind w:left="720"/>
      <w:contextualSpacing/>
    </w:pPr>
    <w:rPr>
      <w:rFonts w:ascii="Calibri" w:eastAsia="Calibri" w:hAnsi="Calibri" w:cs="Times New Roman"/>
    </w:rPr>
  </w:style>
  <w:style w:type="paragraph" w:styleId="Revisin">
    <w:name w:val="Revision"/>
    <w:hidden/>
    <w:uiPriority w:val="99"/>
    <w:semiHidden/>
    <w:rsid w:val="00B42C51"/>
    <w:pPr>
      <w:spacing w:after="0" w:line="240" w:lineRule="auto"/>
    </w:pPr>
  </w:style>
  <w:style w:type="table" w:styleId="Tablaconcuadrcula5oscura-nfasis6">
    <w:name w:val="Grid Table 5 Dark Accent 6"/>
    <w:basedOn w:val="Tablanormal"/>
    <w:uiPriority w:val="50"/>
    <w:rsid w:val="003C28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cinsinresolver">
    <w:name w:val="Unresolved Mention"/>
    <w:basedOn w:val="Fuentedeprrafopredeter"/>
    <w:uiPriority w:val="99"/>
    <w:semiHidden/>
    <w:unhideWhenUsed/>
    <w:rsid w:val="0033341F"/>
    <w:rPr>
      <w:color w:val="605E5C"/>
      <w:shd w:val="clear" w:color="auto" w:fill="E1DFDD"/>
    </w:rPr>
  </w:style>
  <w:style w:type="character" w:styleId="Refdecomentario">
    <w:name w:val="annotation reference"/>
    <w:basedOn w:val="Fuentedeprrafopredeter"/>
    <w:uiPriority w:val="99"/>
    <w:unhideWhenUsed/>
    <w:rsid w:val="00FF764E"/>
    <w:rPr>
      <w:sz w:val="16"/>
      <w:szCs w:val="16"/>
    </w:rPr>
  </w:style>
  <w:style w:type="character" w:customStyle="1" w:styleId="Ttulo4Car">
    <w:name w:val="Título 4 Car"/>
    <w:basedOn w:val="Fuentedeprrafopredeter"/>
    <w:link w:val="Ttulo4"/>
    <w:uiPriority w:val="9"/>
    <w:rsid w:val="0068340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227766">
      <w:bodyDiv w:val="1"/>
      <w:marLeft w:val="0"/>
      <w:marRight w:val="0"/>
      <w:marTop w:val="0"/>
      <w:marBottom w:val="0"/>
      <w:divBdr>
        <w:top w:val="none" w:sz="0" w:space="0" w:color="auto"/>
        <w:left w:val="none" w:sz="0" w:space="0" w:color="auto"/>
        <w:bottom w:val="none" w:sz="0" w:space="0" w:color="auto"/>
        <w:right w:val="none" w:sz="0" w:space="0" w:color="auto"/>
      </w:divBdr>
    </w:div>
    <w:div w:id="808280124">
      <w:bodyDiv w:val="1"/>
      <w:marLeft w:val="0"/>
      <w:marRight w:val="0"/>
      <w:marTop w:val="0"/>
      <w:marBottom w:val="0"/>
      <w:divBdr>
        <w:top w:val="none" w:sz="0" w:space="0" w:color="auto"/>
        <w:left w:val="none" w:sz="0" w:space="0" w:color="auto"/>
        <w:bottom w:val="none" w:sz="0" w:space="0" w:color="auto"/>
        <w:right w:val="none" w:sz="0" w:space="0" w:color="auto"/>
      </w:divBdr>
    </w:div>
    <w:div w:id="1046493742">
      <w:bodyDiv w:val="1"/>
      <w:marLeft w:val="0"/>
      <w:marRight w:val="0"/>
      <w:marTop w:val="0"/>
      <w:marBottom w:val="0"/>
      <w:divBdr>
        <w:top w:val="none" w:sz="0" w:space="0" w:color="auto"/>
        <w:left w:val="none" w:sz="0" w:space="0" w:color="auto"/>
        <w:bottom w:val="none" w:sz="0" w:space="0" w:color="auto"/>
        <w:right w:val="none" w:sz="0" w:space="0" w:color="auto"/>
      </w:divBdr>
    </w:div>
    <w:div w:id="1195998261">
      <w:bodyDiv w:val="1"/>
      <w:marLeft w:val="0"/>
      <w:marRight w:val="0"/>
      <w:marTop w:val="0"/>
      <w:marBottom w:val="0"/>
      <w:divBdr>
        <w:top w:val="none" w:sz="0" w:space="0" w:color="auto"/>
        <w:left w:val="none" w:sz="0" w:space="0" w:color="auto"/>
        <w:bottom w:val="none" w:sz="0" w:space="0" w:color="auto"/>
        <w:right w:val="none" w:sz="0" w:space="0" w:color="auto"/>
      </w:divBdr>
    </w:div>
    <w:div w:id="1238319737">
      <w:bodyDiv w:val="1"/>
      <w:marLeft w:val="0"/>
      <w:marRight w:val="0"/>
      <w:marTop w:val="0"/>
      <w:marBottom w:val="0"/>
      <w:divBdr>
        <w:top w:val="none" w:sz="0" w:space="0" w:color="auto"/>
        <w:left w:val="none" w:sz="0" w:space="0" w:color="auto"/>
        <w:bottom w:val="none" w:sz="0" w:space="0" w:color="auto"/>
        <w:right w:val="none" w:sz="0" w:space="0" w:color="auto"/>
      </w:divBdr>
    </w:div>
    <w:div w:id="1395543490">
      <w:bodyDiv w:val="1"/>
      <w:marLeft w:val="0"/>
      <w:marRight w:val="0"/>
      <w:marTop w:val="0"/>
      <w:marBottom w:val="0"/>
      <w:divBdr>
        <w:top w:val="none" w:sz="0" w:space="0" w:color="auto"/>
        <w:left w:val="none" w:sz="0" w:space="0" w:color="auto"/>
        <w:bottom w:val="none" w:sz="0" w:space="0" w:color="auto"/>
        <w:right w:val="none" w:sz="0" w:space="0" w:color="auto"/>
      </w:divBdr>
    </w:div>
    <w:div w:id="1538934582">
      <w:bodyDiv w:val="1"/>
      <w:marLeft w:val="0"/>
      <w:marRight w:val="0"/>
      <w:marTop w:val="0"/>
      <w:marBottom w:val="0"/>
      <w:divBdr>
        <w:top w:val="none" w:sz="0" w:space="0" w:color="auto"/>
        <w:left w:val="none" w:sz="0" w:space="0" w:color="auto"/>
        <w:bottom w:val="none" w:sz="0" w:space="0" w:color="auto"/>
        <w:right w:val="none" w:sz="0" w:space="0" w:color="auto"/>
      </w:divBdr>
    </w:div>
    <w:div w:id="1826042019">
      <w:bodyDiv w:val="1"/>
      <w:marLeft w:val="0"/>
      <w:marRight w:val="0"/>
      <w:marTop w:val="0"/>
      <w:marBottom w:val="0"/>
      <w:divBdr>
        <w:top w:val="none" w:sz="0" w:space="0" w:color="auto"/>
        <w:left w:val="none" w:sz="0" w:space="0" w:color="auto"/>
        <w:bottom w:val="none" w:sz="0" w:space="0" w:color="auto"/>
        <w:right w:val="none" w:sz="0" w:space="0" w:color="auto"/>
      </w:divBdr>
    </w:div>
    <w:div w:id="19322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guia-para-la-determinacion-de-multas-en-materia-de-competencia-economica-en-los-sectores-de-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de.repositorioinstitucional.mx/jspui/bitstream/1011/517/1/000155561_documento.pdf" TargetMode="External"/><Relationship Id="rId2" Type="http://schemas.openxmlformats.org/officeDocument/2006/relationships/hyperlink" Target="https://www.oecd.org/competition/cartels/1935141.pdf" TargetMode="External"/><Relationship Id="rId1" Type="http://schemas.openxmlformats.org/officeDocument/2006/relationships/hyperlink" Target="https://www.oecd.org/officialdocuments/publicdisplaydocumentpdf/?cote=DAF/COMP/LACF(2013)4/REV1&amp;docLanguag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10537-6E16-4BB2-97B5-54F1EE412D4B}">
  <ds:schemaRefs>
    <ds:schemaRef ds:uri="http://schemas.microsoft.com/sharepoint/v3/contenttype/forms"/>
  </ds:schemaRefs>
</ds:datastoreItem>
</file>

<file path=customXml/itemProps2.xml><?xml version="1.0" encoding="utf-8"?>
<ds:datastoreItem xmlns:ds="http://schemas.openxmlformats.org/officeDocument/2006/customXml" ds:itemID="{44A161F9-6DDB-43F8-8AB8-612D750A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BDC38F-85AA-41AB-9FC2-6813C7093822}">
  <ds:schemaRefs>
    <ds:schemaRef ds:uri="http://schemas.openxmlformats.org/officeDocument/2006/bibliography"/>
  </ds:schemaRefs>
</ds:datastoreItem>
</file>

<file path=customXml/itemProps4.xml><?xml version="1.0" encoding="utf-8"?>
<ds:datastoreItem xmlns:ds="http://schemas.openxmlformats.org/officeDocument/2006/customXml" ds:itemID="{22F60E28-7F48-433B-9958-CD610C2AA8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7541</Words>
  <Characters>41477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48921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Ulises Lopez Bautista</dc:creator>
  <cp:keywords/>
  <dc:description/>
  <cp:lastModifiedBy>Ángela Rincón</cp:lastModifiedBy>
  <cp:revision>3</cp:revision>
  <dcterms:created xsi:type="dcterms:W3CDTF">2021-09-24T17:58:00Z</dcterms:created>
  <dcterms:modified xsi:type="dcterms:W3CDTF">2021-09-28T18:33:00Z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