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rsidTr="00D23BD5">
        <w:trPr>
          <w:trHeight w:val="816"/>
        </w:trPr>
        <w:tc>
          <w:tcPr>
            <w:tcW w:w="2689" w:type="dxa"/>
            <w:shd w:val="clear" w:color="auto" w:fill="DBDBDB" w:themeFill="accent3" w:themeFillTint="66"/>
          </w:tcPr>
          <w:p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rsidR="0068307E" w:rsidRPr="00DD06A0" w:rsidRDefault="0068307E" w:rsidP="00501ADF">
            <w:pPr>
              <w:jc w:val="both"/>
              <w:rPr>
                <w:rFonts w:ascii="ITC Avant Garde" w:hAnsi="ITC Avant Garde"/>
                <w:sz w:val="18"/>
                <w:szCs w:val="18"/>
              </w:rPr>
            </w:pPr>
          </w:p>
          <w:p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rsidR="0068307E" w:rsidRPr="00DD06A0" w:rsidRDefault="00B16C4B" w:rsidP="00767BB5">
            <w:pPr>
              <w:jc w:val="both"/>
              <w:rPr>
                <w:rFonts w:ascii="ITC Avant Garde" w:hAnsi="ITC Avant Garde"/>
                <w:sz w:val="18"/>
                <w:szCs w:val="18"/>
              </w:rPr>
            </w:pPr>
            <w:r w:rsidRPr="00B16C4B">
              <w:rPr>
                <w:rFonts w:ascii="ITC Avant Garde" w:hAnsi="ITC Avant Garde"/>
                <w:sz w:val="18"/>
                <w:szCs w:val="18"/>
              </w:rPr>
              <w:t>Anteproyecto de Lineamientos para la solicitud y sustanciación del procedimiento de resolución de desacuerdos de interconexión entre concesionarios de redes públicas de telecomunicaciones de conformidad con el procedimiento previsto en el artículo 129 de la Ley Federal de Telecomunicaciones y Radiodifusión, mediante el uso optativo de medios electrónicos a través de la Ventanilla Electrónica del Institut</w:t>
            </w:r>
            <w:r>
              <w:rPr>
                <w:rFonts w:ascii="ITC Avant Garde" w:hAnsi="ITC Avant Garde"/>
                <w:sz w:val="18"/>
                <w:szCs w:val="18"/>
              </w:rPr>
              <w:t>o Federal de Telecomunicaciones</w:t>
            </w:r>
          </w:p>
        </w:tc>
      </w:tr>
      <w:tr w:rsidR="0068307E" w:rsidRPr="00DD06A0" w:rsidTr="00D23BD5">
        <w:trPr>
          <w:trHeight w:val="889"/>
        </w:trPr>
        <w:tc>
          <w:tcPr>
            <w:tcW w:w="2689" w:type="dxa"/>
            <w:vMerge w:val="restart"/>
            <w:shd w:val="clear" w:color="auto" w:fill="DBDBDB" w:themeFill="accent3" w:themeFillTint="66"/>
          </w:tcPr>
          <w:p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rsidR="0068307E" w:rsidRPr="00DD06A0" w:rsidRDefault="0068307E" w:rsidP="00501ADF">
            <w:pPr>
              <w:jc w:val="both"/>
              <w:rPr>
                <w:rFonts w:ascii="ITC Avant Garde" w:hAnsi="ITC Avant Garde"/>
                <w:b/>
                <w:sz w:val="18"/>
                <w:szCs w:val="18"/>
              </w:rPr>
            </w:pPr>
          </w:p>
          <w:p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0D3B7A">
              <w:rPr>
                <w:rFonts w:ascii="ITC Avant Garde" w:hAnsi="ITC Avant Garde"/>
                <w:sz w:val="18"/>
                <w:szCs w:val="18"/>
              </w:rPr>
              <w:t xml:space="preserve">Adriana Williams Hernández </w:t>
            </w:r>
          </w:p>
          <w:p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58034D">
              <w:rPr>
                <w:rFonts w:ascii="ITC Avant Garde" w:hAnsi="ITC Avant Garde"/>
                <w:sz w:val="18"/>
                <w:szCs w:val="18"/>
              </w:rPr>
              <w:t>5015-4</w:t>
            </w:r>
            <w:r w:rsidR="000D3B7A">
              <w:rPr>
                <w:rFonts w:ascii="ITC Avant Garde" w:hAnsi="ITC Avant Garde"/>
                <w:sz w:val="18"/>
                <w:szCs w:val="18"/>
              </w:rPr>
              <w:t>890</w:t>
            </w:r>
          </w:p>
          <w:p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w:t>
            </w:r>
            <w:hyperlink r:id="rId11" w:history="1">
              <w:r w:rsidR="006B2898" w:rsidRPr="00ED1C51">
                <w:rPr>
                  <w:rStyle w:val="Hipervnculo"/>
                  <w:rFonts w:ascii="ITC Avant Garde" w:hAnsi="ITC Avant Garde"/>
                  <w:sz w:val="18"/>
                  <w:szCs w:val="18"/>
                </w:rPr>
                <w:t>adriana.williams@ift.org.mx</w:t>
              </w:r>
            </w:hyperlink>
            <w:r w:rsidR="006B2898">
              <w:rPr>
                <w:rFonts w:ascii="ITC Avant Garde" w:hAnsi="ITC Avant Garde"/>
                <w:sz w:val="18"/>
                <w:szCs w:val="18"/>
              </w:rPr>
              <w:t xml:space="preserve"> </w:t>
            </w:r>
          </w:p>
          <w:p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rsidR="0068307E" w:rsidRPr="00DD06A0" w:rsidRDefault="000B625B" w:rsidP="000D3B7A">
            <w:pPr>
              <w:jc w:val="center"/>
              <w:rPr>
                <w:rFonts w:ascii="ITC Avant Garde" w:hAnsi="ITC Avant Garde"/>
                <w:sz w:val="18"/>
                <w:szCs w:val="18"/>
              </w:rPr>
            </w:pPr>
            <w:r>
              <w:rPr>
                <w:rFonts w:ascii="ITC Avant Garde" w:hAnsi="ITC Avant Garde"/>
                <w:sz w:val="18"/>
                <w:szCs w:val="18"/>
              </w:rPr>
              <w:t>1</w:t>
            </w:r>
            <w:bookmarkStart w:id="0" w:name="_GoBack"/>
            <w:bookmarkEnd w:id="0"/>
            <w:r>
              <w:rPr>
                <w:rFonts w:ascii="ITC Avant Garde" w:hAnsi="ITC Avant Garde"/>
                <w:sz w:val="18"/>
                <w:szCs w:val="18"/>
              </w:rPr>
              <w:t>4</w:t>
            </w:r>
            <w:r w:rsidR="0068307E" w:rsidRPr="00DD06A0">
              <w:rPr>
                <w:rFonts w:ascii="ITC Avant Garde" w:hAnsi="ITC Avant Garde"/>
                <w:sz w:val="18"/>
                <w:szCs w:val="18"/>
              </w:rPr>
              <w:t>/</w:t>
            </w:r>
            <w:r>
              <w:rPr>
                <w:rFonts w:ascii="ITC Avant Garde" w:hAnsi="ITC Avant Garde"/>
                <w:sz w:val="18"/>
                <w:szCs w:val="18"/>
              </w:rPr>
              <w:t>07</w:t>
            </w:r>
            <w:r w:rsidR="0068307E" w:rsidRPr="00DD06A0">
              <w:rPr>
                <w:rFonts w:ascii="ITC Avant Garde" w:hAnsi="ITC Avant Garde"/>
                <w:sz w:val="18"/>
                <w:szCs w:val="18"/>
              </w:rPr>
              <w:t>/</w:t>
            </w:r>
            <w:r w:rsidR="00B84D29">
              <w:rPr>
                <w:rFonts w:ascii="ITC Avant Garde" w:hAnsi="ITC Avant Garde"/>
                <w:sz w:val="18"/>
                <w:szCs w:val="18"/>
              </w:rPr>
              <w:t>20</w:t>
            </w:r>
            <w:r w:rsidR="000D3B7A">
              <w:rPr>
                <w:rFonts w:ascii="ITC Avant Garde" w:hAnsi="ITC Avant Garde"/>
                <w:sz w:val="18"/>
                <w:szCs w:val="18"/>
              </w:rPr>
              <w:t>20</w:t>
            </w:r>
          </w:p>
        </w:tc>
      </w:tr>
      <w:tr w:rsidR="0068307E" w:rsidRPr="00DD06A0" w:rsidTr="00D23BD5">
        <w:trPr>
          <w:trHeight w:val="390"/>
        </w:trPr>
        <w:tc>
          <w:tcPr>
            <w:tcW w:w="2689" w:type="dxa"/>
            <w:vMerge/>
            <w:shd w:val="clear" w:color="auto" w:fill="DBDBDB" w:themeFill="accent3" w:themeFillTint="66"/>
          </w:tcPr>
          <w:p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DD06A0" w:rsidRDefault="005C4A39" w:rsidP="009E6138">
            <w:pPr>
              <w:jc w:val="center"/>
              <w:rPr>
                <w:rFonts w:ascii="ITC Avant Garde" w:hAnsi="ITC Avant Garde"/>
                <w:sz w:val="18"/>
                <w:szCs w:val="18"/>
              </w:rPr>
            </w:pPr>
            <w:r>
              <w:rPr>
                <w:rFonts w:ascii="ITC Avant Garde" w:hAnsi="ITC Avant Garde"/>
                <w:sz w:val="18"/>
                <w:szCs w:val="18"/>
              </w:rPr>
              <w:t>18</w:t>
            </w:r>
            <w:r w:rsidR="0068307E" w:rsidRPr="00DD06A0">
              <w:rPr>
                <w:rFonts w:ascii="ITC Avant Garde" w:hAnsi="ITC Avant Garde"/>
                <w:sz w:val="18"/>
                <w:szCs w:val="18"/>
              </w:rPr>
              <w:t>/</w:t>
            </w:r>
            <w:r w:rsidR="00B84D29">
              <w:rPr>
                <w:rFonts w:ascii="ITC Avant Garde" w:hAnsi="ITC Avant Garde"/>
                <w:sz w:val="18"/>
                <w:szCs w:val="18"/>
              </w:rPr>
              <w:t>08</w:t>
            </w:r>
            <w:r w:rsidR="0068307E" w:rsidRPr="00DD06A0">
              <w:rPr>
                <w:rFonts w:ascii="ITC Avant Garde" w:hAnsi="ITC Avant Garde"/>
                <w:sz w:val="18"/>
                <w:szCs w:val="18"/>
              </w:rPr>
              <w:t>/</w:t>
            </w:r>
            <w:r w:rsidR="00B84D29">
              <w:rPr>
                <w:rFonts w:ascii="ITC Avant Garde" w:hAnsi="ITC Avant Garde"/>
                <w:sz w:val="18"/>
                <w:szCs w:val="18"/>
              </w:rPr>
              <w:t>20</w:t>
            </w:r>
            <w:r w:rsidR="009E6138">
              <w:rPr>
                <w:rFonts w:ascii="ITC Avant Garde" w:hAnsi="ITC Avant Garde"/>
                <w:sz w:val="18"/>
                <w:szCs w:val="18"/>
              </w:rPr>
              <w:t>20</w:t>
            </w:r>
            <w:r w:rsidR="00B84D29">
              <w:rPr>
                <w:rFonts w:ascii="ITC Avant Garde" w:hAnsi="ITC Avant Garde"/>
                <w:sz w:val="18"/>
                <w:szCs w:val="18"/>
              </w:rPr>
              <w:t xml:space="preserve"> a </w:t>
            </w:r>
            <w:r>
              <w:rPr>
                <w:rFonts w:ascii="ITC Avant Garde" w:hAnsi="ITC Avant Garde"/>
                <w:sz w:val="18"/>
                <w:szCs w:val="18"/>
              </w:rPr>
              <w:t>14</w:t>
            </w:r>
            <w:r w:rsidR="00D23BD5" w:rsidRPr="00DD06A0">
              <w:rPr>
                <w:rFonts w:ascii="ITC Avant Garde" w:hAnsi="ITC Avant Garde"/>
                <w:sz w:val="18"/>
                <w:szCs w:val="18"/>
              </w:rPr>
              <w:t>/</w:t>
            </w:r>
            <w:r w:rsidR="00B84D29">
              <w:rPr>
                <w:rFonts w:ascii="ITC Avant Garde" w:hAnsi="ITC Avant Garde"/>
                <w:sz w:val="18"/>
                <w:szCs w:val="18"/>
              </w:rPr>
              <w:t>09</w:t>
            </w:r>
            <w:r w:rsidR="00D23BD5" w:rsidRPr="00DD06A0">
              <w:rPr>
                <w:rFonts w:ascii="ITC Avant Garde" w:hAnsi="ITC Avant Garde"/>
                <w:sz w:val="18"/>
                <w:szCs w:val="18"/>
              </w:rPr>
              <w:t>/</w:t>
            </w:r>
            <w:r w:rsidR="00B84D29">
              <w:rPr>
                <w:rFonts w:ascii="ITC Avant Garde" w:hAnsi="ITC Avant Garde"/>
                <w:sz w:val="18"/>
                <w:szCs w:val="18"/>
              </w:rPr>
              <w:t>20</w:t>
            </w:r>
            <w:r w:rsidR="009E6138">
              <w:rPr>
                <w:rFonts w:ascii="ITC Avant Garde" w:hAnsi="ITC Avant Garde"/>
                <w:sz w:val="18"/>
                <w:szCs w:val="18"/>
              </w:rPr>
              <w:t>20</w:t>
            </w:r>
          </w:p>
        </w:tc>
      </w:tr>
    </w:tbl>
    <w:p w:rsidR="00501ADF" w:rsidRPr="00DD06A0" w:rsidRDefault="00501ADF" w:rsidP="00501ADF">
      <w:pPr>
        <w:jc w:val="both"/>
        <w:rPr>
          <w:rFonts w:ascii="ITC Avant Garde" w:hAnsi="ITC Avant Garde"/>
          <w:sz w:val="18"/>
          <w:szCs w:val="18"/>
        </w:rPr>
      </w:pPr>
    </w:p>
    <w:p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rsidTr="008A48B0">
        <w:tc>
          <w:tcPr>
            <w:tcW w:w="8828" w:type="dxa"/>
            <w:shd w:val="clear" w:color="auto" w:fill="FFFFFF" w:themeFill="background1"/>
          </w:tcPr>
          <w:p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ii) sus condiciones actuales y sus principales fallas; y, iii)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rsidR="00F0449E" w:rsidRDefault="00F0449E" w:rsidP="008A48B0">
            <w:pPr>
              <w:shd w:val="clear" w:color="auto" w:fill="FFFFFF" w:themeFill="background1"/>
              <w:jc w:val="both"/>
              <w:rPr>
                <w:rFonts w:ascii="ITC Avant Garde" w:hAnsi="ITC Avant Garde"/>
                <w:sz w:val="18"/>
                <w:szCs w:val="18"/>
              </w:rPr>
            </w:pPr>
          </w:p>
          <w:p w:rsidR="000812AF" w:rsidRPr="000812AF" w:rsidRDefault="000812AF" w:rsidP="000812AF">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conformidad con lo previsto por el </w:t>
            </w:r>
            <w:r w:rsidRPr="000812AF">
              <w:rPr>
                <w:rFonts w:ascii="ITC Avant Garde" w:hAnsi="ITC Avant Garde"/>
                <w:sz w:val="18"/>
                <w:szCs w:val="18"/>
              </w:rPr>
              <w:t>artículo 6, apartado B, fracción II, de la Constitución</w:t>
            </w:r>
            <w:r>
              <w:rPr>
                <w:rFonts w:ascii="ITC Avant Garde" w:hAnsi="ITC Avant Garde"/>
                <w:sz w:val="18"/>
                <w:szCs w:val="18"/>
              </w:rPr>
              <w:t xml:space="preserve"> Política de los Estados Unidos Mexicanos (en lo sucesivo, la Constitución”) </w:t>
            </w:r>
            <w:r w:rsidRPr="000812AF">
              <w:rPr>
                <w:rFonts w:ascii="ITC Avant Garde" w:hAnsi="ITC Avant Garde"/>
                <w:sz w:val="18"/>
                <w:szCs w:val="18"/>
              </w:rPr>
              <w:t>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rsidR="000812AF" w:rsidRPr="000812AF" w:rsidRDefault="000812AF" w:rsidP="000812AF">
            <w:pPr>
              <w:shd w:val="clear" w:color="auto" w:fill="FFFFFF" w:themeFill="background1"/>
              <w:jc w:val="both"/>
              <w:rPr>
                <w:rFonts w:ascii="ITC Avant Garde" w:hAnsi="ITC Avant Garde"/>
                <w:sz w:val="18"/>
                <w:szCs w:val="18"/>
              </w:rPr>
            </w:pPr>
          </w:p>
          <w:p w:rsidR="000812AF" w:rsidRPr="000812AF" w:rsidRDefault="000812AF" w:rsidP="000812AF">
            <w:pPr>
              <w:shd w:val="clear" w:color="auto" w:fill="FFFFFF" w:themeFill="background1"/>
              <w:jc w:val="both"/>
              <w:rPr>
                <w:rFonts w:ascii="ITC Avant Garde" w:hAnsi="ITC Avant Garde"/>
                <w:sz w:val="18"/>
                <w:szCs w:val="18"/>
              </w:rPr>
            </w:pPr>
            <w:r w:rsidRPr="000812AF">
              <w:rPr>
                <w:rFonts w:ascii="ITC Avant Garde" w:hAnsi="ITC Avant Garde"/>
                <w:sz w:val="18"/>
                <w:szCs w:val="18"/>
              </w:rPr>
              <w:t>Por su parte, el artículo 2 de la L</w:t>
            </w:r>
            <w:r w:rsidR="005D5D9B">
              <w:rPr>
                <w:rFonts w:ascii="ITC Avant Garde" w:hAnsi="ITC Avant Garde"/>
                <w:sz w:val="18"/>
                <w:szCs w:val="18"/>
              </w:rPr>
              <w:t>ey Federal de Telecomunicaciones y Radiodifusión (en lo sucesivo, “L</w:t>
            </w:r>
            <w:r w:rsidRPr="000812AF">
              <w:rPr>
                <w:rFonts w:ascii="ITC Avant Garde" w:hAnsi="ITC Avant Garde"/>
                <w:sz w:val="18"/>
                <w:szCs w:val="18"/>
              </w:rPr>
              <w:t>FTR</w:t>
            </w:r>
            <w:r w:rsidR="005D5D9B">
              <w:rPr>
                <w:rFonts w:ascii="ITC Avant Garde" w:hAnsi="ITC Avant Garde"/>
                <w:sz w:val="18"/>
                <w:szCs w:val="18"/>
              </w:rPr>
              <w:t>”)</w:t>
            </w:r>
            <w:r w:rsidRPr="000812AF">
              <w:rPr>
                <w:rFonts w:ascii="ITC Avant Garde" w:hAnsi="ITC Avant Garde"/>
                <w:sz w:val="18"/>
                <w:szCs w:val="18"/>
              </w:rPr>
              <w:t>, en concordancia con la Constitución</w:t>
            </w:r>
            <w:r w:rsidR="005D5D9B">
              <w:rPr>
                <w:rFonts w:ascii="ITC Avant Garde" w:hAnsi="ITC Avant Garde"/>
                <w:sz w:val="18"/>
                <w:szCs w:val="18"/>
              </w:rPr>
              <w:t>,</w:t>
            </w:r>
            <w:r w:rsidRPr="000812AF">
              <w:rPr>
                <w:rFonts w:ascii="ITC Avant Garde" w:hAnsi="ITC Avant Garde"/>
                <w:sz w:val="18"/>
                <w:szCs w:val="18"/>
              </w:rPr>
              <w:t xml:space="preserve">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rsidR="000812AF" w:rsidRPr="000812AF" w:rsidRDefault="000812AF" w:rsidP="000812AF">
            <w:pPr>
              <w:shd w:val="clear" w:color="auto" w:fill="FFFFFF" w:themeFill="background1"/>
              <w:jc w:val="both"/>
              <w:rPr>
                <w:rFonts w:ascii="ITC Avant Garde" w:hAnsi="ITC Avant Garde"/>
                <w:sz w:val="18"/>
                <w:szCs w:val="18"/>
              </w:rPr>
            </w:pPr>
          </w:p>
          <w:p w:rsidR="000812AF" w:rsidRPr="000812AF" w:rsidRDefault="000812AF" w:rsidP="000812AF">
            <w:pPr>
              <w:shd w:val="clear" w:color="auto" w:fill="FFFFFF" w:themeFill="background1"/>
              <w:jc w:val="both"/>
              <w:rPr>
                <w:rFonts w:ascii="ITC Avant Garde" w:hAnsi="ITC Avant Garde"/>
                <w:sz w:val="18"/>
                <w:szCs w:val="18"/>
              </w:rPr>
            </w:pPr>
            <w:r w:rsidRPr="000812AF">
              <w:rPr>
                <w:rFonts w:ascii="ITC Avant Garde" w:hAnsi="ITC Avant Garde"/>
                <w:sz w:val="18"/>
                <w:szCs w:val="18"/>
              </w:rPr>
              <w:t xml:space="preserve">Por ello, el legislador estableció (i) la obligación de todos los concesionarios que operan redes públicas de telecomunicaciones de adoptar diseños de arquitectura abierta para garantizar la interconexión e </w:t>
            </w:r>
            <w:r w:rsidR="004D75C7">
              <w:rPr>
                <w:rFonts w:ascii="ITC Avant Garde" w:hAnsi="ITC Avant Garde"/>
                <w:sz w:val="18"/>
                <w:szCs w:val="18"/>
              </w:rPr>
              <w:t>interoperabilidad de sus redes conforme a</w:t>
            </w:r>
            <w:r w:rsidRPr="000812AF">
              <w:rPr>
                <w:rFonts w:ascii="ITC Avant Garde" w:hAnsi="ITC Avant Garde"/>
                <w:sz w:val="18"/>
                <w:szCs w:val="18"/>
              </w:rPr>
              <w:t>l artículo 124 de Ia LFTR; (ii) la obligación de los concesionarios que operan redes públicas de interconectar sus redes de conformidad con lo establecido en el artículo 125 de la LFTR, y (iii) que dicha interconexión se realice en condiciones no discriminatorias, transparentes y basadas en criterios objetivos.</w:t>
            </w:r>
          </w:p>
          <w:p w:rsidR="000812AF" w:rsidRPr="000812AF" w:rsidRDefault="000812AF" w:rsidP="000812AF">
            <w:pPr>
              <w:shd w:val="clear" w:color="auto" w:fill="FFFFFF" w:themeFill="background1"/>
              <w:jc w:val="both"/>
              <w:rPr>
                <w:rFonts w:ascii="ITC Avant Garde" w:hAnsi="ITC Avant Garde"/>
                <w:sz w:val="18"/>
                <w:szCs w:val="18"/>
              </w:rPr>
            </w:pPr>
          </w:p>
          <w:p w:rsidR="000812AF" w:rsidRPr="000812AF" w:rsidRDefault="004D75C7" w:rsidP="000812AF">
            <w:pPr>
              <w:shd w:val="clear" w:color="auto" w:fill="FFFFFF" w:themeFill="background1"/>
              <w:jc w:val="both"/>
              <w:rPr>
                <w:rFonts w:ascii="ITC Avant Garde" w:hAnsi="ITC Avant Garde"/>
                <w:sz w:val="18"/>
                <w:szCs w:val="18"/>
              </w:rPr>
            </w:pPr>
            <w:r>
              <w:rPr>
                <w:rFonts w:ascii="ITC Avant Garde" w:hAnsi="ITC Avant Garde"/>
                <w:sz w:val="18"/>
                <w:szCs w:val="18"/>
              </w:rPr>
              <w:t>E</w:t>
            </w:r>
            <w:r w:rsidR="000812AF" w:rsidRPr="000812AF">
              <w:rPr>
                <w:rFonts w:ascii="ITC Avant Garde" w:hAnsi="ITC Avant Garde"/>
                <w:sz w:val="18"/>
                <w:szCs w:val="18"/>
              </w:rPr>
              <w:t xml:space="preserve">l artículo 129 de la LFTR regula el procedimiento que </w:t>
            </w:r>
            <w:r w:rsidR="00C96DB5">
              <w:rPr>
                <w:rFonts w:ascii="ITC Avant Garde" w:hAnsi="ITC Avant Garde"/>
                <w:sz w:val="18"/>
                <w:szCs w:val="18"/>
              </w:rPr>
              <w:t xml:space="preserve">debe </w:t>
            </w:r>
            <w:r w:rsidR="000812AF" w:rsidRPr="000812AF">
              <w:rPr>
                <w:rFonts w:ascii="ITC Avant Garde" w:hAnsi="ITC Avant Garde"/>
                <w:sz w:val="18"/>
                <w:szCs w:val="18"/>
              </w:rPr>
              <w:t>observar el Instituto a efecto de determinar las condiciones, términos y tarifas no convenidas</w:t>
            </w:r>
            <w:r w:rsidR="00C96DB5">
              <w:rPr>
                <w:rFonts w:ascii="ITC Avant Garde" w:hAnsi="ITC Avant Garde"/>
                <w:sz w:val="18"/>
                <w:szCs w:val="18"/>
              </w:rPr>
              <w:t xml:space="preserve"> entre los concesionarios de red pública de telecomunicaciones</w:t>
            </w:r>
            <w:r w:rsidR="000812AF" w:rsidRPr="000812AF">
              <w:rPr>
                <w:rFonts w:ascii="ITC Avant Garde" w:hAnsi="ITC Avant Garde"/>
                <w:sz w:val="18"/>
                <w:szCs w:val="18"/>
              </w:rPr>
              <w:t xml:space="preserve">.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w:t>
            </w:r>
            <w:r w:rsidR="000812AF" w:rsidRPr="000812AF">
              <w:rPr>
                <w:rFonts w:ascii="ITC Avant Garde" w:hAnsi="ITC Avant Garde"/>
                <w:sz w:val="18"/>
                <w:szCs w:val="18"/>
              </w:rPr>
              <w:lastRenderedPageBreak/>
              <w:t>tienen la libertad de negociar los términos, condiciones y tarifas de interconexión a través del S</w:t>
            </w:r>
            <w:r w:rsidR="00C96DB5">
              <w:rPr>
                <w:rFonts w:ascii="ITC Avant Garde" w:hAnsi="ITC Avant Garde"/>
                <w:sz w:val="18"/>
                <w:szCs w:val="18"/>
              </w:rPr>
              <w:t xml:space="preserve">istema </w:t>
            </w:r>
            <w:r w:rsidR="000812AF" w:rsidRPr="000812AF">
              <w:rPr>
                <w:rFonts w:ascii="ITC Avant Garde" w:hAnsi="ITC Avant Garde"/>
                <w:sz w:val="18"/>
                <w:szCs w:val="18"/>
              </w:rPr>
              <w:t>E</w:t>
            </w:r>
            <w:r w:rsidR="00C96DB5">
              <w:rPr>
                <w:rFonts w:ascii="ITC Avant Garde" w:hAnsi="ITC Avant Garde"/>
                <w:sz w:val="18"/>
                <w:szCs w:val="18"/>
              </w:rPr>
              <w:t xml:space="preserve">lectrónico de </w:t>
            </w:r>
            <w:r w:rsidR="000812AF" w:rsidRPr="000812AF">
              <w:rPr>
                <w:rFonts w:ascii="ITC Avant Garde" w:hAnsi="ITC Avant Garde"/>
                <w:sz w:val="18"/>
                <w:szCs w:val="18"/>
              </w:rPr>
              <w:t>S</w:t>
            </w:r>
            <w:r w:rsidR="00C96DB5">
              <w:rPr>
                <w:rFonts w:ascii="ITC Avant Garde" w:hAnsi="ITC Avant Garde"/>
                <w:sz w:val="18"/>
                <w:szCs w:val="18"/>
              </w:rPr>
              <w:t xml:space="preserve">olicitudes de </w:t>
            </w:r>
            <w:r w:rsidR="000812AF" w:rsidRPr="000812AF">
              <w:rPr>
                <w:rFonts w:ascii="ITC Avant Garde" w:hAnsi="ITC Avant Garde"/>
                <w:sz w:val="18"/>
                <w:szCs w:val="18"/>
              </w:rPr>
              <w:t>I</w:t>
            </w:r>
            <w:r w:rsidR="00C96DB5">
              <w:rPr>
                <w:rFonts w:ascii="ITC Avant Garde" w:hAnsi="ITC Avant Garde"/>
                <w:sz w:val="18"/>
                <w:szCs w:val="18"/>
              </w:rPr>
              <w:t>nterconexión (en lo sucesivo, “SESI”)</w:t>
            </w:r>
            <w:r w:rsidR="000812AF" w:rsidRPr="000812AF">
              <w:rPr>
                <w:rFonts w:ascii="ITC Avant Garde" w:hAnsi="ITC Avant Garde"/>
                <w:sz w:val="18"/>
                <w:szCs w:val="18"/>
              </w:rPr>
              <w:t>, mismos que deberán reflejarse en el convenio que al e</w:t>
            </w:r>
            <w:r>
              <w:rPr>
                <w:rFonts w:ascii="ITC Avant Garde" w:hAnsi="ITC Avant Garde"/>
                <w:sz w:val="18"/>
                <w:szCs w:val="18"/>
              </w:rPr>
              <w:t>fecto suscriban; sin embargo, de</w:t>
            </w:r>
            <w:r w:rsidR="000812AF" w:rsidRPr="000812AF">
              <w:rPr>
                <w:rFonts w:ascii="ITC Avant Garde" w:hAnsi="ITC Avant Garde"/>
                <w:sz w:val="18"/>
                <w:szCs w:val="18"/>
              </w:rPr>
              <w:t xml:space="preserve"> no convenir</w:t>
            </w:r>
            <w:r>
              <w:rPr>
                <w:rFonts w:ascii="ITC Avant Garde" w:hAnsi="ITC Avant Garde"/>
                <w:sz w:val="18"/>
                <w:szCs w:val="18"/>
              </w:rPr>
              <w:t xml:space="preserve"> dichos términos, condiciones y tarifas</w:t>
            </w:r>
            <w:r w:rsidR="000812AF" w:rsidRPr="000812AF">
              <w:rPr>
                <w:rFonts w:ascii="ITC Avant Garde" w:hAnsi="ITC Avant Garde"/>
                <w:sz w:val="18"/>
                <w:szCs w:val="18"/>
              </w:rPr>
              <w:t xml:space="preserve"> podrán solicitar la intervención del Instituto para que éste determine los </w:t>
            </w:r>
            <w:r>
              <w:rPr>
                <w:rFonts w:ascii="ITC Avant Garde" w:hAnsi="ITC Avant Garde"/>
                <w:sz w:val="18"/>
                <w:szCs w:val="18"/>
              </w:rPr>
              <w:t>determine</w:t>
            </w:r>
            <w:r w:rsidR="000812AF" w:rsidRPr="000812AF">
              <w:rPr>
                <w:rFonts w:ascii="ITC Avant Garde" w:hAnsi="ITC Avant Garde"/>
                <w:sz w:val="18"/>
                <w:szCs w:val="18"/>
              </w:rPr>
              <w:t>.</w:t>
            </w:r>
          </w:p>
          <w:p w:rsidR="000812AF" w:rsidRPr="000812AF" w:rsidRDefault="000812AF" w:rsidP="000812AF">
            <w:pPr>
              <w:shd w:val="clear" w:color="auto" w:fill="FFFFFF" w:themeFill="background1"/>
              <w:jc w:val="both"/>
              <w:rPr>
                <w:rFonts w:ascii="ITC Avant Garde" w:hAnsi="ITC Avant Garde"/>
                <w:sz w:val="18"/>
                <w:szCs w:val="18"/>
              </w:rPr>
            </w:pPr>
          </w:p>
          <w:p w:rsidR="000812AF" w:rsidRDefault="000812AF" w:rsidP="000812AF">
            <w:pPr>
              <w:shd w:val="clear" w:color="auto" w:fill="FFFFFF" w:themeFill="background1"/>
              <w:jc w:val="both"/>
              <w:rPr>
                <w:rFonts w:ascii="ITC Avant Garde" w:hAnsi="ITC Avant Garde"/>
                <w:sz w:val="18"/>
                <w:szCs w:val="18"/>
              </w:rPr>
            </w:pPr>
            <w:r w:rsidRPr="000812AF">
              <w:rPr>
                <w:rFonts w:ascii="ITC Avant Garde" w:hAnsi="ITC Avant Garde"/>
                <w:sz w:val="18"/>
                <w:szCs w:val="18"/>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rsidR="00040C98" w:rsidRDefault="00040C98" w:rsidP="000812AF">
            <w:pPr>
              <w:shd w:val="clear" w:color="auto" w:fill="FFFFFF" w:themeFill="background1"/>
              <w:jc w:val="both"/>
              <w:rPr>
                <w:rFonts w:ascii="ITC Avant Garde" w:hAnsi="ITC Avant Garde"/>
                <w:sz w:val="18"/>
                <w:szCs w:val="18"/>
              </w:rPr>
            </w:pPr>
          </w:p>
          <w:p w:rsidR="00040C98" w:rsidRDefault="00040C98" w:rsidP="00040C98">
            <w:pPr>
              <w:shd w:val="clear" w:color="auto" w:fill="FFFFFF" w:themeFill="background1"/>
              <w:jc w:val="both"/>
              <w:rPr>
                <w:rFonts w:ascii="ITC Avant Garde" w:hAnsi="ITC Avant Garde"/>
                <w:sz w:val="18"/>
                <w:szCs w:val="18"/>
              </w:rPr>
            </w:pPr>
            <w:r>
              <w:rPr>
                <w:rFonts w:ascii="ITC Avant Garde" w:hAnsi="ITC Avant Garde"/>
                <w:sz w:val="18"/>
                <w:szCs w:val="18"/>
              </w:rPr>
              <w:t xml:space="preserve">Es importante señalar, que la interconexión es </w:t>
            </w:r>
            <w:r w:rsidRPr="00040C98">
              <w:rPr>
                <w:rFonts w:ascii="ITC Avant Garde" w:hAnsi="ITC Avant Garde"/>
                <w:sz w:val="18"/>
                <w:szCs w:val="18"/>
              </w:rPr>
              <w:t xml:space="preserve">un elemento esencial para que los usuarios de una red se puedan comunicar con los usuarios de otra red, es por ello que sus tarifas, términos y condiciones son de orden público e interés social por lo que debe proporcionarse bajo condiciones no discriminatorias, condiciones técnicas adecuadas y con plazos definidos privilegiando las comunicaciones y los derechos de los usuarios. </w:t>
            </w:r>
          </w:p>
          <w:p w:rsidR="00040C98" w:rsidRPr="00040C98" w:rsidRDefault="00040C98" w:rsidP="00040C98">
            <w:pPr>
              <w:shd w:val="clear" w:color="auto" w:fill="FFFFFF" w:themeFill="background1"/>
              <w:jc w:val="both"/>
              <w:rPr>
                <w:rFonts w:ascii="ITC Avant Garde" w:hAnsi="ITC Avant Garde"/>
                <w:sz w:val="18"/>
                <w:szCs w:val="18"/>
              </w:rPr>
            </w:pPr>
          </w:p>
          <w:p w:rsid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 xml:space="preserve">La interconexión ha sido una de las principales barreras a la entrada en el sector que han impuesto los operadores más grandes, ya sea encareciendo el servicio, retardando su provisión, limitando la capacidad para cursar tráfico de sus competidores o bien, proveyendo una mala o deficiente calidad. Su precio es uno de los principales elementos de costos en los que incurren los operadores, particularmente, los más pequeños para la prestación de sus servicios finales al público, por lo tanto, ha existido un incentivo por parte del operador más grande para establecer una tarifa alta por el servicio de interconexión y con ello, limitar la entrada de nuevos competidores y la capacidad de elección de los usuarios, circunstancia que provoca que los operadores más grandes se concentren en cuidar y fomentar sus ingresos por la prestación del servicio de interconexión, en lugar de canalizar sus esfuerzos en la competencia por los usuarios finales. </w:t>
            </w:r>
          </w:p>
          <w:p w:rsidR="00040C98" w:rsidRPr="00040C98" w:rsidRDefault="00040C98" w:rsidP="00040C98">
            <w:pPr>
              <w:shd w:val="clear" w:color="auto" w:fill="FFFFFF" w:themeFill="background1"/>
              <w:jc w:val="both"/>
              <w:rPr>
                <w:rFonts w:ascii="ITC Avant Garde" w:hAnsi="ITC Avant Garde"/>
                <w:sz w:val="18"/>
                <w:szCs w:val="18"/>
              </w:rPr>
            </w:pPr>
          </w:p>
          <w:p w:rsid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 xml:space="preserve">Los precios de interconexión elevados, implican mayores precios para los usuarios y un obstáculo para que éstos puedan disminuirse como resultado de la dinámica de competencia, así como también implican barreras de entrada a sus competidores, por lo que, ahí radica la importancia </w:t>
            </w:r>
            <w:r w:rsidR="004D75C7">
              <w:rPr>
                <w:rFonts w:ascii="ITC Avant Garde" w:hAnsi="ITC Avant Garde"/>
                <w:sz w:val="18"/>
                <w:szCs w:val="18"/>
              </w:rPr>
              <w:t>de</w:t>
            </w:r>
            <w:r w:rsidRPr="00040C98">
              <w:rPr>
                <w:rFonts w:ascii="ITC Avant Garde" w:hAnsi="ITC Avant Garde"/>
                <w:sz w:val="18"/>
                <w:szCs w:val="18"/>
              </w:rPr>
              <w:t xml:space="preserve"> definir una política regulatoria efectiva en la materia.</w:t>
            </w:r>
          </w:p>
          <w:p w:rsidR="00040C98" w:rsidRPr="00040C98" w:rsidRDefault="00040C98" w:rsidP="00040C98">
            <w:pPr>
              <w:shd w:val="clear" w:color="auto" w:fill="FFFFFF" w:themeFill="background1"/>
              <w:jc w:val="both"/>
              <w:rPr>
                <w:rFonts w:ascii="ITC Avant Garde" w:hAnsi="ITC Avant Garde"/>
                <w:sz w:val="18"/>
                <w:szCs w:val="18"/>
              </w:rPr>
            </w:pPr>
          </w:p>
          <w:p w:rsid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 xml:space="preserve">Es así que, la interconexión de las redes y el establecimiento de condiciones no discriminatorias, constituye un elemento clave en el desarrollo de la competencia efectiva del sector. </w:t>
            </w:r>
          </w:p>
          <w:p w:rsidR="00040C98" w:rsidRPr="00040C98" w:rsidRDefault="00040C98" w:rsidP="00040C98">
            <w:pPr>
              <w:shd w:val="clear" w:color="auto" w:fill="FFFFFF" w:themeFill="background1"/>
              <w:jc w:val="both"/>
              <w:rPr>
                <w:rFonts w:ascii="ITC Avant Garde" w:hAnsi="ITC Avant Garde"/>
                <w:sz w:val="18"/>
                <w:szCs w:val="18"/>
              </w:rPr>
            </w:pPr>
          </w:p>
          <w:p w:rsid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 xml:space="preserve">La legislación en la materia, establece como atribución exclusiva de este Instituto, resolver y establecer los términos, condiciones y tarifas de interconexión que no hayan podido convenir los concesionarios respecto de sus redes públicas de telecomunicaciones conforme a lo previsto en la </w:t>
            </w:r>
            <w:r w:rsidR="004D75C7">
              <w:rPr>
                <w:rFonts w:ascii="ITC Avant Garde" w:hAnsi="ITC Avant Garde"/>
                <w:sz w:val="18"/>
                <w:szCs w:val="18"/>
              </w:rPr>
              <w:t>LFTR</w:t>
            </w:r>
            <w:r w:rsidRPr="00040C98">
              <w:rPr>
                <w:rFonts w:ascii="ITC Avant Garde" w:hAnsi="ITC Avant Garde"/>
                <w:sz w:val="18"/>
                <w:szCs w:val="18"/>
              </w:rPr>
              <w:t xml:space="preserve">. </w:t>
            </w:r>
          </w:p>
          <w:p w:rsidR="00040C98" w:rsidRPr="00040C98" w:rsidRDefault="00040C98" w:rsidP="00040C98">
            <w:pPr>
              <w:shd w:val="clear" w:color="auto" w:fill="FFFFFF" w:themeFill="background1"/>
              <w:jc w:val="both"/>
              <w:rPr>
                <w:rFonts w:ascii="ITC Avant Garde" w:hAnsi="ITC Avant Garde"/>
                <w:sz w:val="18"/>
                <w:szCs w:val="18"/>
              </w:rPr>
            </w:pPr>
          </w:p>
          <w:p w:rsid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Asimismo, con el objeto de otorgar certeza jurídica a los concesionarios que deseen interconectar sus redes, la LFTR establece un procedimiento que regula con claridad los plazos y supuestos en los que se deben tramitar los desacuerdos entre concesionarios que no lleguen a convenir los términos, condiciones y tarifas en materia de interconexión.</w:t>
            </w:r>
          </w:p>
          <w:p w:rsidR="00040C98" w:rsidRPr="00040C98" w:rsidRDefault="00040C98" w:rsidP="00040C98">
            <w:pPr>
              <w:shd w:val="clear" w:color="auto" w:fill="FFFFFF" w:themeFill="background1"/>
              <w:jc w:val="both"/>
              <w:rPr>
                <w:rFonts w:ascii="ITC Avant Garde" w:hAnsi="ITC Avant Garde"/>
                <w:sz w:val="18"/>
                <w:szCs w:val="18"/>
              </w:rPr>
            </w:pPr>
          </w:p>
          <w:p w:rsidR="00040C98" w:rsidRP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 xml:space="preserve">Como se ha señalado, la interconexión es uno de los principales elementos que permiten que las telecomunicaciones puedan ser eficientes, interoperables y otorguen mayores beneficios a los usuarios para que estén mejor comunicados, por lo que, se estableció, para aquellos casos en los que los concesionarios no logren alcanzar acuerdos, ya sea parcial o totalmente, la facultad para que el Instituto pueda intervenir y un procedimiento específico para resolverlos. </w:t>
            </w:r>
          </w:p>
          <w:p w:rsidR="00040C98" w:rsidRPr="004D75C7" w:rsidRDefault="004D75C7" w:rsidP="00040C98">
            <w:pPr>
              <w:shd w:val="clear" w:color="auto" w:fill="FFFFFF" w:themeFill="background1"/>
              <w:jc w:val="both"/>
              <w:rPr>
                <w:rFonts w:ascii="ITC Avant Garde" w:hAnsi="ITC Avant Garde"/>
                <w:sz w:val="18"/>
                <w:szCs w:val="18"/>
              </w:rPr>
            </w:pPr>
            <w:r w:rsidRPr="004D75C7">
              <w:rPr>
                <w:rFonts w:ascii="ITC Avant Garde" w:hAnsi="ITC Avant Garde"/>
                <w:sz w:val="18"/>
                <w:szCs w:val="18"/>
              </w:rPr>
              <w:lastRenderedPageBreak/>
              <w:t>La idea principal</w:t>
            </w:r>
            <w:r w:rsidR="00040C98" w:rsidRPr="004D75C7">
              <w:rPr>
                <w:rFonts w:ascii="ITC Avant Garde" w:hAnsi="ITC Avant Garde"/>
                <w:sz w:val="18"/>
                <w:szCs w:val="18"/>
              </w:rPr>
              <w:t xml:space="preserve"> es que los concesionarios logren alcanzar acuerdos de interconexión, por ello, la LFTR establece un periodo de negociación en el cual, los concesionarios interesados en interconectarse, </w:t>
            </w:r>
            <w:r w:rsidRPr="004D75C7">
              <w:rPr>
                <w:rFonts w:ascii="ITC Avant Garde" w:hAnsi="ITC Avant Garde"/>
                <w:sz w:val="18"/>
                <w:szCs w:val="18"/>
              </w:rPr>
              <w:t>pueden definir</w:t>
            </w:r>
            <w:r w:rsidR="00040C98" w:rsidRPr="004D75C7">
              <w:rPr>
                <w:rFonts w:ascii="ITC Avant Garde" w:hAnsi="ITC Avant Garde"/>
                <w:sz w:val="18"/>
                <w:szCs w:val="18"/>
              </w:rPr>
              <w:t xml:space="preserve"> los aspectos para la prestación de los servicios, privilegiando con ello la voluntad de las partes en las tarifas, términos y condiciones que acuerden, durante dicho periodo de negociación, este Instituto toma conocimiento del inicio de negociaciones, computa el plazo y asume una posición de vigilancia.</w:t>
            </w:r>
          </w:p>
          <w:p w:rsidR="000812AF" w:rsidRDefault="000812AF" w:rsidP="000812AF">
            <w:pPr>
              <w:shd w:val="clear" w:color="auto" w:fill="FFFFFF" w:themeFill="background1"/>
              <w:jc w:val="both"/>
              <w:rPr>
                <w:rFonts w:ascii="ITC Avant Garde" w:hAnsi="ITC Avant Garde"/>
                <w:sz w:val="18"/>
                <w:szCs w:val="18"/>
              </w:rPr>
            </w:pPr>
          </w:p>
          <w:p w:rsidR="004D75C7" w:rsidRPr="004D75C7" w:rsidRDefault="004D75C7" w:rsidP="004D75C7">
            <w:pPr>
              <w:shd w:val="clear" w:color="auto" w:fill="FFFFFF" w:themeFill="background1"/>
              <w:jc w:val="both"/>
              <w:rPr>
                <w:rFonts w:ascii="ITC Avant Garde" w:hAnsi="ITC Avant Garde"/>
                <w:sz w:val="18"/>
                <w:szCs w:val="18"/>
              </w:rPr>
            </w:pPr>
            <w:r w:rsidRPr="004D75C7">
              <w:rPr>
                <w:rFonts w:ascii="ITC Avant Garde" w:hAnsi="ITC Avant Garde"/>
                <w:sz w:val="18"/>
                <w:szCs w:val="18"/>
              </w:rPr>
              <w:t>No obstante, a falta de acuerdo entre las partes el Instituto debe resolver sobre las tarifas, términos y condiciones que los concesionarios no lograron convenir, las resoluciones que el Instituto emite para este efecto no atienden los intereses de los concesionarios involucrados, sino que se sujetan al marco legal conforme al cual la prestación de los servicios debe realizarse de forma eficiente, sin necesidad de incurrir en gastos o inversiones injustificadas, salvaguardando el interés de los usuarios, el interés de las redes de telecomunicaciones de acceder a la interconex</w:t>
            </w:r>
            <w:r w:rsidR="000741FE">
              <w:rPr>
                <w:rFonts w:ascii="ITC Avant Garde" w:hAnsi="ITC Avant Garde"/>
                <w:sz w:val="18"/>
                <w:szCs w:val="18"/>
              </w:rPr>
              <w:t>ión en igualdad de condiciones,</w:t>
            </w:r>
            <w:r w:rsidRPr="004D75C7">
              <w:rPr>
                <w:rFonts w:ascii="ITC Avant Garde" w:hAnsi="ITC Avant Garde"/>
                <w:sz w:val="18"/>
                <w:szCs w:val="18"/>
              </w:rPr>
              <w:t xml:space="preserve"> de forma no discriminatoria, y salvaguardando el interés público de la misma privilegiando además, el interés de los usuarios.</w:t>
            </w:r>
          </w:p>
          <w:p w:rsidR="004D75C7" w:rsidRPr="004D75C7" w:rsidRDefault="004D75C7" w:rsidP="004D75C7">
            <w:pPr>
              <w:shd w:val="clear" w:color="auto" w:fill="FFFFFF" w:themeFill="background1"/>
              <w:jc w:val="both"/>
              <w:rPr>
                <w:rFonts w:ascii="ITC Avant Garde" w:hAnsi="ITC Avant Garde"/>
                <w:sz w:val="18"/>
                <w:szCs w:val="18"/>
              </w:rPr>
            </w:pPr>
          </w:p>
          <w:p w:rsidR="004D75C7" w:rsidRPr="004D75C7" w:rsidRDefault="004D75C7" w:rsidP="004D75C7">
            <w:pPr>
              <w:shd w:val="clear" w:color="auto" w:fill="FFFFFF" w:themeFill="background1"/>
              <w:jc w:val="both"/>
              <w:rPr>
                <w:rFonts w:ascii="ITC Avant Garde" w:hAnsi="ITC Avant Garde"/>
                <w:sz w:val="18"/>
                <w:szCs w:val="18"/>
              </w:rPr>
            </w:pPr>
            <w:r w:rsidRPr="004D75C7">
              <w:rPr>
                <w:rFonts w:ascii="ITC Avant Garde" w:hAnsi="ITC Avant Garde"/>
                <w:sz w:val="18"/>
                <w:szCs w:val="18"/>
              </w:rPr>
              <w:t xml:space="preserve">Es así que, la resolución de desacuerdos en materia de interconexión constituye una herramienta bajo la cual se eliminan las barreras a la entrada impuestas por los concesionarios más grandes, de tal forma que los operadores se encuentran en igualdad de condiciones para acceder a la interconexión y se asegura que la misma se realice de forma eficiente en plazos ciertos, privilegiando con ello el acceso de los usuarios a los servicios. </w:t>
            </w:r>
          </w:p>
          <w:p w:rsidR="004D75C7" w:rsidRPr="004D75C7" w:rsidRDefault="004D75C7" w:rsidP="004D75C7">
            <w:pPr>
              <w:shd w:val="clear" w:color="auto" w:fill="FFFFFF" w:themeFill="background1"/>
              <w:jc w:val="both"/>
              <w:rPr>
                <w:rFonts w:ascii="ITC Avant Garde" w:hAnsi="ITC Avant Garde"/>
                <w:sz w:val="18"/>
                <w:szCs w:val="18"/>
              </w:rPr>
            </w:pPr>
          </w:p>
          <w:p w:rsidR="004D75C7" w:rsidRPr="004D75C7" w:rsidRDefault="004D75C7" w:rsidP="004D75C7">
            <w:pPr>
              <w:shd w:val="clear" w:color="auto" w:fill="FFFFFF" w:themeFill="background1"/>
              <w:jc w:val="both"/>
              <w:rPr>
                <w:rFonts w:ascii="ITC Avant Garde" w:hAnsi="ITC Avant Garde"/>
                <w:sz w:val="18"/>
                <w:szCs w:val="18"/>
              </w:rPr>
            </w:pPr>
            <w:r w:rsidRPr="004D75C7">
              <w:rPr>
                <w:rFonts w:ascii="ITC Avant Garde" w:hAnsi="ITC Avant Garde"/>
                <w:sz w:val="18"/>
                <w:szCs w:val="18"/>
              </w:rPr>
              <w:t>Por lo anterior, la resolución de desacuerdos de interconexión coadyuva a un mercado en competencia al establecer las condiciones de interconexión que evitan asimetrías en la prestación de los servicios, eliminan barreras de acceso a las redes y se garantiza el desarrollo eficiente del mercado, abarcando todas las cuestiones relacionadas a la interconexión, entre ellas y de las más importantes son las tarifas de interconexión, cuyo monto se traduce en beneficio o perjuicio para los usuarios pues los servicios de telecomunicaciones, son considerados como básicos para el desarrollo del país y, además, coadyuvan a mejorar las condiciones de vida.</w:t>
            </w:r>
          </w:p>
          <w:p w:rsidR="004D75C7" w:rsidRPr="004D75C7" w:rsidRDefault="004D75C7" w:rsidP="004D75C7">
            <w:pPr>
              <w:shd w:val="clear" w:color="auto" w:fill="FFFFFF" w:themeFill="background1"/>
              <w:jc w:val="both"/>
              <w:rPr>
                <w:rFonts w:ascii="ITC Avant Garde" w:hAnsi="ITC Avant Garde"/>
                <w:sz w:val="18"/>
                <w:szCs w:val="18"/>
              </w:rPr>
            </w:pPr>
          </w:p>
          <w:p w:rsidR="004D75C7" w:rsidRDefault="004D75C7" w:rsidP="004D75C7">
            <w:pPr>
              <w:shd w:val="clear" w:color="auto" w:fill="FFFFFF" w:themeFill="background1"/>
              <w:jc w:val="both"/>
              <w:rPr>
                <w:rFonts w:ascii="ITC Avant Garde" w:hAnsi="ITC Avant Garde"/>
                <w:sz w:val="18"/>
                <w:szCs w:val="18"/>
              </w:rPr>
            </w:pPr>
            <w:r w:rsidRPr="004D75C7">
              <w:rPr>
                <w:rFonts w:ascii="ITC Avant Garde" w:hAnsi="ITC Avant Garde"/>
                <w:sz w:val="18"/>
                <w:szCs w:val="18"/>
              </w:rPr>
              <w:t>Lo anterior permite a los concesionarios ofrecer los servicios a los usuarios finales a un precio adecuado, beneficiando a los usuarios al obtener un precio competitivo por el servicio contratado.</w:t>
            </w:r>
          </w:p>
          <w:p w:rsidR="004D75C7" w:rsidRPr="000812AF" w:rsidRDefault="004D75C7" w:rsidP="000812AF">
            <w:pPr>
              <w:shd w:val="clear" w:color="auto" w:fill="FFFFFF" w:themeFill="background1"/>
              <w:jc w:val="both"/>
              <w:rPr>
                <w:rFonts w:ascii="ITC Avant Garde" w:hAnsi="ITC Avant Garde"/>
                <w:sz w:val="18"/>
                <w:szCs w:val="18"/>
              </w:rPr>
            </w:pPr>
          </w:p>
          <w:p w:rsidR="004376AC" w:rsidRDefault="00F84905" w:rsidP="008A48B0">
            <w:pPr>
              <w:shd w:val="clear" w:color="auto" w:fill="FFFFFF" w:themeFill="background1"/>
              <w:jc w:val="both"/>
              <w:rPr>
                <w:rFonts w:ascii="ITC Avant Garde" w:hAnsi="ITC Avant Garde"/>
                <w:sz w:val="18"/>
                <w:szCs w:val="18"/>
              </w:rPr>
            </w:pPr>
            <w:r>
              <w:rPr>
                <w:rFonts w:ascii="ITC Avant Garde" w:hAnsi="ITC Avant Garde"/>
                <w:sz w:val="18"/>
                <w:szCs w:val="18"/>
              </w:rPr>
              <w:t>En es</w:t>
            </w:r>
            <w:r w:rsidR="009C60F8">
              <w:rPr>
                <w:rFonts w:ascii="ITC Avant Garde" w:hAnsi="ITC Avant Garde"/>
                <w:sz w:val="18"/>
                <w:szCs w:val="18"/>
              </w:rPr>
              <w:t xml:space="preserve">e orden de ideas </w:t>
            </w:r>
            <w:r>
              <w:rPr>
                <w:rFonts w:ascii="ITC Avant Garde" w:hAnsi="ITC Avant Garde"/>
                <w:sz w:val="18"/>
                <w:szCs w:val="18"/>
              </w:rPr>
              <w:t xml:space="preserve">en el año 2019, se </w:t>
            </w:r>
            <w:r w:rsidR="00851884">
              <w:rPr>
                <w:rFonts w:ascii="ITC Avant Garde" w:hAnsi="ITC Avant Garde"/>
                <w:sz w:val="18"/>
                <w:szCs w:val="18"/>
              </w:rPr>
              <w:t>realizaron</w:t>
            </w:r>
            <w:r>
              <w:rPr>
                <w:rFonts w:ascii="ITC Avant Garde" w:hAnsi="ITC Avant Garde"/>
                <w:sz w:val="18"/>
                <w:szCs w:val="18"/>
              </w:rPr>
              <w:t xml:space="preserve"> </w:t>
            </w:r>
            <w:r w:rsidR="00547497">
              <w:rPr>
                <w:rFonts w:ascii="ITC Avant Garde" w:hAnsi="ITC Avant Garde"/>
                <w:sz w:val="18"/>
                <w:szCs w:val="18"/>
              </w:rPr>
              <w:t>461</w:t>
            </w:r>
            <w:r>
              <w:rPr>
                <w:rFonts w:ascii="ITC Avant Garde" w:hAnsi="ITC Avant Garde"/>
                <w:sz w:val="18"/>
                <w:szCs w:val="18"/>
              </w:rPr>
              <w:t xml:space="preserve"> inicios de nego</w:t>
            </w:r>
            <w:r w:rsidR="00E718AA">
              <w:rPr>
                <w:rFonts w:ascii="ITC Avant Garde" w:hAnsi="ITC Avant Garde"/>
                <w:sz w:val="18"/>
                <w:szCs w:val="18"/>
              </w:rPr>
              <w:t>ciaciones en el SESI, de los cua</w:t>
            </w:r>
            <w:r>
              <w:rPr>
                <w:rFonts w:ascii="ITC Avant Garde" w:hAnsi="ITC Avant Garde"/>
                <w:sz w:val="18"/>
                <w:szCs w:val="18"/>
              </w:rPr>
              <w:t xml:space="preserve">les, se presentaron </w:t>
            </w:r>
            <w:r w:rsidR="00E718AA">
              <w:rPr>
                <w:rFonts w:ascii="ITC Avant Garde" w:hAnsi="ITC Avant Garde"/>
                <w:sz w:val="18"/>
                <w:szCs w:val="18"/>
              </w:rPr>
              <w:t>322</w:t>
            </w:r>
            <w:r w:rsidR="004376AC">
              <w:rPr>
                <w:rFonts w:ascii="ITC Avant Garde" w:hAnsi="ITC Avant Garde"/>
                <w:sz w:val="18"/>
                <w:szCs w:val="18"/>
              </w:rPr>
              <w:t xml:space="preserve"> desacuerdos de interconexión para </w:t>
            </w:r>
            <w:r>
              <w:rPr>
                <w:rFonts w:ascii="ITC Avant Garde" w:hAnsi="ITC Avant Garde"/>
                <w:sz w:val="18"/>
                <w:szCs w:val="18"/>
              </w:rPr>
              <w:t xml:space="preserve">resolución </w:t>
            </w:r>
            <w:r w:rsidR="004376AC">
              <w:rPr>
                <w:rFonts w:ascii="ITC Avant Garde" w:hAnsi="ITC Avant Garde"/>
                <w:sz w:val="18"/>
                <w:szCs w:val="18"/>
              </w:rPr>
              <w:t>y fueron emitidas una totalidad de 236 resoluciones en la materia.</w:t>
            </w:r>
          </w:p>
          <w:p w:rsidR="004376AC" w:rsidRDefault="004376AC" w:rsidP="008A48B0">
            <w:pPr>
              <w:shd w:val="clear" w:color="auto" w:fill="FFFFFF" w:themeFill="background1"/>
              <w:jc w:val="both"/>
              <w:rPr>
                <w:rFonts w:ascii="ITC Avant Garde" w:hAnsi="ITC Avant Garde"/>
                <w:sz w:val="18"/>
                <w:szCs w:val="18"/>
              </w:rPr>
            </w:pPr>
          </w:p>
          <w:p w:rsidR="000812AF" w:rsidRDefault="004376AC"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Ahora bien, cada desacuerdo sustanciado </w:t>
            </w:r>
            <w:r w:rsidR="00F84905">
              <w:rPr>
                <w:rFonts w:ascii="ITC Avant Garde" w:hAnsi="ITC Avant Garde"/>
                <w:sz w:val="18"/>
                <w:szCs w:val="18"/>
              </w:rPr>
              <w:t>de conformidad con el procedimiento establecido en el artículo 129 de la LFTR y la nor</w:t>
            </w:r>
            <w:r>
              <w:rPr>
                <w:rFonts w:ascii="ITC Avant Garde" w:hAnsi="ITC Avant Garde"/>
                <w:sz w:val="18"/>
                <w:szCs w:val="18"/>
              </w:rPr>
              <w:t>matividad supletoria aplicable, implica, por lo menos, las siguientes actuaciones procesales:</w:t>
            </w:r>
          </w:p>
          <w:p w:rsidR="004376AC" w:rsidRPr="004376AC" w:rsidRDefault="004376AC" w:rsidP="004376AC">
            <w:pPr>
              <w:shd w:val="clear" w:color="auto" w:fill="FFFFFF" w:themeFill="background1"/>
              <w:jc w:val="both"/>
              <w:rPr>
                <w:rFonts w:ascii="ITC Avant Garde" w:hAnsi="ITC Avant Garde"/>
                <w:sz w:val="18"/>
                <w:szCs w:val="18"/>
              </w:rPr>
            </w:pPr>
          </w:p>
          <w:p w:rsidR="004376AC" w:rsidRPr="004376AC" w:rsidRDefault="004376AC" w:rsidP="009E694F">
            <w:pPr>
              <w:shd w:val="clear" w:color="auto" w:fill="FFFFFF" w:themeFill="background1"/>
              <w:ind w:left="596" w:hanging="142"/>
              <w:jc w:val="both"/>
              <w:rPr>
                <w:rFonts w:ascii="ITC Avant Garde" w:hAnsi="ITC Avant Garde"/>
                <w:sz w:val="18"/>
                <w:szCs w:val="18"/>
              </w:rPr>
            </w:pPr>
            <w:r w:rsidRPr="004376AC">
              <w:rPr>
                <w:rFonts w:ascii="ITC Avant Garde" w:hAnsi="ITC Avant Garde"/>
                <w:sz w:val="18"/>
                <w:szCs w:val="18"/>
              </w:rPr>
              <w:t>•</w:t>
            </w:r>
            <w:r w:rsidRPr="004376AC">
              <w:rPr>
                <w:rFonts w:ascii="ITC Avant Garde" w:hAnsi="ITC Avant Garde"/>
                <w:sz w:val="18"/>
                <w:szCs w:val="18"/>
              </w:rPr>
              <w:tab/>
              <w:t>Admisión y procedencia de la solicitud de resolución del desacuerdo.</w:t>
            </w:r>
          </w:p>
          <w:p w:rsidR="004376AC" w:rsidRPr="004376AC" w:rsidRDefault="004376AC" w:rsidP="009E694F">
            <w:pPr>
              <w:shd w:val="clear" w:color="auto" w:fill="FFFFFF" w:themeFill="background1"/>
              <w:ind w:left="596" w:hanging="142"/>
              <w:jc w:val="both"/>
              <w:rPr>
                <w:rFonts w:ascii="ITC Avant Garde" w:hAnsi="ITC Avant Garde"/>
                <w:sz w:val="18"/>
                <w:szCs w:val="18"/>
              </w:rPr>
            </w:pPr>
            <w:r w:rsidRPr="004376AC">
              <w:rPr>
                <w:rFonts w:ascii="ITC Avant Garde" w:hAnsi="ITC Avant Garde"/>
                <w:sz w:val="18"/>
                <w:szCs w:val="18"/>
              </w:rPr>
              <w:t>•</w:t>
            </w:r>
            <w:r w:rsidRPr="004376AC">
              <w:rPr>
                <w:rFonts w:ascii="ITC Avant Garde" w:hAnsi="ITC Avant Garde"/>
                <w:sz w:val="18"/>
                <w:szCs w:val="18"/>
              </w:rPr>
              <w:tab/>
              <w:t>Admisión y desahogo de pruebas.</w:t>
            </w:r>
          </w:p>
          <w:p w:rsidR="004376AC" w:rsidRPr="004376AC" w:rsidRDefault="004376AC" w:rsidP="009E694F">
            <w:pPr>
              <w:shd w:val="clear" w:color="auto" w:fill="FFFFFF" w:themeFill="background1"/>
              <w:ind w:left="596" w:hanging="142"/>
              <w:jc w:val="both"/>
              <w:rPr>
                <w:rFonts w:ascii="ITC Avant Garde" w:hAnsi="ITC Avant Garde"/>
                <w:sz w:val="18"/>
                <w:szCs w:val="18"/>
              </w:rPr>
            </w:pPr>
            <w:r w:rsidRPr="004376AC">
              <w:rPr>
                <w:rFonts w:ascii="ITC Avant Garde" w:hAnsi="ITC Avant Garde"/>
                <w:sz w:val="18"/>
                <w:szCs w:val="18"/>
              </w:rPr>
              <w:t>•</w:t>
            </w:r>
            <w:r w:rsidRPr="004376AC">
              <w:rPr>
                <w:rFonts w:ascii="ITC Avant Garde" w:hAnsi="ITC Avant Garde"/>
                <w:sz w:val="18"/>
                <w:szCs w:val="18"/>
              </w:rPr>
              <w:tab/>
              <w:t>Cierre de la instrucción.</w:t>
            </w:r>
          </w:p>
          <w:p w:rsidR="004376AC" w:rsidRPr="004376AC" w:rsidRDefault="004376AC" w:rsidP="009E694F">
            <w:pPr>
              <w:shd w:val="clear" w:color="auto" w:fill="FFFFFF" w:themeFill="background1"/>
              <w:ind w:left="596" w:hanging="142"/>
              <w:jc w:val="both"/>
              <w:rPr>
                <w:rFonts w:ascii="ITC Avant Garde" w:hAnsi="ITC Avant Garde"/>
                <w:sz w:val="18"/>
                <w:szCs w:val="18"/>
              </w:rPr>
            </w:pPr>
            <w:r w:rsidRPr="004376AC">
              <w:rPr>
                <w:rFonts w:ascii="ITC Avant Garde" w:hAnsi="ITC Avant Garde"/>
                <w:sz w:val="18"/>
                <w:szCs w:val="18"/>
              </w:rPr>
              <w:t>•</w:t>
            </w:r>
            <w:r w:rsidRPr="004376AC">
              <w:rPr>
                <w:rFonts w:ascii="ITC Avant Garde" w:hAnsi="ITC Avant Garde"/>
                <w:sz w:val="18"/>
                <w:szCs w:val="18"/>
              </w:rPr>
              <w:tab/>
              <w:t>Solicitud de prórroga en cualquiera de las etapas procesales, con excepción de la etapa de emisión de la resolución.</w:t>
            </w:r>
          </w:p>
          <w:p w:rsidR="004376AC" w:rsidRPr="004376AC" w:rsidRDefault="004376AC" w:rsidP="009E694F">
            <w:pPr>
              <w:shd w:val="clear" w:color="auto" w:fill="FFFFFF" w:themeFill="background1"/>
              <w:ind w:left="596" w:hanging="142"/>
              <w:jc w:val="both"/>
              <w:rPr>
                <w:rFonts w:ascii="ITC Avant Garde" w:hAnsi="ITC Avant Garde"/>
                <w:sz w:val="18"/>
                <w:szCs w:val="18"/>
              </w:rPr>
            </w:pPr>
            <w:r w:rsidRPr="004376AC">
              <w:rPr>
                <w:rFonts w:ascii="ITC Avant Garde" w:hAnsi="ITC Avant Garde"/>
                <w:sz w:val="18"/>
                <w:szCs w:val="18"/>
              </w:rPr>
              <w:t>•</w:t>
            </w:r>
            <w:r w:rsidRPr="004376AC">
              <w:rPr>
                <w:rFonts w:ascii="ITC Avant Garde" w:hAnsi="ITC Avant Garde"/>
                <w:sz w:val="18"/>
                <w:szCs w:val="18"/>
              </w:rPr>
              <w:tab/>
              <w:t xml:space="preserve">Resolución del procedimiento. </w:t>
            </w:r>
          </w:p>
          <w:p w:rsidR="004376AC" w:rsidRPr="004376AC" w:rsidRDefault="004376AC" w:rsidP="004376AC">
            <w:pPr>
              <w:shd w:val="clear" w:color="auto" w:fill="FFFFFF" w:themeFill="background1"/>
              <w:jc w:val="both"/>
              <w:rPr>
                <w:rFonts w:ascii="ITC Avant Garde" w:hAnsi="ITC Avant Garde"/>
                <w:sz w:val="18"/>
                <w:szCs w:val="18"/>
              </w:rPr>
            </w:pPr>
          </w:p>
          <w:p w:rsidR="004376AC" w:rsidRDefault="00E718AA" w:rsidP="004376AC">
            <w:pPr>
              <w:shd w:val="clear" w:color="auto" w:fill="FFFFFF" w:themeFill="background1"/>
              <w:jc w:val="both"/>
              <w:rPr>
                <w:rFonts w:ascii="ITC Avant Garde" w:hAnsi="ITC Avant Garde"/>
                <w:sz w:val="18"/>
                <w:szCs w:val="18"/>
              </w:rPr>
            </w:pPr>
            <w:r>
              <w:rPr>
                <w:rFonts w:ascii="ITC Avant Garde" w:hAnsi="ITC Avant Garde"/>
                <w:sz w:val="18"/>
                <w:szCs w:val="18"/>
              </w:rPr>
              <w:t>P</w:t>
            </w:r>
            <w:r w:rsidR="004376AC" w:rsidRPr="004376AC">
              <w:rPr>
                <w:rFonts w:ascii="ITC Avant Garde" w:hAnsi="ITC Avant Garde"/>
                <w:sz w:val="18"/>
                <w:szCs w:val="18"/>
              </w:rPr>
              <w:t xml:space="preserve">ara cada una de </w:t>
            </w:r>
            <w:r w:rsidR="009E694F">
              <w:rPr>
                <w:rFonts w:ascii="ITC Avant Garde" w:hAnsi="ITC Avant Garde"/>
                <w:sz w:val="18"/>
                <w:szCs w:val="18"/>
              </w:rPr>
              <w:t xml:space="preserve">dichas </w:t>
            </w:r>
            <w:r w:rsidR="004376AC" w:rsidRPr="004376AC">
              <w:rPr>
                <w:rFonts w:ascii="ITC Avant Garde" w:hAnsi="ITC Avant Garde"/>
                <w:sz w:val="18"/>
                <w:szCs w:val="18"/>
              </w:rPr>
              <w:t>etapas, el Instituto debe notificar a las partes interesadas el acuerdo correspondiente.</w:t>
            </w:r>
          </w:p>
          <w:p w:rsidR="004376AC" w:rsidRDefault="004376AC" w:rsidP="008A48B0">
            <w:pPr>
              <w:shd w:val="clear" w:color="auto" w:fill="FFFFFF" w:themeFill="background1"/>
              <w:jc w:val="both"/>
              <w:rPr>
                <w:rFonts w:ascii="ITC Avant Garde" w:hAnsi="ITC Avant Garde"/>
                <w:sz w:val="18"/>
                <w:szCs w:val="18"/>
              </w:rPr>
            </w:pPr>
          </w:p>
          <w:p w:rsidR="00E8599D" w:rsidRDefault="00E8599D" w:rsidP="008A48B0">
            <w:pPr>
              <w:shd w:val="clear" w:color="auto" w:fill="FFFFFF" w:themeFill="background1"/>
              <w:jc w:val="both"/>
              <w:rPr>
                <w:rFonts w:ascii="ITC Avant Garde" w:hAnsi="ITC Avant Garde"/>
                <w:sz w:val="18"/>
                <w:szCs w:val="18"/>
              </w:rPr>
            </w:pPr>
            <w:r>
              <w:rPr>
                <w:rFonts w:ascii="ITC Avant Garde" w:hAnsi="ITC Avant Garde"/>
                <w:sz w:val="18"/>
                <w:szCs w:val="18"/>
              </w:rPr>
              <w:t>La siguiente tabla, muestra la totalidad de actuaciones realizadas por los concesionarios que formaron parte de los desacuerdos de interconexión, así como la totalidad de actos y diligencias realizadas por parte de este Instituto:</w:t>
            </w:r>
          </w:p>
          <w:p w:rsidR="004376AC" w:rsidRDefault="004376AC" w:rsidP="008A48B0">
            <w:pPr>
              <w:shd w:val="clear" w:color="auto" w:fill="FFFFFF" w:themeFill="background1"/>
              <w:jc w:val="both"/>
              <w:rPr>
                <w:rFonts w:ascii="ITC Avant Garde" w:hAnsi="ITC Avant Garde"/>
                <w:sz w:val="18"/>
                <w:szCs w:val="18"/>
              </w:rPr>
            </w:pPr>
          </w:p>
          <w:tbl>
            <w:tblPr>
              <w:tblStyle w:val="Tablaconcuadrcula2"/>
              <w:tblW w:w="0" w:type="auto"/>
              <w:jc w:val="center"/>
              <w:tblLook w:val="04A0" w:firstRow="1" w:lastRow="0" w:firstColumn="1" w:lastColumn="0" w:noHBand="0" w:noVBand="1"/>
            </w:tblPr>
            <w:tblGrid>
              <w:gridCol w:w="2001"/>
              <w:gridCol w:w="1707"/>
              <w:gridCol w:w="1842"/>
              <w:gridCol w:w="1685"/>
              <w:gridCol w:w="1367"/>
            </w:tblGrid>
            <w:tr w:rsidR="009E694F" w:rsidRPr="00E718AA" w:rsidTr="00E718AA">
              <w:trPr>
                <w:jc w:val="center"/>
              </w:trPr>
              <w:tc>
                <w:tcPr>
                  <w:tcW w:w="2001" w:type="dxa"/>
                  <w:shd w:val="clear" w:color="auto" w:fill="568636"/>
                  <w:vAlign w:val="center"/>
                </w:tcPr>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Etapas procesales</w:t>
                  </w:r>
                </w:p>
              </w:tc>
              <w:tc>
                <w:tcPr>
                  <w:tcW w:w="1707" w:type="dxa"/>
                  <w:shd w:val="clear" w:color="auto" w:fill="568636"/>
                  <w:vAlign w:val="center"/>
                </w:tcPr>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Total de acuerdos /resoluciones elaboradas</w:t>
                  </w:r>
                </w:p>
              </w:tc>
              <w:tc>
                <w:tcPr>
                  <w:tcW w:w="1842" w:type="dxa"/>
                  <w:shd w:val="clear" w:color="auto" w:fill="568636"/>
                  <w:vAlign w:val="center"/>
                </w:tcPr>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Tot</w:t>
                  </w:r>
                  <w:r w:rsidR="00F2239A">
                    <w:rPr>
                      <w:rFonts w:ascii="Arial" w:hAnsi="Arial" w:cs="Arial"/>
                      <w:sz w:val="18"/>
                      <w:szCs w:val="18"/>
                    </w:rPr>
                    <w:t>al de notificaciones realizadas</w:t>
                  </w:r>
                </w:p>
              </w:tc>
              <w:tc>
                <w:tcPr>
                  <w:tcW w:w="1685" w:type="dxa"/>
                  <w:shd w:val="clear" w:color="auto" w:fill="568636"/>
                </w:tcPr>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 xml:space="preserve">Total </w:t>
                  </w:r>
                  <w:r w:rsidR="008D7EA9" w:rsidRPr="00E718AA">
                    <w:rPr>
                      <w:rFonts w:ascii="Arial" w:hAnsi="Arial" w:cs="Arial"/>
                      <w:sz w:val="18"/>
                      <w:szCs w:val="18"/>
                    </w:rPr>
                    <w:t xml:space="preserve">de </w:t>
                  </w:r>
                  <w:r w:rsidRPr="00E718AA">
                    <w:rPr>
                      <w:rFonts w:ascii="Arial" w:hAnsi="Arial" w:cs="Arial"/>
                      <w:sz w:val="18"/>
                      <w:szCs w:val="18"/>
                    </w:rPr>
                    <w:t>escritos ingresados</w:t>
                  </w:r>
                </w:p>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del Concesionario Solicitante</w:t>
                  </w:r>
                </w:p>
              </w:tc>
              <w:tc>
                <w:tcPr>
                  <w:tcW w:w="1367" w:type="dxa"/>
                  <w:shd w:val="clear" w:color="auto" w:fill="568636"/>
                </w:tcPr>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Total escritos ingresados Concesionario Solicitado</w:t>
                  </w:r>
                </w:p>
              </w:tc>
            </w:tr>
            <w:tr w:rsidR="009E694F" w:rsidRPr="00E718AA" w:rsidTr="00E718AA">
              <w:trPr>
                <w:trHeight w:val="659"/>
                <w:jc w:val="center"/>
              </w:trPr>
              <w:tc>
                <w:tcPr>
                  <w:tcW w:w="2001" w:type="dxa"/>
                  <w:shd w:val="clear" w:color="auto" w:fill="DBDBDB" w:themeFill="accent3" w:themeFillTint="66"/>
                  <w:vAlign w:val="center"/>
                </w:tcPr>
                <w:p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Escrito de Solicitud</w:t>
                  </w:r>
                </w:p>
              </w:tc>
              <w:tc>
                <w:tcPr>
                  <w:tcW w:w="1707" w:type="dxa"/>
                  <w:shd w:val="clear" w:color="auto" w:fill="DBDBDB" w:themeFill="accent3" w:themeFillTint="66"/>
                  <w:vAlign w:val="center"/>
                </w:tcPr>
                <w:p w:rsidR="009E694F" w:rsidRPr="00E718AA" w:rsidRDefault="009E694F" w:rsidP="00E8599D">
                  <w:pPr>
                    <w:shd w:val="clear" w:color="auto" w:fill="FFFFFF" w:themeFill="background1"/>
                    <w:jc w:val="both"/>
                    <w:rPr>
                      <w:rFonts w:ascii="Arial" w:hAnsi="Arial" w:cs="Arial"/>
                      <w:sz w:val="18"/>
                      <w:szCs w:val="18"/>
                    </w:rPr>
                  </w:pPr>
                </w:p>
              </w:tc>
              <w:tc>
                <w:tcPr>
                  <w:tcW w:w="1842" w:type="dxa"/>
                  <w:shd w:val="clear" w:color="auto" w:fill="DBDBDB" w:themeFill="accent3" w:themeFillTint="66"/>
                  <w:vAlign w:val="center"/>
                </w:tcPr>
                <w:p w:rsidR="009E694F" w:rsidRPr="00E718AA" w:rsidRDefault="009E694F" w:rsidP="00E8599D">
                  <w:pPr>
                    <w:shd w:val="clear" w:color="auto" w:fill="FFFFFF" w:themeFill="background1"/>
                    <w:jc w:val="both"/>
                    <w:rPr>
                      <w:rFonts w:ascii="Arial" w:hAnsi="Arial" w:cs="Arial"/>
                      <w:sz w:val="18"/>
                      <w:szCs w:val="18"/>
                    </w:rPr>
                  </w:pPr>
                </w:p>
              </w:tc>
              <w:tc>
                <w:tcPr>
                  <w:tcW w:w="1685" w:type="dxa"/>
                  <w:shd w:val="clear" w:color="auto" w:fill="DBDBDB" w:themeFill="accent3" w:themeFillTint="66"/>
                </w:tcPr>
                <w:p w:rsidR="009E694F" w:rsidRPr="00E718AA" w:rsidRDefault="009E694F" w:rsidP="00E8599D">
                  <w:pPr>
                    <w:shd w:val="clear" w:color="auto" w:fill="FFFFFF" w:themeFill="background1"/>
                    <w:jc w:val="both"/>
                    <w:rPr>
                      <w:rFonts w:ascii="Arial" w:hAnsi="Arial" w:cs="Arial"/>
                      <w:sz w:val="18"/>
                      <w:szCs w:val="18"/>
                    </w:rPr>
                  </w:pPr>
                </w:p>
                <w:p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304</w:t>
                  </w:r>
                </w:p>
              </w:tc>
              <w:tc>
                <w:tcPr>
                  <w:tcW w:w="1367" w:type="dxa"/>
                  <w:shd w:val="clear" w:color="auto" w:fill="DBDBDB" w:themeFill="accent3" w:themeFillTint="66"/>
                </w:tcPr>
                <w:p w:rsidR="009E694F" w:rsidRPr="00E718AA" w:rsidRDefault="009E694F" w:rsidP="00E8599D">
                  <w:pPr>
                    <w:shd w:val="clear" w:color="auto" w:fill="FFFFFF" w:themeFill="background1"/>
                    <w:jc w:val="both"/>
                    <w:rPr>
                      <w:rFonts w:ascii="Arial" w:hAnsi="Arial" w:cs="Arial"/>
                      <w:sz w:val="18"/>
                      <w:szCs w:val="18"/>
                    </w:rPr>
                  </w:pPr>
                </w:p>
              </w:tc>
            </w:tr>
            <w:tr w:rsidR="009E694F" w:rsidRPr="00E718AA" w:rsidTr="00E718AA">
              <w:trPr>
                <w:jc w:val="center"/>
              </w:trPr>
              <w:tc>
                <w:tcPr>
                  <w:tcW w:w="2001" w:type="dxa"/>
                  <w:shd w:val="clear" w:color="auto" w:fill="D9D9D9" w:themeFill="background1" w:themeFillShade="D9"/>
                  <w:vAlign w:val="center"/>
                </w:tcPr>
                <w:p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Acuerdo de vista</w:t>
                  </w:r>
                </w:p>
              </w:tc>
              <w:tc>
                <w:tcPr>
                  <w:tcW w:w="1707" w:type="dxa"/>
                  <w:shd w:val="clear" w:color="auto" w:fill="D9D9D9" w:themeFill="background1" w:themeFillShade="D9"/>
                  <w:vAlign w:val="center"/>
                </w:tcPr>
                <w:p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304</w:t>
                  </w:r>
                </w:p>
              </w:tc>
              <w:tc>
                <w:tcPr>
                  <w:tcW w:w="1842" w:type="dxa"/>
                  <w:shd w:val="clear" w:color="auto" w:fill="D9D9D9" w:themeFill="background1" w:themeFillShade="D9"/>
                  <w:vAlign w:val="center"/>
                </w:tcPr>
                <w:p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608</w:t>
                  </w:r>
                </w:p>
                <w:p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(se notifica en el domicilio de ambas partes)</w:t>
                  </w:r>
                </w:p>
              </w:tc>
              <w:tc>
                <w:tcPr>
                  <w:tcW w:w="1685" w:type="dxa"/>
                  <w:shd w:val="clear" w:color="auto" w:fill="D9D9D9" w:themeFill="background1" w:themeFillShade="D9"/>
                </w:tcPr>
                <w:p w:rsidR="009E694F" w:rsidRPr="00E718AA" w:rsidRDefault="009E694F" w:rsidP="00E8599D">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rsidR="009E694F" w:rsidRPr="00E718AA" w:rsidRDefault="009E694F" w:rsidP="00E8599D">
                  <w:pPr>
                    <w:shd w:val="clear" w:color="auto" w:fill="FFFFFF" w:themeFill="background1"/>
                    <w:jc w:val="center"/>
                    <w:rPr>
                      <w:rFonts w:ascii="Arial" w:hAnsi="Arial" w:cs="Arial"/>
                      <w:sz w:val="18"/>
                      <w:szCs w:val="18"/>
                    </w:rPr>
                  </w:pPr>
                </w:p>
              </w:tc>
            </w:tr>
            <w:tr w:rsidR="009E694F" w:rsidRPr="00E718AA" w:rsidTr="00E718AA">
              <w:trPr>
                <w:trHeight w:val="917"/>
                <w:jc w:val="center"/>
              </w:trPr>
              <w:tc>
                <w:tcPr>
                  <w:tcW w:w="2001" w:type="dxa"/>
                  <w:shd w:val="clear" w:color="auto" w:fill="D9D9D9" w:themeFill="background1" w:themeFillShade="D9"/>
                  <w:vAlign w:val="center"/>
                </w:tcPr>
                <w:p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Escrito de contestación a la vista</w:t>
                  </w:r>
                </w:p>
              </w:tc>
              <w:tc>
                <w:tcPr>
                  <w:tcW w:w="1707" w:type="dxa"/>
                  <w:shd w:val="clear" w:color="auto" w:fill="D9D9D9" w:themeFill="background1" w:themeFillShade="D9"/>
                  <w:vAlign w:val="center"/>
                </w:tcPr>
                <w:p w:rsidR="009E694F" w:rsidRPr="00E718AA" w:rsidRDefault="009E694F" w:rsidP="00E8599D">
                  <w:pPr>
                    <w:shd w:val="clear" w:color="auto" w:fill="FFFFFF" w:themeFill="background1"/>
                    <w:jc w:val="center"/>
                    <w:rPr>
                      <w:rFonts w:ascii="Arial" w:hAnsi="Arial" w:cs="Arial"/>
                      <w:sz w:val="18"/>
                      <w:szCs w:val="18"/>
                    </w:rPr>
                  </w:pPr>
                </w:p>
              </w:tc>
              <w:tc>
                <w:tcPr>
                  <w:tcW w:w="1842" w:type="dxa"/>
                  <w:shd w:val="clear" w:color="auto" w:fill="D9D9D9" w:themeFill="background1" w:themeFillShade="D9"/>
                  <w:vAlign w:val="center"/>
                </w:tcPr>
                <w:p w:rsidR="009E694F" w:rsidRPr="00E718AA" w:rsidRDefault="009E694F" w:rsidP="00E8599D">
                  <w:pPr>
                    <w:shd w:val="clear" w:color="auto" w:fill="FFFFFF" w:themeFill="background1"/>
                    <w:jc w:val="center"/>
                    <w:rPr>
                      <w:rFonts w:ascii="Arial" w:hAnsi="Arial" w:cs="Arial"/>
                      <w:sz w:val="18"/>
                      <w:szCs w:val="18"/>
                    </w:rPr>
                  </w:pPr>
                </w:p>
              </w:tc>
              <w:tc>
                <w:tcPr>
                  <w:tcW w:w="1685" w:type="dxa"/>
                  <w:shd w:val="clear" w:color="auto" w:fill="D9D9D9" w:themeFill="background1" w:themeFillShade="D9"/>
                </w:tcPr>
                <w:p w:rsidR="009E694F" w:rsidRPr="00E718AA" w:rsidRDefault="009E694F" w:rsidP="00E8599D">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rsidR="009E694F" w:rsidRPr="00E718AA" w:rsidRDefault="009E694F" w:rsidP="00E8599D">
                  <w:pPr>
                    <w:shd w:val="clear" w:color="auto" w:fill="FFFFFF" w:themeFill="background1"/>
                    <w:jc w:val="center"/>
                    <w:rPr>
                      <w:rFonts w:ascii="Arial" w:hAnsi="Arial" w:cs="Arial"/>
                      <w:sz w:val="18"/>
                      <w:szCs w:val="18"/>
                    </w:rPr>
                  </w:pPr>
                </w:p>
                <w:p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152</w:t>
                  </w:r>
                </w:p>
              </w:tc>
            </w:tr>
            <w:tr w:rsidR="009E694F" w:rsidRPr="00E718AA" w:rsidTr="00E718AA">
              <w:trPr>
                <w:jc w:val="center"/>
              </w:trPr>
              <w:tc>
                <w:tcPr>
                  <w:tcW w:w="2001" w:type="dxa"/>
                  <w:shd w:val="clear" w:color="auto" w:fill="D9D9D9" w:themeFill="background1" w:themeFillShade="D9"/>
                  <w:vAlign w:val="center"/>
                </w:tcPr>
                <w:p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Solicitud de prórroga</w:t>
                  </w:r>
                </w:p>
              </w:tc>
              <w:tc>
                <w:tcPr>
                  <w:tcW w:w="1707" w:type="dxa"/>
                  <w:shd w:val="clear" w:color="auto" w:fill="D9D9D9" w:themeFill="background1" w:themeFillShade="D9"/>
                  <w:vAlign w:val="center"/>
                </w:tcPr>
                <w:p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152</w:t>
                  </w:r>
                </w:p>
              </w:tc>
              <w:tc>
                <w:tcPr>
                  <w:tcW w:w="1842" w:type="dxa"/>
                  <w:shd w:val="clear" w:color="auto" w:fill="D9D9D9" w:themeFill="background1" w:themeFillShade="D9"/>
                  <w:vAlign w:val="center"/>
                </w:tcPr>
                <w:p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152</w:t>
                  </w:r>
                </w:p>
                <w:p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(se notifica en el domicilio de quien solicita)</w:t>
                  </w:r>
                </w:p>
              </w:tc>
              <w:tc>
                <w:tcPr>
                  <w:tcW w:w="1685" w:type="dxa"/>
                  <w:shd w:val="clear" w:color="auto" w:fill="D9D9D9" w:themeFill="background1" w:themeFillShade="D9"/>
                </w:tcPr>
                <w:p w:rsidR="009E694F" w:rsidRPr="00E718AA" w:rsidRDefault="009E694F" w:rsidP="00E8599D">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rsidR="009E694F" w:rsidRPr="00E718AA" w:rsidRDefault="009E694F" w:rsidP="00E8599D">
                  <w:pPr>
                    <w:shd w:val="clear" w:color="auto" w:fill="FFFFFF" w:themeFill="background1"/>
                    <w:jc w:val="center"/>
                    <w:rPr>
                      <w:rFonts w:ascii="Arial" w:hAnsi="Arial" w:cs="Arial"/>
                      <w:sz w:val="18"/>
                      <w:szCs w:val="18"/>
                    </w:rPr>
                  </w:pPr>
                </w:p>
                <w:p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152</w:t>
                  </w:r>
                </w:p>
              </w:tc>
            </w:tr>
            <w:tr w:rsidR="009E694F" w:rsidRPr="00E718AA" w:rsidTr="00E718AA">
              <w:trPr>
                <w:jc w:val="center"/>
              </w:trPr>
              <w:tc>
                <w:tcPr>
                  <w:tcW w:w="2001" w:type="dxa"/>
                  <w:shd w:val="clear" w:color="auto" w:fill="D9D9D9" w:themeFill="background1" w:themeFillShade="D9"/>
                  <w:vAlign w:val="center"/>
                </w:tcPr>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Acuerdo de admisión y desahogo de pruebas y requerimiento de alegatos</w:t>
                  </w:r>
                </w:p>
              </w:tc>
              <w:tc>
                <w:tcPr>
                  <w:tcW w:w="1707"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236</w:t>
                  </w:r>
                </w:p>
              </w:tc>
              <w:tc>
                <w:tcPr>
                  <w:tcW w:w="1842"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472</w:t>
                  </w:r>
                </w:p>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(se notifica en el domicilio de ambas partes)</w:t>
                  </w:r>
                </w:p>
              </w:tc>
              <w:tc>
                <w:tcPr>
                  <w:tcW w:w="1685"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p>
                <w:p w:rsidR="009E694F" w:rsidRPr="00E718AA" w:rsidRDefault="009E694F" w:rsidP="005527AA">
                  <w:pPr>
                    <w:shd w:val="clear" w:color="auto" w:fill="FFFFFF" w:themeFill="background1"/>
                    <w:jc w:val="center"/>
                    <w:rPr>
                      <w:rFonts w:ascii="Arial" w:hAnsi="Arial" w:cs="Arial"/>
                      <w:sz w:val="18"/>
                      <w:szCs w:val="18"/>
                    </w:rPr>
                  </w:pPr>
                </w:p>
              </w:tc>
            </w:tr>
            <w:tr w:rsidR="009E694F" w:rsidRPr="00E718AA" w:rsidTr="00E718AA">
              <w:trPr>
                <w:jc w:val="center"/>
              </w:trPr>
              <w:tc>
                <w:tcPr>
                  <w:tcW w:w="2001" w:type="dxa"/>
                  <w:shd w:val="clear" w:color="auto" w:fill="D9D9D9" w:themeFill="background1" w:themeFillShade="D9"/>
                  <w:vAlign w:val="center"/>
                </w:tcPr>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Solicitud de prórroga de ambas partes</w:t>
                  </w:r>
                </w:p>
              </w:tc>
              <w:tc>
                <w:tcPr>
                  <w:tcW w:w="1707"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118</w:t>
                  </w:r>
                </w:p>
              </w:tc>
              <w:tc>
                <w:tcPr>
                  <w:tcW w:w="1842"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118</w:t>
                  </w:r>
                </w:p>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(se notifica en el domicilio de quien solicita)</w:t>
                  </w:r>
                </w:p>
              </w:tc>
              <w:tc>
                <w:tcPr>
                  <w:tcW w:w="1685"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p>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118</w:t>
                  </w:r>
                </w:p>
              </w:tc>
              <w:tc>
                <w:tcPr>
                  <w:tcW w:w="1367"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p>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118</w:t>
                  </w:r>
                </w:p>
              </w:tc>
            </w:tr>
            <w:tr w:rsidR="009E694F" w:rsidRPr="00E718AA" w:rsidTr="00E718AA">
              <w:trPr>
                <w:jc w:val="center"/>
              </w:trPr>
              <w:tc>
                <w:tcPr>
                  <w:tcW w:w="2001" w:type="dxa"/>
                  <w:shd w:val="clear" w:color="auto" w:fill="D9D9D9" w:themeFill="background1" w:themeFillShade="D9"/>
                  <w:vAlign w:val="center"/>
                </w:tcPr>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Escrito de Alegatos</w:t>
                  </w:r>
                </w:p>
              </w:tc>
              <w:tc>
                <w:tcPr>
                  <w:tcW w:w="1707"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p>
              </w:tc>
              <w:tc>
                <w:tcPr>
                  <w:tcW w:w="1842"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p>
              </w:tc>
              <w:tc>
                <w:tcPr>
                  <w:tcW w:w="1685"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236</w:t>
                  </w:r>
                </w:p>
              </w:tc>
              <w:tc>
                <w:tcPr>
                  <w:tcW w:w="1367"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236</w:t>
                  </w:r>
                </w:p>
              </w:tc>
            </w:tr>
            <w:tr w:rsidR="009E694F" w:rsidRPr="00E718AA" w:rsidTr="00E718AA">
              <w:trPr>
                <w:jc w:val="center"/>
              </w:trPr>
              <w:tc>
                <w:tcPr>
                  <w:tcW w:w="2001" w:type="dxa"/>
                  <w:shd w:val="clear" w:color="auto" w:fill="D9D9D9" w:themeFill="background1" w:themeFillShade="D9"/>
                  <w:vAlign w:val="center"/>
                </w:tcPr>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Acuerdo de cierre de instrucción</w:t>
                  </w:r>
                </w:p>
              </w:tc>
              <w:tc>
                <w:tcPr>
                  <w:tcW w:w="1707"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236</w:t>
                  </w:r>
                </w:p>
              </w:tc>
              <w:tc>
                <w:tcPr>
                  <w:tcW w:w="1842"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472</w:t>
                  </w:r>
                </w:p>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(se notifica a ambas partes)</w:t>
                  </w:r>
                </w:p>
              </w:tc>
              <w:tc>
                <w:tcPr>
                  <w:tcW w:w="1685"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p>
              </w:tc>
            </w:tr>
            <w:tr w:rsidR="009E694F" w:rsidRPr="00E718AA" w:rsidTr="00E718AA">
              <w:trPr>
                <w:jc w:val="center"/>
              </w:trPr>
              <w:tc>
                <w:tcPr>
                  <w:tcW w:w="2001" w:type="dxa"/>
                  <w:shd w:val="clear" w:color="auto" w:fill="D9D9D9" w:themeFill="background1" w:themeFillShade="D9"/>
                  <w:vAlign w:val="center"/>
                </w:tcPr>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Resolución del procedimiento</w:t>
                  </w:r>
                </w:p>
              </w:tc>
              <w:tc>
                <w:tcPr>
                  <w:tcW w:w="1707"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236</w:t>
                  </w:r>
                </w:p>
              </w:tc>
              <w:tc>
                <w:tcPr>
                  <w:tcW w:w="1842"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472</w:t>
                  </w:r>
                </w:p>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(se notifica a ambas partes)</w:t>
                  </w:r>
                </w:p>
              </w:tc>
              <w:tc>
                <w:tcPr>
                  <w:tcW w:w="1685"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p>
              </w:tc>
            </w:tr>
            <w:tr w:rsidR="009E694F" w:rsidRPr="00E718AA" w:rsidTr="00E718AA">
              <w:trPr>
                <w:jc w:val="center"/>
              </w:trPr>
              <w:tc>
                <w:tcPr>
                  <w:tcW w:w="2001" w:type="dxa"/>
                  <w:shd w:val="clear" w:color="auto" w:fill="D9D9D9" w:themeFill="background1" w:themeFillShade="D9"/>
                  <w:vAlign w:val="center"/>
                </w:tcPr>
                <w:p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TOTAL</w:t>
                  </w:r>
                </w:p>
              </w:tc>
              <w:tc>
                <w:tcPr>
                  <w:tcW w:w="1707"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1,316</w:t>
                  </w:r>
                </w:p>
              </w:tc>
              <w:tc>
                <w:tcPr>
                  <w:tcW w:w="1842" w:type="dxa"/>
                  <w:shd w:val="clear" w:color="auto" w:fill="D9D9D9" w:themeFill="background1" w:themeFillShade="D9"/>
                  <w:vAlign w:val="center"/>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2,328</w:t>
                  </w:r>
                </w:p>
              </w:tc>
              <w:tc>
                <w:tcPr>
                  <w:tcW w:w="1685"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658</w:t>
                  </w:r>
                </w:p>
              </w:tc>
              <w:tc>
                <w:tcPr>
                  <w:tcW w:w="1367" w:type="dxa"/>
                  <w:shd w:val="clear" w:color="auto" w:fill="D9D9D9" w:themeFill="background1" w:themeFillShade="D9"/>
                </w:tcPr>
                <w:p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658</w:t>
                  </w:r>
                </w:p>
              </w:tc>
            </w:tr>
          </w:tbl>
          <w:p w:rsidR="004376AC" w:rsidRPr="005527AA" w:rsidRDefault="00E8599D" w:rsidP="004217AB">
            <w:pPr>
              <w:shd w:val="clear" w:color="auto" w:fill="FFFFFF" w:themeFill="background1"/>
              <w:jc w:val="center"/>
              <w:rPr>
                <w:rFonts w:ascii="ITC Avant Garde" w:hAnsi="ITC Avant Garde"/>
                <w:sz w:val="16"/>
                <w:szCs w:val="16"/>
              </w:rPr>
            </w:pPr>
            <w:r w:rsidRPr="005527AA">
              <w:rPr>
                <w:rFonts w:ascii="ITC Avant Garde" w:hAnsi="ITC Avant Garde"/>
                <w:sz w:val="16"/>
                <w:szCs w:val="16"/>
              </w:rPr>
              <w:t>Fuente: Elaboración propia, con información existente en los archivos de la Dirección General de Regulación de Interconexión y Reventa de Servicios de Telecomunicaciones</w:t>
            </w:r>
          </w:p>
          <w:p w:rsidR="00461FCE" w:rsidRDefault="00461FCE" w:rsidP="008A48B0">
            <w:pPr>
              <w:shd w:val="clear" w:color="auto" w:fill="FFFFFF" w:themeFill="background1"/>
              <w:jc w:val="both"/>
              <w:rPr>
                <w:rFonts w:ascii="ITC Avant Garde" w:hAnsi="ITC Avant Garde"/>
                <w:sz w:val="18"/>
                <w:szCs w:val="18"/>
              </w:rPr>
            </w:pPr>
          </w:p>
          <w:p w:rsidR="00F2239A" w:rsidRDefault="00F2239A" w:rsidP="005527AA">
            <w:pPr>
              <w:shd w:val="clear" w:color="auto" w:fill="FFFFFF" w:themeFill="background1"/>
              <w:jc w:val="both"/>
              <w:rPr>
                <w:rFonts w:ascii="ITC Avant Garde" w:hAnsi="ITC Avant Garde"/>
                <w:sz w:val="18"/>
                <w:szCs w:val="18"/>
              </w:rPr>
            </w:pPr>
            <w:r>
              <w:rPr>
                <w:rFonts w:ascii="ITC Avant Garde" w:hAnsi="ITC Avant Garde"/>
                <w:sz w:val="18"/>
                <w:szCs w:val="18"/>
              </w:rPr>
              <w:t>De la tabla anterior, el Instituto realizó 2,328 notificaciones de forma presencial en los domicilios legales de los concesionarios que formaron parte de los desacuerdos de interconexión. Por su parte, los concesionarios realizaron 1,316 actuaciones que fueron presentadas en la oficialía de partes del Instituto.</w:t>
            </w:r>
          </w:p>
          <w:p w:rsidR="00F2239A" w:rsidRDefault="00F2239A" w:rsidP="005527AA">
            <w:pPr>
              <w:shd w:val="clear" w:color="auto" w:fill="FFFFFF" w:themeFill="background1"/>
              <w:jc w:val="both"/>
              <w:rPr>
                <w:rFonts w:ascii="ITC Avant Garde" w:hAnsi="ITC Avant Garde"/>
                <w:sz w:val="18"/>
                <w:szCs w:val="18"/>
              </w:rPr>
            </w:pPr>
          </w:p>
          <w:p w:rsidR="00E718AA" w:rsidRDefault="005527AA" w:rsidP="005527AA">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virtud de lo anterior, </w:t>
            </w:r>
            <w:r w:rsidRPr="005527AA">
              <w:rPr>
                <w:rFonts w:ascii="ITC Avant Garde" w:hAnsi="ITC Avant Garde"/>
                <w:sz w:val="18"/>
                <w:szCs w:val="18"/>
              </w:rPr>
              <w:t xml:space="preserve">el presente anteproyecto de regulación tiene por objeto establecer las disposiciones </w:t>
            </w:r>
            <w:r>
              <w:rPr>
                <w:rFonts w:ascii="ITC Avant Garde" w:hAnsi="ITC Avant Garde"/>
                <w:sz w:val="18"/>
                <w:szCs w:val="18"/>
              </w:rPr>
              <w:t xml:space="preserve">administrativas de carácter general, </w:t>
            </w:r>
            <w:r w:rsidRPr="005527AA">
              <w:rPr>
                <w:rFonts w:ascii="ITC Avant Garde" w:hAnsi="ITC Avant Garde"/>
                <w:sz w:val="18"/>
                <w:szCs w:val="18"/>
              </w:rPr>
              <w:t>aplicables a</w:t>
            </w:r>
            <w:r w:rsidR="00E718AA">
              <w:rPr>
                <w:rFonts w:ascii="ITC Avant Garde" w:hAnsi="ITC Avant Garde"/>
                <w:sz w:val="18"/>
                <w:szCs w:val="18"/>
              </w:rPr>
              <w:t>l procedimiento</w:t>
            </w:r>
            <w:r w:rsidRPr="005527AA">
              <w:rPr>
                <w:rFonts w:ascii="ITC Avant Garde" w:hAnsi="ITC Avant Garde"/>
                <w:sz w:val="18"/>
                <w:szCs w:val="18"/>
              </w:rPr>
              <w:t xml:space="preserve"> </w:t>
            </w:r>
            <w:r w:rsidR="00E718AA">
              <w:rPr>
                <w:rFonts w:ascii="ITC Avant Garde" w:hAnsi="ITC Avant Garde"/>
                <w:sz w:val="18"/>
                <w:szCs w:val="18"/>
              </w:rPr>
              <w:t xml:space="preserve">de </w:t>
            </w:r>
            <w:r w:rsidRPr="005527AA">
              <w:rPr>
                <w:rFonts w:ascii="ITC Avant Garde" w:hAnsi="ITC Avant Garde"/>
                <w:sz w:val="18"/>
                <w:szCs w:val="18"/>
              </w:rPr>
              <w:t xml:space="preserve">sustanciación </w:t>
            </w:r>
            <w:r>
              <w:rPr>
                <w:rFonts w:ascii="ITC Avant Garde" w:hAnsi="ITC Avant Garde"/>
                <w:sz w:val="18"/>
                <w:szCs w:val="18"/>
              </w:rPr>
              <w:t xml:space="preserve">de las solicitudes de resolución de desacuerdos de interconexión </w:t>
            </w:r>
            <w:r w:rsidRPr="005527AA">
              <w:rPr>
                <w:rFonts w:ascii="ITC Avant Garde" w:hAnsi="ITC Avant Garde"/>
                <w:sz w:val="18"/>
                <w:szCs w:val="18"/>
              </w:rPr>
              <w:t xml:space="preserve">establecido en el artículo 129 de la </w:t>
            </w:r>
            <w:r w:rsidR="00B833F1">
              <w:rPr>
                <w:rFonts w:ascii="ITC Avant Garde" w:hAnsi="ITC Avant Garde"/>
                <w:sz w:val="18"/>
                <w:szCs w:val="18"/>
              </w:rPr>
              <w:t>LFTR</w:t>
            </w:r>
            <w:r w:rsidRPr="005527AA">
              <w:rPr>
                <w:rFonts w:ascii="ITC Avant Garde" w:hAnsi="ITC Avant Garde"/>
                <w:sz w:val="18"/>
                <w:szCs w:val="18"/>
              </w:rPr>
              <w:t xml:space="preserve">, </w:t>
            </w:r>
            <w:r w:rsidR="00B833F1">
              <w:rPr>
                <w:rFonts w:ascii="ITC Avant Garde" w:hAnsi="ITC Avant Garde"/>
                <w:sz w:val="18"/>
                <w:szCs w:val="18"/>
              </w:rPr>
              <w:t xml:space="preserve">a través de la Ventanilla Electrónica para realizarse, optativamente, </w:t>
            </w:r>
            <w:r w:rsidR="00F2239A">
              <w:rPr>
                <w:rFonts w:ascii="ITC Avant Garde" w:hAnsi="ITC Avant Garde"/>
                <w:sz w:val="18"/>
                <w:szCs w:val="18"/>
              </w:rPr>
              <w:t>por medios electrónicos, de tal forma que las notificaciones que el Instituto realice durante la sustanciación de los desacuerdos de interconexión y las actuaciones que los concesionarios que forman parte de los desacuerdos de interconexión se realicen a través de la Ventanilla Electrónica.</w:t>
            </w:r>
          </w:p>
          <w:p w:rsidR="00E718AA" w:rsidRDefault="00E718AA" w:rsidP="005527AA">
            <w:pPr>
              <w:shd w:val="clear" w:color="auto" w:fill="FFFFFF" w:themeFill="background1"/>
              <w:jc w:val="both"/>
              <w:rPr>
                <w:rFonts w:ascii="ITC Avant Garde" w:hAnsi="ITC Avant Garde"/>
                <w:sz w:val="18"/>
                <w:szCs w:val="18"/>
              </w:rPr>
            </w:pPr>
          </w:p>
          <w:p w:rsidR="005527AA" w:rsidRPr="005527AA" w:rsidRDefault="005527AA" w:rsidP="005527AA">
            <w:pPr>
              <w:shd w:val="clear" w:color="auto" w:fill="FFFFFF" w:themeFill="background1"/>
              <w:jc w:val="both"/>
              <w:rPr>
                <w:rFonts w:ascii="ITC Avant Garde" w:hAnsi="ITC Avant Garde"/>
                <w:sz w:val="18"/>
                <w:szCs w:val="18"/>
              </w:rPr>
            </w:pPr>
            <w:r w:rsidRPr="005527AA">
              <w:rPr>
                <w:rFonts w:ascii="ITC Avant Garde" w:hAnsi="ITC Avant Garde"/>
                <w:sz w:val="18"/>
                <w:szCs w:val="18"/>
              </w:rPr>
              <w:t xml:space="preserve">Lo anterior, a través de: i) el acceso de la solicitud del trámite denominado “Solicitud de resolución de desacuerdo de interconexión” </w:t>
            </w:r>
            <w:r w:rsidR="00B833F1">
              <w:rPr>
                <w:rFonts w:ascii="ITC Avant Garde" w:hAnsi="ITC Avant Garde"/>
                <w:sz w:val="18"/>
                <w:szCs w:val="18"/>
              </w:rPr>
              <w:t xml:space="preserve">mediante </w:t>
            </w:r>
            <w:r w:rsidRPr="005527AA">
              <w:rPr>
                <w:rFonts w:ascii="ITC Avant Garde" w:hAnsi="ITC Avant Garde"/>
                <w:sz w:val="18"/>
                <w:szCs w:val="18"/>
              </w:rPr>
              <w:t xml:space="preserve">la Ventanilla Electrónica del Instituto; ii) el mecanismo de sustanciación a través de la Ventanilla Electrónica de conformidad con el procedimiento </w:t>
            </w:r>
            <w:r w:rsidRPr="005527AA">
              <w:rPr>
                <w:rFonts w:ascii="ITC Avant Garde" w:hAnsi="ITC Avant Garde"/>
                <w:sz w:val="18"/>
                <w:szCs w:val="18"/>
              </w:rPr>
              <w:lastRenderedPageBreak/>
              <w:t xml:space="preserve">establecido en el artículo 129 de la LFTR; iii) la implementación de las Actuaciones Electrónicas y de los Actos Administrativos Electrónicos; iv) el uso de la Firma Electrónica Avanzada, y v) el desarrollo e implementación del Expediente </w:t>
            </w:r>
            <w:r w:rsidR="00B833F1">
              <w:rPr>
                <w:rFonts w:ascii="ITC Avant Garde" w:hAnsi="ITC Avant Garde"/>
                <w:sz w:val="18"/>
                <w:szCs w:val="18"/>
              </w:rPr>
              <w:t xml:space="preserve">Administrativo </w:t>
            </w:r>
            <w:r w:rsidRPr="005527AA">
              <w:rPr>
                <w:rFonts w:ascii="ITC Avant Garde" w:hAnsi="ITC Avant Garde"/>
                <w:sz w:val="18"/>
                <w:szCs w:val="18"/>
              </w:rPr>
              <w:t xml:space="preserve">Electrónico. </w:t>
            </w:r>
          </w:p>
          <w:p w:rsidR="005527AA" w:rsidRPr="005527AA" w:rsidRDefault="005527AA" w:rsidP="005527AA">
            <w:pPr>
              <w:shd w:val="clear" w:color="auto" w:fill="FFFFFF" w:themeFill="background1"/>
              <w:jc w:val="both"/>
              <w:rPr>
                <w:rFonts w:ascii="ITC Avant Garde" w:hAnsi="ITC Avant Garde"/>
                <w:sz w:val="18"/>
                <w:szCs w:val="18"/>
              </w:rPr>
            </w:pPr>
          </w:p>
          <w:p w:rsidR="005527AA" w:rsidRPr="005527AA" w:rsidRDefault="005527AA" w:rsidP="005527AA">
            <w:pPr>
              <w:shd w:val="clear" w:color="auto" w:fill="FFFFFF" w:themeFill="background1"/>
              <w:jc w:val="both"/>
              <w:rPr>
                <w:rFonts w:ascii="ITC Avant Garde" w:hAnsi="ITC Avant Garde"/>
                <w:sz w:val="18"/>
                <w:szCs w:val="18"/>
              </w:rPr>
            </w:pPr>
            <w:r w:rsidRPr="005527AA">
              <w:rPr>
                <w:rFonts w:ascii="ITC Avant Garde" w:hAnsi="ITC Avant Garde"/>
                <w:sz w:val="18"/>
                <w:szCs w:val="18"/>
              </w:rPr>
              <w:t xml:space="preserve">Con lo anterior, el Instituto busca a través de la implementación de una herramienta tecnológica y jurídica, como lo es la Ventanilla Electrónica, permitir la sustanciación de las solicitudes de resolución de desacuerdos de interconexión entre concesionarios de redes públicas de telecomunicaciones con objeto de incrementar la eficiencia y la transparencia en la sustanciación del mismo. </w:t>
            </w:r>
          </w:p>
          <w:p w:rsidR="005527AA" w:rsidRPr="005527AA" w:rsidRDefault="005527AA" w:rsidP="005527AA">
            <w:pPr>
              <w:shd w:val="clear" w:color="auto" w:fill="FFFFFF" w:themeFill="background1"/>
              <w:jc w:val="both"/>
              <w:rPr>
                <w:rFonts w:ascii="ITC Avant Garde" w:hAnsi="ITC Avant Garde"/>
                <w:sz w:val="18"/>
                <w:szCs w:val="18"/>
              </w:rPr>
            </w:pPr>
          </w:p>
          <w:p w:rsidR="004376AC" w:rsidRDefault="005527AA" w:rsidP="005527AA">
            <w:pPr>
              <w:shd w:val="clear" w:color="auto" w:fill="FFFFFF" w:themeFill="background1"/>
              <w:jc w:val="both"/>
              <w:rPr>
                <w:rFonts w:ascii="ITC Avant Garde" w:hAnsi="ITC Avant Garde"/>
                <w:sz w:val="18"/>
                <w:szCs w:val="18"/>
              </w:rPr>
            </w:pPr>
            <w:r w:rsidRPr="005527AA">
              <w:rPr>
                <w:rFonts w:ascii="ITC Avant Garde" w:hAnsi="ITC Avant Garde"/>
                <w:sz w:val="18"/>
                <w:szCs w:val="18"/>
              </w:rPr>
              <w:t xml:space="preserve">Finalmente, la emisión del presente anteproyecto se encuentra alineado a los objetivos planteados en los Lineamientos para la sustanciación de los trámites y servicios que se realicen ante el Instituto Federal de Telecomunicaciones, a través de la Ventanilla Electrónica , toda vez que regulan el uso de Tecnologías de la </w:t>
            </w:r>
            <w:r w:rsidR="00F07B22">
              <w:rPr>
                <w:rFonts w:ascii="ITC Avant Garde" w:hAnsi="ITC Avant Garde"/>
                <w:sz w:val="18"/>
                <w:szCs w:val="18"/>
              </w:rPr>
              <w:t>Información y Comunicación (TIC</w:t>
            </w:r>
            <w:r w:rsidRPr="005527AA">
              <w:rPr>
                <w:rFonts w:ascii="ITC Avant Garde" w:hAnsi="ITC Avant Garde"/>
                <w:sz w:val="18"/>
                <w:szCs w:val="18"/>
              </w:rPr>
              <w:t>) por parte de este Instituto para la presentación de diversos trámites con el fin de mejorar la eficiencia, facilitar su presentación y disminuir las cargas administrativas.</w:t>
            </w:r>
          </w:p>
          <w:p w:rsidR="001932FC" w:rsidRPr="00DD06A0" w:rsidRDefault="001932FC" w:rsidP="004217AB">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rsidTr="00B41497">
        <w:tc>
          <w:tcPr>
            <w:tcW w:w="8828" w:type="dxa"/>
          </w:tcPr>
          <w:p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rsidTr="00B41497">
              <w:tc>
                <w:tcPr>
                  <w:tcW w:w="1462" w:type="dxa"/>
                  <w:shd w:val="clear" w:color="auto" w:fill="A8D08D" w:themeFill="accent6" w:themeFillTint="99"/>
                </w:tcPr>
                <w:p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rsidTr="00B41497">
              <w:tc>
                <w:tcPr>
                  <w:tcW w:w="1462" w:type="dxa"/>
                </w:tcPr>
                <w:p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9B3908" w:rsidRDefault="009B3908" w:rsidP="00B41497">
            <w:pPr>
              <w:jc w:val="both"/>
              <w:rPr>
                <w:rFonts w:ascii="ITC Avant Garde" w:hAnsi="ITC Avant Garde"/>
                <w:b/>
                <w:sz w:val="18"/>
                <w:szCs w:val="18"/>
              </w:rPr>
            </w:pPr>
          </w:p>
          <w:p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rsidTr="00596FDE">
              <w:tc>
                <w:tcPr>
                  <w:tcW w:w="8602" w:type="dxa"/>
                </w:tcPr>
                <w:p w:rsidR="00596FDE" w:rsidRPr="00DD06A0" w:rsidRDefault="00596FDE" w:rsidP="005C4A39">
                  <w:pPr>
                    <w:framePr w:hSpace="141" w:wrap="around" w:vAnchor="text" w:hAnchor="margin" w:y="356"/>
                    <w:jc w:val="both"/>
                    <w:rPr>
                      <w:rFonts w:ascii="ITC Avant Garde" w:hAnsi="ITC Avant Garde"/>
                      <w:sz w:val="18"/>
                      <w:szCs w:val="18"/>
                    </w:rPr>
                  </w:pPr>
                </w:p>
                <w:p w:rsidR="00596FDE" w:rsidRPr="00DD06A0" w:rsidRDefault="0008479B" w:rsidP="005C4A39">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rsidR="00552E7C" w:rsidRPr="00DD06A0" w:rsidRDefault="00552E7C" w:rsidP="005C4A39">
                  <w:pPr>
                    <w:framePr w:hSpace="141" w:wrap="around" w:vAnchor="text" w:hAnchor="margin" w:y="356"/>
                    <w:jc w:val="both"/>
                    <w:rPr>
                      <w:rFonts w:ascii="ITC Avant Garde" w:hAnsi="ITC Avant Garde"/>
                      <w:sz w:val="18"/>
                      <w:szCs w:val="18"/>
                    </w:rPr>
                  </w:pPr>
                </w:p>
              </w:tc>
            </w:tr>
          </w:tbl>
          <w:p w:rsidR="00596FDE" w:rsidRPr="00DD06A0" w:rsidRDefault="00596FDE" w:rsidP="00B41497">
            <w:pPr>
              <w:jc w:val="both"/>
              <w:rPr>
                <w:rFonts w:ascii="ITC Avant Garde" w:hAnsi="ITC Avant Garde"/>
                <w:sz w:val="18"/>
                <w:szCs w:val="18"/>
              </w:rPr>
            </w:pPr>
          </w:p>
        </w:tc>
      </w:tr>
    </w:tbl>
    <w:p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F0449E">
        <w:tc>
          <w:tcPr>
            <w:tcW w:w="8828" w:type="dxa"/>
          </w:tcPr>
          <w:p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rsidR="00992AF4" w:rsidRDefault="00992AF4" w:rsidP="00F0449E">
            <w:pPr>
              <w:jc w:val="both"/>
              <w:rPr>
                <w:rFonts w:ascii="ITC Avant Garde" w:hAnsi="ITC Avant Garde"/>
                <w:sz w:val="18"/>
                <w:szCs w:val="18"/>
              </w:rPr>
            </w:pPr>
          </w:p>
          <w:p w:rsidR="0029705B" w:rsidRDefault="00F03C70" w:rsidP="00F03C70">
            <w:pPr>
              <w:jc w:val="both"/>
              <w:rPr>
                <w:rFonts w:ascii="ITC Avant Garde" w:hAnsi="ITC Avant Garde"/>
                <w:sz w:val="18"/>
                <w:szCs w:val="18"/>
              </w:rPr>
            </w:pPr>
            <w:r>
              <w:rPr>
                <w:rFonts w:ascii="ITC Avant Garde" w:hAnsi="ITC Avant Garde"/>
                <w:sz w:val="18"/>
                <w:szCs w:val="18"/>
              </w:rPr>
              <w:t xml:space="preserve">El objeto de la propuesta de </w:t>
            </w:r>
            <w:r w:rsidR="0008479B">
              <w:rPr>
                <w:rFonts w:ascii="ITC Avant Garde" w:hAnsi="ITC Avant Garde"/>
                <w:sz w:val="18"/>
                <w:szCs w:val="18"/>
              </w:rPr>
              <w:t>regulación consiste en</w:t>
            </w:r>
            <w:r>
              <w:rPr>
                <w:rFonts w:ascii="ITC Avant Garde" w:hAnsi="ITC Avant Garde"/>
                <w:sz w:val="18"/>
                <w:szCs w:val="18"/>
              </w:rPr>
              <w:t xml:space="preserve"> </w:t>
            </w:r>
            <w:r w:rsidRPr="00F03C70">
              <w:rPr>
                <w:rFonts w:ascii="ITC Avant Garde" w:hAnsi="ITC Avant Garde"/>
                <w:sz w:val="18"/>
                <w:szCs w:val="18"/>
              </w:rPr>
              <w:t>establecer las disposiciones aplicables para la sustanciac</w:t>
            </w:r>
            <w:r w:rsidR="00F2239A">
              <w:rPr>
                <w:rFonts w:ascii="ITC Avant Garde" w:hAnsi="ITC Avant Garde"/>
                <w:sz w:val="18"/>
                <w:szCs w:val="18"/>
              </w:rPr>
              <w:t xml:space="preserve">ión de forma electrónica de los desacuerdos </w:t>
            </w:r>
            <w:r w:rsidR="00F2239A" w:rsidRPr="00F03C70">
              <w:rPr>
                <w:rFonts w:ascii="ITC Avant Garde" w:hAnsi="ITC Avant Garde"/>
                <w:sz w:val="18"/>
                <w:szCs w:val="18"/>
              </w:rPr>
              <w:t>entre concesionarios de redes públicas de telecomunicaciones</w:t>
            </w:r>
            <w:r w:rsidR="00F2239A">
              <w:rPr>
                <w:rFonts w:ascii="ITC Avant Garde" w:hAnsi="ITC Avant Garde"/>
                <w:sz w:val="18"/>
                <w:szCs w:val="18"/>
              </w:rPr>
              <w:t xml:space="preserve"> de los servicios de interconexión, desde la presentación de la s</w:t>
            </w:r>
            <w:r w:rsidRPr="00F03C70">
              <w:rPr>
                <w:rFonts w:ascii="ITC Avant Garde" w:hAnsi="ITC Avant Garde"/>
                <w:sz w:val="18"/>
                <w:szCs w:val="18"/>
              </w:rPr>
              <w:t>olicitud de resolución de</w:t>
            </w:r>
            <w:r w:rsidR="00F2239A">
              <w:rPr>
                <w:rFonts w:ascii="ITC Avant Garde" w:hAnsi="ITC Avant Garde"/>
                <w:sz w:val="18"/>
                <w:szCs w:val="18"/>
              </w:rPr>
              <w:t>l  desacuerdo hasta su resolución, conforme al procedimiento</w:t>
            </w:r>
            <w:r w:rsidR="0029705B">
              <w:rPr>
                <w:rFonts w:ascii="ITC Avant Garde" w:hAnsi="ITC Avant Garde"/>
                <w:sz w:val="18"/>
                <w:szCs w:val="18"/>
              </w:rPr>
              <w:t xml:space="preserve"> establecido en el artículo 129 de la LFTR, que, </w:t>
            </w:r>
            <w:r w:rsidR="0029705B" w:rsidRPr="0029705B">
              <w:rPr>
                <w:rFonts w:ascii="ITC Avant Garde" w:hAnsi="ITC Avant Garde"/>
                <w:sz w:val="18"/>
                <w:szCs w:val="18"/>
              </w:rPr>
              <w:t xml:space="preserve">en términos de eficiencia, eficacia y costo beneficio, permitan el uso de las </w:t>
            </w:r>
            <w:r w:rsidR="0029705B">
              <w:rPr>
                <w:rFonts w:ascii="ITC Avant Garde" w:hAnsi="ITC Avant Garde"/>
                <w:sz w:val="18"/>
                <w:szCs w:val="18"/>
              </w:rPr>
              <w:t xml:space="preserve">TIC </w:t>
            </w:r>
            <w:r w:rsidR="0029705B" w:rsidRPr="0029705B">
              <w:rPr>
                <w:rFonts w:ascii="ITC Avant Garde" w:hAnsi="ITC Avant Garde"/>
                <w:sz w:val="18"/>
                <w:szCs w:val="18"/>
              </w:rPr>
              <w:t>para la sustanciación de dicho procedimiento y, en esa medida, establecer las disposiciones administrativas de carácter general que sustenten jurídicamente, la realización de actuaciones electrónicas por parte de los concesionarios involucrados y los actos administrativos electrónicos emitidos por este Instituto con motivo de la recepción, atención, sustanciación y resolución del procedimiento de solicitud de resolución de desacuerdos de interconexión, a través de la Ventanilla Electrónica.</w:t>
            </w:r>
          </w:p>
          <w:p w:rsidR="0029705B" w:rsidRDefault="0029705B" w:rsidP="00F03C70">
            <w:pPr>
              <w:jc w:val="both"/>
              <w:rPr>
                <w:rFonts w:ascii="ITC Avant Garde" w:hAnsi="ITC Avant Garde"/>
                <w:sz w:val="18"/>
                <w:szCs w:val="18"/>
              </w:rPr>
            </w:pPr>
          </w:p>
          <w:p w:rsidR="00F03C70" w:rsidRPr="00F03C70" w:rsidRDefault="00F03C70" w:rsidP="00F03C70">
            <w:pPr>
              <w:jc w:val="both"/>
              <w:rPr>
                <w:rFonts w:ascii="ITC Avant Garde" w:hAnsi="ITC Avant Garde"/>
                <w:sz w:val="18"/>
                <w:szCs w:val="18"/>
              </w:rPr>
            </w:pPr>
            <w:r w:rsidRPr="00F03C70">
              <w:rPr>
                <w:rFonts w:ascii="ITC Avant Garde" w:hAnsi="ITC Avant Garde"/>
                <w:sz w:val="18"/>
                <w:szCs w:val="18"/>
              </w:rPr>
              <w:t xml:space="preserve">Lo anterior, a través de lo siguiente: </w:t>
            </w:r>
          </w:p>
          <w:p w:rsidR="00F03C70" w:rsidRPr="00F03C70" w:rsidRDefault="00F03C70" w:rsidP="00F03C70">
            <w:pPr>
              <w:jc w:val="both"/>
              <w:rPr>
                <w:rFonts w:ascii="ITC Avant Garde" w:hAnsi="ITC Avant Garde"/>
                <w:sz w:val="18"/>
                <w:szCs w:val="18"/>
              </w:rPr>
            </w:pPr>
          </w:p>
          <w:p w:rsidR="00F03C70" w:rsidRPr="004217AB" w:rsidRDefault="00F03C70" w:rsidP="004217AB">
            <w:pPr>
              <w:pStyle w:val="Prrafodelista"/>
              <w:numPr>
                <w:ilvl w:val="0"/>
                <w:numId w:val="20"/>
              </w:numPr>
              <w:ind w:left="1021"/>
              <w:jc w:val="both"/>
              <w:rPr>
                <w:rFonts w:ascii="ITC Avant Garde" w:hAnsi="ITC Avant Garde"/>
                <w:sz w:val="18"/>
                <w:szCs w:val="18"/>
              </w:rPr>
            </w:pPr>
            <w:r w:rsidRPr="004217AB">
              <w:rPr>
                <w:rFonts w:ascii="ITC Avant Garde" w:hAnsi="ITC Avant Garde"/>
                <w:sz w:val="18"/>
                <w:szCs w:val="18"/>
              </w:rPr>
              <w:lastRenderedPageBreak/>
              <w:t>La implementación del procedimiento de sustanciación a través de la Ventanilla Electrónica que permita su realización de forma electrónica.</w:t>
            </w:r>
          </w:p>
          <w:p w:rsidR="00F03C70" w:rsidRPr="004217AB" w:rsidRDefault="00F03C70" w:rsidP="004217AB">
            <w:pPr>
              <w:pStyle w:val="Prrafodelista"/>
              <w:numPr>
                <w:ilvl w:val="0"/>
                <w:numId w:val="20"/>
              </w:numPr>
              <w:ind w:left="1021"/>
              <w:jc w:val="both"/>
              <w:rPr>
                <w:rFonts w:ascii="ITC Avant Garde" w:hAnsi="ITC Avant Garde"/>
                <w:sz w:val="18"/>
                <w:szCs w:val="18"/>
              </w:rPr>
            </w:pPr>
            <w:r w:rsidRPr="004217AB">
              <w:rPr>
                <w:rFonts w:ascii="ITC Avant Garde" w:hAnsi="ITC Avant Garde"/>
                <w:sz w:val="18"/>
                <w:szCs w:val="18"/>
              </w:rPr>
              <w:t xml:space="preserve">El uso y las características de los eFormatos; </w:t>
            </w:r>
          </w:p>
          <w:p w:rsidR="00F03C70" w:rsidRPr="004217AB" w:rsidRDefault="00F03C70" w:rsidP="004217AB">
            <w:pPr>
              <w:pStyle w:val="Prrafodelista"/>
              <w:numPr>
                <w:ilvl w:val="0"/>
                <w:numId w:val="20"/>
              </w:numPr>
              <w:ind w:left="1021"/>
              <w:jc w:val="both"/>
              <w:rPr>
                <w:rFonts w:ascii="ITC Avant Garde" w:hAnsi="ITC Avant Garde"/>
                <w:sz w:val="18"/>
                <w:szCs w:val="18"/>
              </w:rPr>
            </w:pPr>
            <w:r w:rsidRPr="004217AB">
              <w:rPr>
                <w:rFonts w:ascii="ITC Avant Garde" w:hAnsi="ITC Avant Garde"/>
                <w:sz w:val="18"/>
                <w:szCs w:val="18"/>
              </w:rPr>
              <w:t>La implementación de las Actuaciones Electrónicas y de los Actos Administrativos Electrónicos;</w:t>
            </w:r>
          </w:p>
          <w:p w:rsidR="00F03C70" w:rsidRPr="004217AB" w:rsidRDefault="00F03C70" w:rsidP="004217AB">
            <w:pPr>
              <w:pStyle w:val="Prrafodelista"/>
              <w:numPr>
                <w:ilvl w:val="0"/>
                <w:numId w:val="20"/>
              </w:numPr>
              <w:ind w:left="1021"/>
              <w:jc w:val="both"/>
              <w:rPr>
                <w:rFonts w:ascii="ITC Avant Garde" w:hAnsi="ITC Avant Garde"/>
                <w:sz w:val="18"/>
                <w:szCs w:val="18"/>
              </w:rPr>
            </w:pPr>
            <w:r w:rsidRPr="004217AB">
              <w:rPr>
                <w:rFonts w:ascii="ITC Avant Garde" w:hAnsi="ITC Avant Garde"/>
                <w:sz w:val="18"/>
                <w:szCs w:val="18"/>
              </w:rPr>
              <w:t xml:space="preserve">El uso de la Firma Electrónica Avanzada, y </w:t>
            </w:r>
          </w:p>
          <w:p w:rsidR="00F03C70" w:rsidRPr="004217AB" w:rsidRDefault="00F03C70" w:rsidP="004217AB">
            <w:pPr>
              <w:pStyle w:val="Prrafodelista"/>
              <w:numPr>
                <w:ilvl w:val="0"/>
                <w:numId w:val="20"/>
              </w:numPr>
              <w:ind w:left="1021"/>
              <w:jc w:val="both"/>
              <w:rPr>
                <w:rFonts w:ascii="ITC Avant Garde" w:hAnsi="ITC Avant Garde"/>
                <w:sz w:val="18"/>
                <w:szCs w:val="18"/>
              </w:rPr>
            </w:pPr>
            <w:r w:rsidRPr="004217AB">
              <w:rPr>
                <w:rFonts w:ascii="ITC Avant Garde" w:hAnsi="ITC Avant Garde"/>
                <w:sz w:val="18"/>
                <w:szCs w:val="18"/>
              </w:rPr>
              <w:t xml:space="preserve">El desarrollo e implementación del Expediente de Seguimiento de forma electrónica. </w:t>
            </w:r>
          </w:p>
          <w:p w:rsidR="00F03C70" w:rsidRDefault="00F03C70" w:rsidP="00F03C70">
            <w:pPr>
              <w:jc w:val="both"/>
              <w:rPr>
                <w:rFonts w:ascii="ITC Avant Garde" w:hAnsi="ITC Avant Garde"/>
                <w:sz w:val="18"/>
                <w:szCs w:val="18"/>
              </w:rPr>
            </w:pPr>
          </w:p>
          <w:p w:rsidR="007C0CE3" w:rsidRDefault="008047F9" w:rsidP="007C0CE3">
            <w:pPr>
              <w:jc w:val="both"/>
              <w:rPr>
                <w:rFonts w:ascii="ITC Avant Garde" w:hAnsi="ITC Avant Garde"/>
                <w:sz w:val="18"/>
                <w:szCs w:val="18"/>
              </w:rPr>
            </w:pPr>
            <w:r w:rsidRPr="008047F9">
              <w:rPr>
                <w:rFonts w:ascii="ITC Avant Garde" w:hAnsi="ITC Avant Garde"/>
                <w:sz w:val="18"/>
                <w:szCs w:val="18"/>
              </w:rPr>
              <w:t>Lo anterior, con la finalidad de que este Instituto otorgue seguridad y certeza jurídica a los concesionarios de redes públicas de telecomunicaciones interesados en promover y sustanciar un procedimiento de desacuerdo en materia de interconexión a través de la Ventanilla Electrónica, en la impl</w:t>
            </w:r>
            <w:r>
              <w:rPr>
                <w:rFonts w:ascii="ITC Avant Garde" w:hAnsi="ITC Avant Garde"/>
                <w:sz w:val="18"/>
                <w:szCs w:val="18"/>
              </w:rPr>
              <w:t xml:space="preserve">ementación y utilización de las TIC </w:t>
            </w:r>
            <w:r w:rsidRPr="008047F9">
              <w:rPr>
                <w:rFonts w:ascii="ITC Avant Garde" w:hAnsi="ITC Avant Garde"/>
                <w:sz w:val="18"/>
                <w:szCs w:val="18"/>
              </w:rPr>
              <w:t>con el objetivo de incrementar la eficacia, la eficiencia, la seguridad jurídica, la claridad y la transparencia en la resolución optimizando con ello dicho procedimiento y disminuyendo con ello la carga administrativa de los concesionarios de redes públicas de telecomunicaciones interesados en promover desacuer</w:t>
            </w:r>
            <w:r w:rsidR="007C0CE3">
              <w:rPr>
                <w:rFonts w:ascii="ITC Avant Garde" w:hAnsi="ITC Avant Garde"/>
                <w:sz w:val="18"/>
                <w:szCs w:val="18"/>
              </w:rPr>
              <w:t>dos en materia de interconexión, de tal forma que las notificaciones que el Instituto realice durante la sustanciación de los desacuerdos de interconexión y las actuaciones que los concesionarios que forman parte de los desacuerdos de interconexión se realicen a través de la Ventanilla Electrónica.</w:t>
            </w:r>
          </w:p>
          <w:p w:rsidR="007C0CE3" w:rsidRDefault="007C0CE3" w:rsidP="00F03C70">
            <w:pPr>
              <w:jc w:val="both"/>
              <w:rPr>
                <w:rFonts w:ascii="ITC Avant Garde" w:hAnsi="ITC Avant Garde"/>
                <w:sz w:val="18"/>
                <w:szCs w:val="18"/>
              </w:rPr>
            </w:pPr>
          </w:p>
          <w:p w:rsidR="00F03C70" w:rsidRPr="00F03C70" w:rsidRDefault="008047F9" w:rsidP="00F03C70">
            <w:pPr>
              <w:jc w:val="both"/>
              <w:rPr>
                <w:rFonts w:ascii="ITC Avant Garde" w:hAnsi="ITC Avant Garde"/>
                <w:sz w:val="18"/>
                <w:szCs w:val="18"/>
              </w:rPr>
            </w:pPr>
            <w:r>
              <w:rPr>
                <w:rFonts w:ascii="ITC Avant Garde" w:hAnsi="ITC Avant Garde"/>
                <w:sz w:val="18"/>
                <w:szCs w:val="18"/>
              </w:rPr>
              <w:t xml:space="preserve">Asimismo, </w:t>
            </w:r>
            <w:r w:rsidR="00F03C70" w:rsidRPr="00F03C70">
              <w:rPr>
                <w:rFonts w:ascii="ITC Avant Garde" w:hAnsi="ITC Avant Garde"/>
                <w:sz w:val="18"/>
                <w:szCs w:val="18"/>
              </w:rPr>
              <w:t xml:space="preserve">el Instituto busca crear el andamiaje jurídico que permita la implementación y aplicación cierta y homologada de las </w:t>
            </w:r>
            <w:r w:rsidR="0029705B">
              <w:rPr>
                <w:rFonts w:ascii="ITC Avant Garde" w:hAnsi="ITC Avant Garde"/>
                <w:sz w:val="18"/>
                <w:szCs w:val="18"/>
              </w:rPr>
              <w:t>TIC</w:t>
            </w:r>
            <w:r w:rsidR="00F03C70" w:rsidRPr="00F03C70">
              <w:rPr>
                <w:rFonts w:ascii="ITC Avant Garde" w:hAnsi="ITC Avant Garde"/>
                <w:sz w:val="18"/>
                <w:szCs w:val="18"/>
              </w:rPr>
              <w:t>, en su funcionamiento como institución pública, para facilitar a los concesionarios de redes públicas de telecomunicaciones interesados en promover un desacuerdo en materia de interconexión la sustanciación del procedimiento a travé</w:t>
            </w:r>
            <w:r>
              <w:rPr>
                <w:rFonts w:ascii="ITC Avant Garde" w:hAnsi="ITC Avant Garde"/>
                <w:sz w:val="18"/>
                <w:szCs w:val="18"/>
              </w:rPr>
              <w:t xml:space="preserve">s de la Ventanilla Electrónica, es decir, </w:t>
            </w:r>
            <w:r w:rsidR="00F03C70" w:rsidRPr="00F03C70">
              <w:rPr>
                <w:rFonts w:ascii="ITC Avant Garde" w:hAnsi="ITC Avant Garde"/>
                <w:sz w:val="18"/>
                <w:szCs w:val="18"/>
              </w:rPr>
              <w:t>una plataforma electrónica que garantice el uso eficiente de los recur</w:t>
            </w:r>
            <w:r>
              <w:rPr>
                <w:rFonts w:ascii="ITC Avant Garde" w:hAnsi="ITC Avant Garde"/>
                <w:sz w:val="18"/>
                <w:szCs w:val="18"/>
              </w:rPr>
              <w:t xml:space="preserve">sos institucionales y privados </w:t>
            </w:r>
            <w:r w:rsidR="00F03C70" w:rsidRPr="00F03C70">
              <w:rPr>
                <w:rFonts w:ascii="ITC Avant Garde" w:hAnsi="ITC Avant Garde"/>
                <w:sz w:val="18"/>
                <w:szCs w:val="18"/>
              </w:rPr>
              <w:t>y</w:t>
            </w:r>
            <w:r>
              <w:rPr>
                <w:rFonts w:ascii="ITC Avant Garde" w:hAnsi="ITC Avant Garde"/>
                <w:sz w:val="18"/>
                <w:szCs w:val="18"/>
              </w:rPr>
              <w:t>,</w:t>
            </w:r>
            <w:r w:rsidR="00F03C70" w:rsidRPr="00F03C70">
              <w:rPr>
                <w:rFonts w:ascii="ITC Avant Garde" w:hAnsi="ITC Avant Garde"/>
                <w:sz w:val="18"/>
                <w:szCs w:val="18"/>
              </w:rPr>
              <w:t xml:space="preserve"> así cumplir no solo con los objetivos de la política de mejora regulatoria, si no con la necesidad imperante del uso de las TIC</w:t>
            </w:r>
            <w:r>
              <w:rPr>
                <w:rFonts w:ascii="ITC Avant Garde" w:hAnsi="ITC Avant Garde"/>
                <w:sz w:val="18"/>
                <w:szCs w:val="18"/>
              </w:rPr>
              <w:t>, por ende</w:t>
            </w:r>
            <w:r w:rsidR="00F03C70" w:rsidRPr="00F03C70">
              <w:rPr>
                <w:rFonts w:ascii="ITC Avant Garde" w:hAnsi="ITC Avant Garde"/>
                <w:sz w:val="18"/>
                <w:szCs w:val="18"/>
              </w:rPr>
              <w:t>, la emisión de los mismos forma parte del proceso evolutivo de Gobierno Electrónico que este Instituto está llevando a cabo.</w:t>
            </w:r>
          </w:p>
          <w:p w:rsidR="00F0449E" w:rsidRPr="00DD06A0" w:rsidRDefault="00F0449E" w:rsidP="00FB1006">
            <w:pPr>
              <w:shd w:val="clear" w:color="auto" w:fill="FFFFFF" w:themeFill="background1"/>
              <w:jc w:val="both"/>
              <w:rPr>
                <w:rFonts w:ascii="ITC Avant Garde" w:hAnsi="ITC Avant Garde"/>
                <w:sz w:val="18"/>
                <w:szCs w:val="18"/>
              </w:rPr>
            </w:pPr>
          </w:p>
        </w:tc>
      </w:tr>
    </w:tbl>
    <w:p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225DA6">
        <w:tc>
          <w:tcPr>
            <w:tcW w:w="8828" w:type="dxa"/>
          </w:tcPr>
          <w:p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rsidTr="00972415">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rsidTr="00972415">
              <w:tc>
                <w:tcPr>
                  <w:tcW w:w="4301" w:type="dxa"/>
                  <w:shd w:val="clear" w:color="auto" w:fill="E2EFD9" w:themeFill="accent6" w:themeFillTint="33"/>
                </w:tcPr>
                <w:p w:rsidR="00972415" w:rsidRPr="00090C98" w:rsidRDefault="00135251" w:rsidP="00972415">
                  <w:pPr>
                    <w:jc w:val="both"/>
                    <w:rPr>
                      <w:rFonts w:ascii="ITC Avant Garde" w:hAnsi="ITC Avant Garde"/>
                      <w:b/>
                      <w:sz w:val="18"/>
                      <w:szCs w:val="18"/>
                    </w:rPr>
                  </w:pPr>
                  <w:r>
                    <w:rPr>
                      <w:rFonts w:ascii="ITC Avant Garde" w:hAnsi="ITC Avant Garde"/>
                      <w:b/>
                      <w:sz w:val="18"/>
                      <w:szCs w:val="18"/>
                    </w:rPr>
                    <w:t xml:space="preserve">AEP en el sector de telecomunicaciones </w:t>
                  </w:r>
                </w:p>
              </w:tc>
              <w:tc>
                <w:tcPr>
                  <w:tcW w:w="4301" w:type="dxa"/>
                  <w:shd w:val="clear" w:color="auto" w:fill="E2EFD9" w:themeFill="accent6" w:themeFillTint="33"/>
                </w:tcPr>
                <w:p w:rsidR="00972415" w:rsidRPr="00090C98" w:rsidRDefault="00135251" w:rsidP="00135251">
                  <w:pPr>
                    <w:jc w:val="both"/>
                    <w:rPr>
                      <w:rFonts w:ascii="ITC Avant Garde" w:hAnsi="ITC Avant Garde"/>
                      <w:b/>
                      <w:sz w:val="18"/>
                      <w:szCs w:val="18"/>
                    </w:rPr>
                  </w:pPr>
                  <w:r>
                    <w:rPr>
                      <w:rFonts w:ascii="ITC Avant Garde" w:hAnsi="ITC Avant Garde"/>
                      <w:b/>
                      <w:sz w:val="18"/>
                      <w:szCs w:val="18"/>
                    </w:rPr>
                    <w:t>Uno</w:t>
                  </w:r>
                </w:p>
              </w:tc>
            </w:tr>
            <w:tr w:rsidR="00972415" w:rsidRPr="00DD06A0" w:rsidTr="00972415">
              <w:tc>
                <w:tcPr>
                  <w:tcW w:w="4301" w:type="dxa"/>
                  <w:shd w:val="clear" w:color="auto" w:fill="E2EFD9" w:themeFill="accent6" w:themeFillTint="33"/>
                </w:tcPr>
                <w:p w:rsidR="00972415" w:rsidRPr="00090C98" w:rsidRDefault="00D06814" w:rsidP="00972415">
                  <w:pPr>
                    <w:jc w:val="both"/>
                    <w:rPr>
                      <w:rFonts w:ascii="ITC Avant Garde" w:hAnsi="ITC Avant Garde"/>
                      <w:b/>
                      <w:sz w:val="18"/>
                      <w:szCs w:val="18"/>
                    </w:rPr>
                  </w:pPr>
                  <w:r>
                    <w:rPr>
                      <w:rFonts w:ascii="ITC Avant Garde" w:hAnsi="ITC Avant Garde"/>
                      <w:b/>
                      <w:sz w:val="18"/>
                      <w:szCs w:val="18"/>
                    </w:rPr>
                    <w:t xml:space="preserve">AEPSM en el sector de telecomunicaciones </w:t>
                  </w:r>
                </w:p>
              </w:tc>
              <w:tc>
                <w:tcPr>
                  <w:tcW w:w="4301" w:type="dxa"/>
                  <w:shd w:val="clear" w:color="auto" w:fill="E2EFD9" w:themeFill="accent6" w:themeFillTint="33"/>
                </w:tcPr>
                <w:p w:rsidR="00972415" w:rsidRPr="00090C98" w:rsidRDefault="00D06814" w:rsidP="00972415">
                  <w:pPr>
                    <w:jc w:val="both"/>
                    <w:rPr>
                      <w:rFonts w:ascii="ITC Avant Garde" w:hAnsi="ITC Avant Garde"/>
                      <w:b/>
                      <w:sz w:val="18"/>
                      <w:szCs w:val="18"/>
                    </w:rPr>
                  </w:pPr>
                  <w:r>
                    <w:rPr>
                      <w:rFonts w:ascii="ITC Avant Garde" w:hAnsi="ITC Avant Garde"/>
                      <w:b/>
                      <w:sz w:val="18"/>
                      <w:szCs w:val="18"/>
                    </w:rPr>
                    <w:t>A la fecha no hay, sin embargo, depende de las determinaciones que en el futuro podría tomar el Instituto.</w:t>
                  </w:r>
                </w:p>
              </w:tc>
            </w:tr>
          </w:tbl>
          <w:tbl>
            <w:tblPr>
              <w:tblStyle w:val="Tablaconcuadrcula"/>
              <w:tblW w:w="0" w:type="auto"/>
              <w:tblLook w:val="04A0" w:firstRow="1" w:lastRow="0" w:firstColumn="1" w:lastColumn="0" w:noHBand="0" w:noVBand="1"/>
            </w:tblPr>
            <w:tblGrid>
              <w:gridCol w:w="8602"/>
            </w:tblGrid>
            <w:tr w:rsidR="00063915" w:rsidRPr="002E1E10" w:rsidTr="00081B87">
              <w:tc>
                <w:tcPr>
                  <w:tcW w:w="8602" w:type="dxa"/>
                  <w:shd w:val="clear" w:color="auto" w:fill="A8D08D"/>
                </w:tcPr>
                <w:p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rsidTr="00081B87">
              <w:tc>
                <w:tcPr>
                  <w:tcW w:w="8602" w:type="dxa"/>
                  <w:shd w:val="clear" w:color="auto" w:fill="E2EFD9"/>
                </w:tcPr>
                <w:p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517210 Operadores de servicios de telecomunicaciones inalámbricas</w:t>
                  </w:r>
                  <w:r w:rsidR="006C104B">
                    <w:rPr>
                      <w:rFonts w:ascii="ITC Avant Garde" w:eastAsia="Calibri" w:hAnsi="ITC Avant Garde" w:cs="Times New Roman"/>
                      <w:sz w:val="18"/>
                      <w:szCs w:val="18"/>
                    </w:rPr>
                    <w:t xml:space="preserve"> </w:t>
                  </w:r>
                </w:p>
              </w:tc>
            </w:tr>
          </w:tbl>
          <w:p w:rsidR="002025CB" w:rsidRPr="00DD06A0" w:rsidRDefault="002025CB" w:rsidP="00225DA6">
            <w:pPr>
              <w:jc w:val="both"/>
              <w:rPr>
                <w:rFonts w:ascii="ITC Avant Garde" w:hAnsi="ITC Avant Garde"/>
                <w:b/>
                <w:sz w:val="18"/>
                <w:szCs w:val="18"/>
              </w:rPr>
            </w:pPr>
          </w:p>
        </w:tc>
      </w:tr>
    </w:tbl>
    <w:p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rsidTr="003C3084">
        <w:tc>
          <w:tcPr>
            <w:tcW w:w="8828" w:type="dxa"/>
          </w:tcPr>
          <w:p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3C3084" w:rsidRPr="00DD06A0" w:rsidRDefault="003C3084" w:rsidP="001932FC">
            <w:pPr>
              <w:jc w:val="both"/>
              <w:rPr>
                <w:rFonts w:ascii="ITC Avant Garde" w:hAnsi="ITC Avant Garde"/>
                <w:sz w:val="18"/>
                <w:szCs w:val="18"/>
              </w:rPr>
            </w:pPr>
          </w:p>
          <w:p w:rsidR="007A0AC3" w:rsidRDefault="007A0AC3" w:rsidP="0031086E">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 xml:space="preserve">El proyecto de regulación propuesto, encuentra su fundamento en lo </w:t>
            </w:r>
            <w:r w:rsidRPr="007A0AC3">
              <w:rPr>
                <w:rFonts w:ascii="ITC Avant Garde" w:hAnsi="ITC Avant Garde"/>
                <w:sz w:val="18"/>
                <w:szCs w:val="18"/>
              </w:rPr>
              <w:t xml:space="preserve">previsto </w:t>
            </w:r>
            <w:r>
              <w:rPr>
                <w:rFonts w:ascii="ITC Avant Garde" w:hAnsi="ITC Avant Garde"/>
                <w:sz w:val="18"/>
                <w:szCs w:val="18"/>
              </w:rPr>
              <w:t xml:space="preserve">por </w:t>
            </w:r>
            <w:r w:rsidRPr="007A0AC3">
              <w:rPr>
                <w:rFonts w:ascii="ITC Avant Garde" w:hAnsi="ITC Avant Garde"/>
                <w:sz w:val="18"/>
                <w:szCs w:val="18"/>
              </w:rPr>
              <w:t xml:space="preserve">los artículos 15, fracciones IX, X, LII y LVI y 129 de la LFTR, </w:t>
            </w:r>
            <w:r>
              <w:rPr>
                <w:rFonts w:ascii="ITC Avant Garde" w:hAnsi="ITC Avant Garde"/>
                <w:sz w:val="18"/>
                <w:szCs w:val="18"/>
              </w:rPr>
              <w:t xml:space="preserve">en los que se prevé que </w:t>
            </w:r>
            <w:r w:rsidRPr="007A0AC3">
              <w:rPr>
                <w:rFonts w:ascii="ITC Avant Garde" w:hAnsi="ITC Avant Garde"/>
                <w:sz w:val="18"/>
                <w:szCs w:val="18"/>
              </w:rPr>
              <w:t>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rsidR="007A0AC3" w:rsidRDefault="007A0AC3" w:rsidP="0031086E">
            <w:pPr>
              <w:shd w:val="clear" w:color="auto" w:fill="FFFFFF" w:themeFill="background1"/>
              <w:jc w:val="both"/>
              <w:rPr>
                <w:rFonts w:ascii="ITC Avant Garde" w:hAnsi="ITC Avant Garde"/>
                <w:sz w:val="18"/>
                <w:szCs w:val="18"/>
              </w:rPr>
            </w:pPr>
          </w:p>
          <w:p w:rsidR="007A0AC3" w:rsidRDefault="007A0AC3" w:rsidP="007A0AC3">
            <w:pPr>
              <w:shd w:val="clear" w:color="auto" w:fill="FFFFFF" w:themeFill="background1"/>
              <w:jc w:val="both"/>
              <w:rPr>
                <w:rFonts w:ascii="ITC Avant Garde" w:hAnsi="ITC Avant Garde"/>
                <w:sz w:val="18"/>
                <w:szCs w:val="18"/>
              </w:rPr>
            </w:pPr>
            <w:r w:rsidRPr="007A0AC3">
              <w:rPr>
                <w:rFonts w:ascii="ITC Avant Garde" w:hAnsi="ITC Avant Garde"/>
                <w:sz w:val="18"/>
                <w:szCs w:val="18"/>
              </w:rPr>
              <w:t>Asimismo, con el objeto de otorgar certeza jurídica a los concesionarios que deseen interconectar sus redes, establece en el artículo 129 el procedimiento que regula los plazos y supuestos en los que se deben tramitar los desacuerdos entre concesionarios que no lleguen a convenir los términos, condiciones y tarifas en materia de interconexión.</w:t>
            </w:r>
          </w:p>
          <w:p w:rsidR="007C0CE3" w:rsidRDefault="007C0CE3" w:rsidP="0031086E">
            <w:pPr>
              <w:shd w:val="clear" w:color="auto" w:fill="FFFFFF" w:themeFill="background1"/>
              <w:jc w:val="both"/>
              <w:rPr>
                <w:rFonts w:ascii="ITC Avant Garde" w:hAnsi="ITC Avant Garde"/>
                <w:sz w:val="18"/>
                <w:szCs w:val="18"/>
              </w:rPr>
            </w:pPr>
          </w:p>
          <w:p w:rsidR="007C0CE3" w:rsidRPr="007C0CE3" w:rsidRDefault="007C0CE3" w:rsidP="007C0CE3">
            <w:pPr>
              <w:shd w:val="clear" w:color="auto" w:fill="FFFFFF" w:themeFill="background1"/>
              <w:jc w:val="both"/>
              <w:rPr>
                <w:rFonts w:ascii="ITC Avant Garde" w:hAnsi="ITC Avant Garde"/>
                <w:sz w:val="18"/>
                <w:szCs w:val="18"/>
              </w:rPr>
            </w:pPr>
            <w:r w:rsidRPr="007C0CE3">
              <w:rPr>
                <w:rFonts w:ascii="ITC Avant Garde" w:hAnsi="ITC Avant Garde"/>
                <w:sz w:val="18"/>
                <w:szCs w:val="18"/>
              </w:rPr>
              <w:t>Las fracciones IV y IX, del párrafo vigésimo del artículo 28 de la Constitución Política de los Estados Unidos Mexi</w:t>
            </w:r>
            <w:r>
              <w:rPr>
                <w:rFonts w:ascii="ITC Avant Garde" w:hAnsi="ITC Avant Garde"/>
                <w:sz w:val="18"/>
                <w:szCs w:val="18"/>
              </w:rPr>
              <w:t>canos (Constitución) establecen que el Instituto podrá emitir disposiciones administrativas de carácter general exclusivamente para el cumplimiento de su función regulatoria en el ámbito de su competencia y que las leyes promoverán para el Instituto la transparencia gubernamental bajo principios de gobierno digital y datos abiertos.</w:t>
            </w:r>
          </w:p>
          <w:p w:rsidR="007C0CE3" w:rsidRDefault="007C0CE3" w:rsidP="007C0CE3">
            <w:pPr>
              <w:pStyle w:val="Default"/>
              <w:jc w:val="both"/>
              <w:rPr>
                <w:rFonts w:ascii="ITC Avant Garde" w:hAnsi="ITC Avant Garde"/>
                <w:bCs/>
                <w:sz w:val="20"/>
                <w:szCs w:val="20"/>
              </w:rPr>
            </w:pPr>
          </w:p>
          <w:p w:rsidR="007C0CE3" w:rsidRPr="005370A8" w:rsidRDefault="006B142A" w:rsidP="0031086E">
            <w:pPr>
              <w:shd w:val="clear" w:color="auto" w:fill="FFFFFF" w:themeFill="background1"/>
              <w:jc w:val="both"/>
              <w:rPr>
                <w:rFonts w:ascii="ITC Avant Garde" w:hAnsi="ITC Avant Garde" w:cs="Arial"/>
                <w:sz w:val="20"/>
                <w:szCs w:val="20"/>
              </w:rPr>
            </w:pPr>
            <w:r>
              <w:rPr>
                <w:rFonts w:ascii="ITC Avant Garde" w:hAnsi="ITC Avant Garde"/>
                <w:sz w:val="18"/>
                <w:szCs w:val="18"/>
              </w:rPr>
              <w:t>Además, l</w:t>
            </w:r>
            <w:r w:rsidR="007C0CE3" w:rsidRPr="006B142A">
              <w:rPr>
                <w:rFonts w:ascii="ITC Avant Garde" w:hAnsi="ITC Avant Garde"/>
                <w:sz w:val="18"/>
                <w:szCs w:val="18"/>
              </w:rPr>
              <w:t>a LFTR prevé para el ej</w:t>
            </w:r>
            <w:r w:rsidR="005370A8">
              <w:rPr>
                <w:rFonts w:ascii="ITC Avant Garde" w:hAnsi="ITC Avant Garde"/>
                <w:sz w:val="18"/>
                <w:szCs w:val="18"/>
              </w:rPr>
              <w:t>ercicio de las atribuciones de</w:t>
            </w:r>
            <w:r w:rsidR="007C0CE3" w:rsidRPr="006B142A">
              <w:rPr>
                <w:rFonts w:ascii="ITC Avant Garde" w:hAnsi="ITC Avant Garde"/>
                <w:sz w:val="18"/>
                <w:szCs w:val="18"/>
              </w:rPr>
              <w:t>l Instituto, la facultad de emitir disposiciones administrativas de carácter general, así como para establecer mecanismos para sustanciar los procedimientos de su competencia a través de tecnologías de</w:t>
            </w:r>
            <w:r w:rsidR="005370A8">
              <w:rPr>
                <w:rFonts w:ascii="ITC Avant Garde" w:hAnsi="ITC Avant Garde"/>
                <w:sz w:val="18"/>
                <w:szCs w:val="18"/>
              </w:rPr>
              <w:t xml:space="preserve"> la información y comunicación.</w:t>
            </w:r>
          </w:p>
          <w:p w:rsidR="007C0CE3" w:rsidRDefault="007C0CE3" w:rsidP="0031086E">
            <w:pPr>
              <w:shd w:val="clear" w:color="auto" w:fill="FFFFFF" w:themeFill="background1"/>
              <w:jc w:val="both"/>
              <w:rPr>
                <w:rFonts w:ascii="ITC Avant Garde" w:hAnsi="ITC Avant Garde"/>
                <w:sz w:val="18"/>
                <w:szCs w:val="18"/>
              </w:rPr>
            </w:pPr>
          </w:p>
          <w:p w:rsidR="007A0AC3" w:rsidRDefault="005370A8" w:rsidP="0031086E">
            <w:pPr>
              <w:shd w:val="clear" w:color="auto" w:fill="FFFFFF" w:themeFill="background1"/>
              <w:jc w:val="both"/>
              <w:rPr>
                <w:rFonts w:ascii="ITC Avant Garde" w:hAnsi="ITC Avant Garde"/>
                <w:sz w:val="18"/>
                <w:szCs w:val="18"/>
              </w:rPr>
            </w:pPr>
            <w:r>
              <w:rPr>
                <w:rFonts w:ascii="ITC Avant Garde" w:hAnsi="ITC Avant Garde"/>
                <w:sz w:val="18"/>
                <w:szCs w:val="18"/>
              </w:rPr>
              <w:t>Es así que</w:t>
            </w:r>
            <w:r w:rsidR="007A0AC3" w:rsidRPr="007A0AC3">
              <w:rPr>
                <w:rFonts w:ascii="ITC Avant Garde" w:hAnsi="ITC Avant Garde"/>
                <w:sz w:val="18"/>
                <w:szCs w:val="18"/>
              </w:rPr>
              <w:t>, el Pleno del Instituto podrá emitir disposiciones, lineamientos o resoluciones en materia de interoperabilidad e interconexión de las redes públicas de telecomunicaciones, a efecto de asegurar la libre competencia y concurrencia en el mercado y, en ese sentido, aprobar y expedir las disposiciones administrativas de carácter general necesarias para el debido ejercicio de sus facultades y atribuciones, así como establecer los mecanismos para que los procedimientos de su competencia se puedan sustanciar por medio de las tecnologías de la información y comunicación.</w:t>
            </w:r>
          </w:p>
          <w:p w:rsidR="007A0AC3" w:rsidRDefault="007A0AC3" w:rsidP="0031086E">
            <w:pPr>
              <w:shd w:val="clear" w:color="auto" w:fill="FFFFFF" w:themeFill="background1"/>
              <w:jc w:val="both"/>
              <w:rPr>
                <w:rFonts w:ascii="ITC Avant Garde" w:hAnsi="ITC Avant Garde"/>
                <w:sz w:val="18"/>
                <w:szCs w:val="18"/>
              </w:rPr>
            </w:pPr>
          </w:p>
          <w:p w:rsidR="00B25772" w:rsidRDefault="00B25772" w:rsidP="0031086E">
            <w:pPr>
              <w:shd w:val="clear" w:color="auto" w:fill="FFFFFF" w:themeFill="background1"/>
              <w:jc w:val="both"/>
              <w:rPr>
                <w:rFonts w:ascii="ITC Avant Garde" w:hAnsi="ITC Avant Garde"/>
                <w:sz w:val="18"/>
                <w:szCs w:val="18"/>
              </w:rPr>
            </w:pPr>
            <w:r>
              <w:rPr>
                <w:rFonts w:ascii="ITC Avant Garde" w:hAnsi="ITC Avant Garde"/>
                <w:sz w:val="18"/>
                <w:szCs w:val="18"/>
              </w:rPr>
              <w:t>Finalmente, debe señalarse que el Proyecto de regulación, no sustituye ni modifica otro instrumento regulatorio vigente.</w:t>
            </w:r>
          </w:p>
          <w:p w:rsidR="003C3084" w:rsidRPr="00DD06A0" w:rsidRDefault="003C3084" w:rsidP="0031086E">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p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rsidTr="00225DA6">
        <w:tc>
          <w:tcPr>
            <w:tcW w:w="8828" w:type="dxa"/>
          </w:tcPr>
          <w:p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rsidR="003C3084" w:rsidRDefault="003C3084" w:rsidP="00225DA6">
            <w:pPr>
              <w:jc w:val="both"/>
              <w:rPr>
                <w:rFonts w:ascii="ITC Avant Garde" w:hAnsi="ITC Avant Garde"/>
                <w:sz w:val="18"/>
                <w:szCs w:val="18"/>
              </w:rPr>
            </w:pPr>
            <w:r w:rsidRPr="00090C98">
              <w:rPr>
                <w:rFonts w:ascii="ITC Avant Garde" w:hAnsi="ITC Avant Garde"/>
                <w:sz w:val="18"/>
                <w:szCs w:val="18"/>
              </w:rPr>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rsidR="00EA79E1" w:rsidRDefault="00EA79E1"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rsidTr="00CE2F13">
              <w:tc>
                <w:tcPr>
                  <w:tcW w:w="1562" w:type="dxa"/>
                  <w:tcBorders>
                    <w:bottom w:val="single" w:sz="4" w:space="0" w:color="auto"/>
                  </w:tcBorders>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rsidTr="004217AB">
              <w:trPr>
                <w:trHeight w:val="1726"/>
              </w:trPr>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40E1" w:rsidRPr="00EF60BA" w:rsidRDefault="00FF41DD" w:rsidP="00225DA6">
                      <w:pPr>
                        <w:rPr>
                          <w:rFonts w:ascii="ITC Avant Garde" w:hAnsi="ITC Avant Garde"/>
                          <w:i/>
                          <w:sz w:val="18"/>
                          <w:szCs w:val="18"/>
                        </w:rPr>
                      </w:pPr>
                      <w:r>
                        <w:rPr>
                          <w:rFonts w:ascii="ITC Avant Garde" w:hAnsi="ITC Avant Garde"/>
                          <w:i/>
                          <w:sz w:val="18"/>
                          <w:szCs w:val="18"/>
                        </w:rPr>
                        <w:t>Alternativa cero (largo plazo)</w:t>
                      </w:r>
                    </w:p>
                  </w:tc>
                </w:sdtContent>
              </w:sdt>
              <w:tc>
                <w:tcPr>
                  <w:tcW w:w="2037" w:type="dxa"/>
                  <w:tcBorders>
                    <w:left w:val="single" w:sz="4" w:space="0" w:color="auto"/>
                  </w:tcBorders>
                </w:tcPr>
                <w:p w:rsidR="007140E1" w:rsidRDefault="00FF41DD" w:rsidP="00165E2B">
                  <w:pPr>
                    <w:jc w:val="both"/>
                    <w:rPr>
                      <w:rFonts w:ascii="ITC Avant Garde" w:hAnsi="ITC Avant Garde"/>
                      <w:sz w:val="18"/>
                      <w:szCs w:val="18"/>
                    </w:rPr>
                  </w:pPr>
                  <w:r>
                    <w:rPr>
                      <w:rFonts w:ascii="ITC Avant Garde" w:hAnsi="ITC Avant Garde"/>
                      <w:sz w:val="18"/>
                      <w:szCs w:val="18"/>
                    </w:rPr>
                    <w:t xml:space="preserve">El Instituto sustanciará los procedimientos de Solicitud de Resolución de desacuerdos de interconexión en los términos en los que </w:t>
                  </w:r>
                  <w:r>
                    <w:rPr>
                      <w:rFonts w:ascii="ITC Avant Garde" w:hAnsi="ITC Avant Garde"/>
                      <w:sz w:val="18"/>
                      <w:szCs w:val="18"/>
                    </w:rPr>
                    <w:lastRenderedPageBreak/>
                    <w:t>lo ha realizado hasta la actualidad, requiriendo necesariamente de actuaciones presenciales por parte de dichos concesionarios y de los servidores públicos del Instituto.</w:t>
                  </w:r>
                </w:p>
                <w:p w:rsidR="00165E2B" w:rsidRPr="00DD06A0" w:rsidRDefault="00165E2B" w:rsidP="00165E2B">
                  <w:pPr>
                    <w:jc w:val="both"/>
                    <w:rPr>
                      <w:rFonts w:ascii="ITC Avant Garde" w:hAnsi="ITC Avant Garde"/>
                      <w:sz w:val="18"/>
                      <w:szCs w:val="18"/>
                    </w:rPr>
                  </w:pPr>
                </w:p>
              </w:tc>
              <w:tc>
                <w:tcPr>
                  <w:tcW w:w="2648" w:type="dxa"/>
                </w:tcPr>
                <w:p w:rsidR="007140E1" w:rsidRPr="00DD06A0" w:rsidRDefault="00165E2B" w:rsidP="00165E2B">
                  <w:pPr>
                    <w:jc w:val="both"/>
                    <w:rPr>
                      <w:rFonts w:ascii="ITC Avant Garde" w:hAnsi="ITC Avant Garde"/>
                      <w:sz w:val="18"/>
                      <w:szCs w:val="18"/>
                    </w:rPr>
                  </w:pPr>
                  <w:r>
                    <w:rPr>
                      <w:rFonts w:ascii="ITC Avant Garde" w:hAnsi="ITC Avant Garde"/>
                      <w:sz w:val="18"/>
                      <w:szCs w:val="18"/>
                    </w:rPr>
                    <w:lastRenderedPageBreak/>
                    <w:t>Se mantiene</w:t>
                  </w:r>
                  <w:r w:rsidR="00616FA4">
                    <w:rPr>
                      <w:rFonts w:ascii="ITC Avant Garde" w:hAnsi="ITC Avant Garde"/>
                      <w:sz w:val="18"/>
                      <w:szCs w:val="18"/>
                    </w:rPr>
                    <w:t>n los costos y</w:t>
                  </w:r>
                  <w:r>
                    <w:rPr>
                      <w:rFonts w:ascii="ITC Avant Garde" w:hAnsi="ITC Avant Garde"/>
                      <w:sz w:val="18"/>
                      <w:szCs w:val="18"/>
                    </w:rPr>
                    <w:t xml:space="preserve"> la dinámica de interacción que hasta el momento se ha llevado entre los concesionarios involucrados en algún desacuerdo de interconexión y el Instituto</w:t>
                  </w:r>
                  <w:r w:rsidR="001627EA">
                    <w:rPr>
                      <w:rFonts w:ascii="ITC Avant Garde" w:hAnsi="ITC Avant Garde"/>
                      <w:sz w:val="18"/>
                      <w:szCs w:val="18"/>
                    </w:rPr>
                    <w:t>.</w:t>
                  </w:r>
                </w:p>
              </w:tc>
              <w:tc>
                <w:tcPr>
                  <w:tcW w:w="2355" w:type="dxa"/>
                </w:tcPr>
                <w:p w:rsidR="00165E2B" w:rsidRDefault="00165E2B" w:rsidP="005F1F0C">
                  <w:pPr>
                    <w:jc w:val="both"/>
                    <w:rPr>
                      <w:rFonts w:ascii="ITC Avant Garde" w:hAnsi="ITC Avant Garde"/>
                      <w:sz w:val="18"/>
                      <w:szCs w:val="18"/>
                    </w:rPr>
                  </w:pPr>
                  <w:r>
                    <w:rPr>
                      <w:rFonts w:ascii="ITC Avant Garde" w:hAnsi="ITC Avant Garde"/>
                      <w:sz w:val="18"/>
                      <w:szCs w:val="18"/>
                    </w:rPr>
                    <w:t xml:space="preserve">Se mantiene la carga administrativa y utilización de recursos tanto económicos como humanos de las partes involucradas en los desacuerdos de interconexión, tanto de </w:t>
                  </w:r>
                  <w:r>
                    <w:rPr>
                      <w:rFonts w:ascii="ITC Avant Garde" w:hAnsi="ITC Avant Garde"/>
                      <w:sz w:val="18"/>
                      <w:szCs w:val="18"/>
                    </w:rPr>
                    <w:lastRenderedPageBreak/>
                    <w:t xml:space="preserve">los concesionarios como del Instituto. </w:t>
                  </w:r>
                </w:p>
                <w:p w:rsidR="00165E2B" w:rsidRDefault="00165E2B" w:rsidP="005F1F0C">
                  <w:pPr>
                    <w:jc w:val="both"/>
                    <w:rPr>
                      <w:rFonts w:ascii="ITC Avant Garde" w:hAnsi="ITC Avant Garde"/>
                      <w:sz w:val="18"/>
                      <w:szCs w:val="18"/>
                    </w:rPr>
                  </w:pPr>
                </w:p>
                <w:p w:rsidR="00165E2B" w:rsidRDefault="00165E2B" w:rsidP="005F1F0C">
                  <w:pPr>
                    <w:jc w:val="both"/>
                    <w:rPr>
                      <w:rFonts w:ascii="ITC Avant Garde" w:hAnsi="ITC Avant Garde"/>
                      <w:sz w:val="18"/>
                      <w:szCs w:val="18"/>
                    </w:rPr>
                  </w:pPr>
                  <w:r>
                    <w:rPr>
                      <w:rFonts w:ascii="ITC Avant Garde" w:hAnsi="ITC Avant Garde"/>
                      <w:sz w:val="18"/>
                      <w:szCs w:val="18"/>
                    </w:rPr>
                    <w:t xml:space="preserve">No se transita a un sistema de Gobierno Abierto o Electrónico, que permita implementar, </w:t>
                  </w:r>
                  <w:r w:rsidRPr="00165E2B">
                    <w:rPr>
                      <w:rFonts w:ascii="ITC Avant Garde" w:hAnsi="ITC Avant Garde"/>
                      <w:sz w:val="18"/>
                      <w:szCs w:val="18"/>
                    </w:rPr>
                    <w:t>en términos de eficiencia, eficacia y costo beneficio,</w:t>
                  </w:r>
                  <w:r w:rsidR="005370A8">
                    <w:rPr>
                      <w:rFonts w:ascii="ITC Avant Garde" w:hAnsi="ITC Avant Garde"/>
                      <w:sz w:val="18"/>
                      <w:szCs w:val="18"/>
                    </w:rPr>
                    <w:t xml:space="preserve"> el uso de las TIC.</w:t>
                  </w:r>
                </w:p>
                <w:p w:rsidR="00AA63CA" w:rsidRPr="00DD06A0" w:rsidRDefault="00AA63CA" w:rsidP="00165E2B">
                  <w:pPr>
                    <w:jc w:val="both"/>
                    <w:rPr>
                      <w:rFonts w:ascii="ITC Avant Garde" w:hAnsi="ITC Avant Garde"/>
                      <w:sz w:val="18"/>
                      <w:szCs w:val="18"/>
                    </w:rPr>
                  </w:pPr>
                </w:p>
              </w:tc>
            </w:tr>
            <w:tr w:rsidR="00790373" w:rsidRPr="00DD06A0"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90373" w:rsidRPr="00EF60BA" w:rsidRDefault="00616FA4" w:rsidP="00790373">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rsidR="00790373" w:rsidRPr="00DD06A0" w:rsidRDefault="00616FA4" w:rsidP="004217AB">
                  <w:pPr>
                    <w:jc w:val="both"/>
                    <w:rPr>
                      <w:rFonts w:ascii="ITC Avant Garde" w:hAnsi="ITC Avant Garde"/>
                      <w:sz w:val="18"/>
                      <w:szCs w:val="18"/>
                    </w:rPr>
                  </w:pPr>
                  <w:r>
                    <w:rPr>
                      <w:rFonts w:ascii="ITC Avant Garde" w:hAnsi="ITC Avant Garde"/>
                      <w:sz w:val="18"/>
                      <w:szCs w:val="18"/>
                    </w:rPr>
                    <w:t>Implementación de un sistema electrónico que sea exclusivo para atender las solicitudes de resolución de desacuerdos de interconexión</w:t>
                  </w:r>
                </w:p>
              </w:tc>
              <w:tc>
                <w:tcPr>
                  <w:tcW w:w="2648" w:type="dxa"/>
                </w:tcPr>
                <w:p w:rsidR="00790373" w:rsidRPr="00DD06A0" w:rsidRDefault="001627EA" w:rsidP="004217AB">
                  <w:pPr>
                    <w:jc w:val="both"/>
                    <w:rPr>
                      <w:rFonts w:ascii="ITC Avant Garde" w:hAnsi="ITC Avant Garde"/>
                      <w:sz w:val="18"/>
                      <w:szCs w:val="18"/>
                    </w:rPr>
                  </w:pPr>
                  <w:r>
                    <w:rPr>
                      <w:rFonts w:ascii="ITC Avant Garde" w:hAnsi="ITC Avant Garde"/>
                      <w:sz w:val="18"/>
                      <w:szCs w:val="18"/>
                    </w:rPr>
                    <w:t>Tener un sistema exclusivamente para la sustanciación de la Solicitud de resolución de desacuerdos de interconexión.</w:t>
                  </w:r>
                </w:p>
              </w:tc>
              <w:tc>
                <w:tcPr>
                  <w:tcW w:w="2355" w:type="dxa"/>
                </w:tcPr>
                <w:p w:rsidR="00790373" w:rsidRPr="00DD06A0" w:rsidRDefault="001627EA" w:rsidP="004217AB">
                  <w:pPr>
                    <w:jc w:val="both"/>
                    <w:rPr>
                      <w:rFonts w:ascii="ITC Avant Garde" w:hAnsi="ITC Avant Garde"/>
                      <w:sz w:val="18"/>
                      <w:szCs w:val="18"/>
                    </w:rPr>
                  </w:pPr>
                  <w:r>
                    <w:rPr>
                      <w:rFonts w:ascii="ITC Avant Garde" w:hAnsi="ITC Avant Garde"/>
                      <w:sz w:val="18"/>
                      <w:szCs w:val="18"/>
                    </w:rPr>
                    <w:t xml:space="preserve">Se requeriría de recursos humanos y financieros para desarrollar e implementar un nuevo sistema electrónico, circunstancia que implicaría el desaprovechamiento de la plataforma tecnológica ya habilitada por el Instituto, como lo es, la Ventanilla Electrónica. </w:t>
                  </w:r>
                </w:p>
              </w:tc>
            </w:tr>
            <w:tr w:rsidR="00790373" w:rsidRPr="00DD06A0" w:rsidTr="00CE2F13">
              <w:sdt>
                <w:sdtPr>
                  <w:rPr>
                    <w:rFonts w:ascii="ITC Avant Garde" w:hAnsi="ITC Avant Garde"/>
                    <w:i/>
                    <w:sz w:val="18"/>
                    <w:szCs w:val="18"/>
                  </w:rPr>
                  <w:alias w:val="Alternativa evaluada"/>
                  <w:tag w:val="Alternativa evaluada"/>
                  <w:id w:val="-1278097759"/>
                  <w:placeholder>
                    <w:docPart w:val="4EEE2612CF1041A4977B42CAC5441D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90373" w:rsidRPr="00EF60BA" w:rsidRDefault="007434CD" w:rsidP="00790373">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rsidR="00790373" w:rsidRPr="00DD06A0" w:rsidRDefault="007434CD" w:rsidP="004217AB">
                  <w:pPr>
                    <w:jc w:val="both"/>
                    <w:rPr>
                      <w:rFonts w:ascii="ITC Avant Garde" w:hAnsi="ITC Avant Garde"/>
                      <w:sz w:val="18"/>
                      <w:szCs w:val="18"/>
                    </w:rPr>
                  </w:pPr>
                  <w:r w:rsidRPr="007434CD">
                    <w:rPr>
                      <w:rFonts w:ascii="ITC Avant Garde" w:hAnsi="ITC Avant Garde"/>
                      <w:sz w:val="18"/>
                      <w:szCs w:val="18"/>
                    </w:rPr>
                    <w:t>No tener una disposición de carácter general que permita, ante cualquier situación de emergencia suscitada a razón de un caso fortuito o fuerza mayor, sentar una base jurídica para, a través de la utilización de herramientas electrónicas, continuar con las funciones regulatorias en materia de interconexión del Instituto.</w:t>
                  </w:r>
                </w:p>
              </w:tc>
              <w:tc>
                <w:tcPr>
                  <w:tcW w:w="2648" w:type="dxa"/>
                </w:tcPr>
                <w:p w:rsidR="00790373" w:rsidRPr="00DD06A0" w:rsidRDefault="007434CD" w:rsidP="00790373">
                  <w:pPr>
                    <w:jc w:val="center"/>
                    <w:rPr>
                      <w:rFonts w:ascii="ITC Avant Garde" w:hAnsi="ITC Avant Garde"/>
                      <w:sz w:val="18"/>
                      <w:szCs w:val="18"/>
                    </w:rPr>
                  </w:pPr>
                  <w:r>
                    <w:rPr>
                      <w:rFonts w:ascii="ITC Avant Garde" w:hAnsi="ITC Avant Garde"/>
                      <w:sz w:val="18"/>
                      <w:szCs w:val="18"/>
                    </w:rPr>
                    <w:t>No se identifica una posible ventaja</w:t>
                  </w:r>
                </w:p>
              </w:tc>
              <w:tc>
                <w:tcPr>
                  <w:tcW w:w="2355" w:type="dxa"/>
                </w:tcPr>
                <w:p w:rsidR="00790373" w:rsidRPr="00DD06A0" w:rsidRDefault="007434CD" w:rsidP="004217AB">
                  <w:pPr>
                    <w:jc w:val="both"/>
                    <w:rPr>
                      <w:rFonts w:ascii="ITC Avant Garde" w:hAnsi="ITC Avant Garde"/>
                      <w:sz w:val="18"/>
                      <w:szCs w:val="18"/>
                    </w:rPr>
                  </w:pPr>
                  <w:r w:rsidRPr="007434CD">
                    <w:rPr>
                      <w:rFonts w:ascii="ITC Avant Garde" w:hAnsi="ITC Avant Garde"/>
                      <w:sz w:val="18"/>
                      <w:szCs w:val="18"/>
                    </w:rPr>
                    <w:t xml:space="preserve">Ante la situación actual por el fenómeno de salud pública por el que atraviesa el país, a causa de la propagación del virus SARS-CoV2 (COVID-19) declarada como pandemia a nivel mundial por la Organización Mundial de la Salud,  se estima necesario adoptar políticas de regulación que aseguren, a través de la implementación de las TIC, la continuidad de la función pública, regulatoria y administrativa del Instituto, así como el acceso de los agentes y sujetos regulados a la </w:t>
                  </w:r>
                  <w:r>
                    <w:rPr>
                      <w:rFonts w:ascii="ITC Avant Garde" w:hAnsi="ITC Avant Garde"/>
                      <w:sz w:val="18"/>
                      <w:szCs w:val="18"/>
                    </w:rPr>
                    <w:t xml:space="preserve">sustanciación de la Solicitud de resolución de desacuerdos de interconexión </w:t>
                  </w:r>
                  <w:r w:rsidRPr="007434CD">
                    <w:rPr>
                      <w:rFonts w:ascii="ITC Avant Garde" w:hAnsi="ITC Avant Garde"/>
                      <w:sz w:val="18"/>
                      <w:szCs w:val="18"/>
                    </w:rPr>
                    <w:t xml:space="preserve">que por su </w:t>
                  </w:r>
                  <w:r w:rsidRPr="007434CD">
                    <w:rPr>
                      <w:rFonts w:ascii="ITC Avant Garde" w:hAnsi="ITC Avant Garde"/>
                      <w:sz w:val="18"/>
                      <w:szCs w:val="18"/>
                    </w:rPr>
                    <w:lastRenderedPageBreak/>
                    <w:t>trascendencia aseguren la continuidad en la prestaciones de los servicios públicos de telecomunicaciones</w:t>
                  </w:r>
                  <w:r>
                    <w:rPr>
                      <w:rFonts w:ascii="ITC Avant Garde" w:hAnsi="ITC Avant Garde"/>
                      <w:sz w:val="18"/>
                      <w:szCs w:val="18"/>
                    </w:rPr>
                    <w:t>.</w:t>
                  </w:r>
                </w:p>
              </w:tc>
            </w:tr>
          </w:tbl>
          <w:p w:rsidR="002025CB" w:rsidRPr="00DD06A0" w:rsidRDefault="002025CB" w:rsidP="00225DA6">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rsidTr="00225DA6">
        <w:tc>
          <w:tcPr>
            <w:tcW w:w="8828"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rsidTr="00225DA6">
              <w:tc>
                <w:tcPr>
                  <w:tcW w:w="8602" w:type="dxa"/>
                  <w:gridSpan w:val="2"/>
                  <w:shd w:val="clear" w:color="auto" w:fill="A8D08D" w:themeFill="accent6" w:themeFillTint="99"/>
                </w:tcPr>
                <w:p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rsidTr="00DC156F">
              <w:tc>
                <w:tcPr>
                  <w:tcW w:w="3993" w:type="dxa"/>
                </w:tcPr>
                <w:p w:rsidR="00DC156F" w:rsidRPr="00DD06A0" w:rsidRDefault="00DC156F" w:rsidP="00252E2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DC156F" w:rsidRPr="00DD06A0" w:rsidRDefault="00952BC1" w:rsidP="00252E28">
                  <w:pPr>
                    <w:jc w:val="both"/>
                    <w:rPr>
                      <w:rFonts w:ascii="ITC Avant Garde" w:hAnsi="ITC Avant Garde"/>
                      <w:sz w:val="18"/>
                      <w:szCs w:val="18"/>
                    </w:rPr>
                  </w:pPr>
                  <w:r>
                    <w:rPr>
                      <w:rFonts w:ascii="ITC Avant Garde" w:hAnsi="ITC Avant Garde"/>
                      <w:sz w:val="18"/>
                      <w:szCs w:val="18"/>
                    </w:rPr>
                    <w:t>España</w:t>
                  </w:r>
                </w:p>
              </w:tc>
            </w:tr>
            <w:tr w:rsidR="00DC156F" w:rsidRPr="00DD06A0" w:rsidTr="00DC156F">
              <w:tc>
                <w:tcPr>
                  <w:tcW w:w="3993" w:type="dxa"/>
                </w:tcPr>
                <w:p w:rsidR="00DC156F" w:rsidRPr="00DD06A0" w:rsidRDefault="00DC156F" w:rsidP="00252E2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A47180" w:rsidRDefault="00785813" w:rsidP="00252E28">
                  <w:pPr>
                    <w:jc w:val="both"/>
                    <w:rPr>
                      <w:rFonts w:ascii="ITC Avant Garde" w:hAnsi="ITC Avant Garde"/>
                      <w:sz w:val="18"/>
                      <w:szCs w:val="18"/>
                    </w:rPr>
                  </w:pPr>
                  <w:r>
                    <w:rPr>
                      <w:rFonts w:ascii="ITC Avant Garde" w:hAnsi="ITC Avant Garde"/>
                      <w:sz w:val="18"/>
                      <w:szCs w:val="18"/>
                    </w:rPr>
                    <w:t>“</w:t>
                  </w:r>
                  <w:r w:rsidR="00252E28">
                    <w:rPr>
                      <w:rFonts w:ascii="ITC Avant Garde" w:hAnsi="ITC Avant Garde"/>
                      <w:sz w:val="18"/>
                      <w:szCs w:val="18"/>
                    </w:rPr>
                    <w:t xml:space="preserve">Ley 39/2015, </w:t>
                  </w:r>
                  <w:r w:rsidR="00252E28" w:rsidRPr="00252E28">
                    <w:rPr>
                      <w:rFonts w:ascii="ITC Avant Garde" w:hAnsi="ITC Avant Garde"/>
                      <w:sz w:val="18"/>
                      <w:szCs w:val="18"/>
                    </w:rPr>
                    <w:t>Procedimiento Administrativo Común de las Administraciones Públicas</w:t>
                  </w:r>
                  <w:r w:rsidR="00252E28">
                    <w:rPr>
                      <w:rFonts w:ascii="ITC Avant Garde" w:hAnsi="ITC Avant Garde"/>
                      <w:sz w:val="18"/>
                      <w:szCs w:val="18"/>
                    </w:rPr>
                    <w:t>.</w:t>
                  </w:r>
                  <w:r w:rsidR="00681EF4">
                    <w:rPr>
                      <w:rFonts w:ascii="ITC Avant Garde" w:hAnsi="ITC Avant Garde"/>
                      <w:sz w:val="18"/>
                      <w:szCs w:val="18"/>
                    </w:rPr>
                    <w:t>”</w:t>
                  </w:r>
                </w:p>
                <w:p w:rsidR="00A47180" w:rsidRPr="00A47180" w:rsidRDefault="00681EF4" w:rsidP="00252E28">
                  <w:pPr>
                    <w:jc w:val="both"/>
                    <w:rPr>
                      <w:rFonts w:ascii="ITC Avant Garde" w:hAnsi="ITC Avant Garde"/>
                      <w:sz w:val="18"/>
                      <w:szCs w:val="18"/>
                    </w:rPr>
                  </w:pPr>
                  <w:r>
                    <w:rPr>
                      <w:rFonts w:ascii="ITC Avant Garde" w:hAnsi="ITC Avant Garde"/>
                      <w:sz w:val="18"/>
                      <w:szCs w:val="18"/>
                    </w:rPr>
                    <w:t>“</w:t>
                  </w:r>
                  <w:r w:rsidR="00A47180" w:rsidRPr="00A47180">
                    <w:rPr>
                      <w:rFonts w:ascii="ITC Avant Garde" w:hAnsi="ITC Avant Garde"/>
                      <w:sz w:val="18"/>
                      <w:szCs w:val="18"/>
                    </w:rPr>
                    <w:t>Ley 9/2014, General de Telecomunicaciones.</w:t>
                  </w:r>
                  <w:r>
                    <w:rPr>
                      <w:rFonts w:ascii="ITC Avant Garde" w:hAnsi="ITC Avant Garde"/>
                      <w:sz w:val="18"/>
                      <w:szCs w:val="18"/>
                    </w:rPr>
                    <w:t>”</w:t>
                  </w:r>
                </w:p>
                <w:p w:rsidR="00DC156F" w:rsidRPr="00DD06A0" w:rsidRDefault="00DC156F" w:rsidP="00252E28">
                  <w:pPr>
                    <w:jc w:val="both"/>
                    <w:rPr>
                      <w:rFonts w:ascii="ITC Avant Garde" w:hAnsi="ITC Avant Garde"/>
                      <w:sz w:val="18"/>
                      <w:szCs w:val="18"/>
                    </w:rPr>
                  </w:pPr>
                </w:p>
              </w:tc>
            </w:tr>
            <w:tr w:rsidR="00DC156F" w:rsidRPr="00DD06A0" w:rsidTr="00DC156F">
              <w:tc>
                <w:tcPr>
                  <w:tcW w:w="3993" w:type="dxa"/>
                </w:tcPr>
                <w:p w:rsidR="00DC156F" w:rsidRPr="00F5394C" w:rsidRDefault="00DC156F" w:rsidP="00252E28">
                  <w:pPr>
                    <w:jc w:val="both"/>
                    <w:rPr>
                      <w:rFonts w:ascii="ITC Avant Garde" w:hAnsi="ITC Avant Garde"/>
                      <w:sz w:val="18"/>
                      <w:szCs w:val="18"/>
                    </w:rPr>
                  </w:pPr>
                  <w:r w:rsidRPr="00F5394C">
                    <w:rPr>
                      <w:rFonts w:ascii="ITC Avant Garde" w:hAnsi="ITC Avant Garde"/>
                      <w:sz w:val="18"/>
                      <w:szCs w:val="18"/>
                    </w:rPr>
                    <w:t>Principales resultados:</w:t>
                  </w:r>
                </w:p>
              </w:tc>
              <w:tc>
                <w:tcPr>
                  <w:tcW w:w="4609" w:type="dxa"/>
                </w:tcPr>
                <w:p w:rsidR="00A47180" w:rsidRPr="00F5394C" w:rsidRDefault="00F20A36" w:rsidP="00252E28">
                  <w:pPr>
                    <w:jc w:val="both"/>
                    <w:rPr>
                      <w:rFonts w:ascii="ITC Avant Garde" w:hAnsi="ITC Avant Garde"/>
                      <w:color w:val="000000"/>
                      <w:sz w:val="18"/>
                      <w:szCs w:val="18"/>
                      <w:shd w:val="clear" w:color="auto" w:fill="FFFFFF"/>
                    </w:rPr>
                  </w:pPr>
                  <w:r w:rsidRPr="00F5394C">
                    <w:rPr>
                      <w:rFonts w:ascii="ITC Avant Garde" w:hAnsi="ITC Avant Garde"/>
                      <w:color w:val="000000"/>
                      <w:sz w:val="18"/>
                      <w:szCs w:val="18"/>
                      <w:shd w:val="clear" w:color="auto" w:fill="FFFFFF"/>
                    </w:rPr>
                    <w:t>Se cuenta con un portal especial para trámites de la Gestión Pública denominado “Sede Electrónica”, el cual constituye una herramienta que incrementa la seguridad jurídica de los interesados estableciendo nuevas medidas que garanticen el conocimiento de la puesta a disposición de las notificaciones como: el envío de avisos de notificación, siempre que esto sea posible, a los dispositivos electrónicos y/o a la dirección de correo electrónico que el interesado haya comunicado, así como el acceso a sus notificaciones a través del Punto de Acceso General Electrónico de la Administración que funcionará como un portal de entrada y precisa a detalle sus funciones e interacción dentro de la Ley 39/2015</w:t>
                  </w:r>
                  <w:r w:rsidRPr="00F5394C">
                    <w:rPr>
                      <w:rFonts w:ascii="ITC Avant Garde" w:hAnsi="ITC Avant Garde"/>
                      <w:sz w:val="18"/>
                      <w:szCs w:val="18"/>
                    </w:rPr>
                    <w:t xml:space="preserve"> </w:t>
                  </w:r>
                  <w:r w:rsidRPr="00F5394C">
                    <w:rPr>
                      <w:rFonts w:ascii="ITC Avant Garde" w:hAnsi="ITC Avant Garde"/>
                      <w:color w:val="000000"/>
                      <w:sz w:val="18"/>
                      <w:szCs w:val="18"/>
                      <w:shd w:val="clear" w:color="auto" w:fill="FFFFFF"/>
                    </w:rPr>
                    <w:t>Procedimiento Administrativo Común de las Administraciones Públicas, entre otras.</w:t>
                  </w:r>
                </w:p>
                <w:p w:rsidR="00F20A36" w:rsidRPr="00F5394C" w:rsidRDefault="00F20A36" w:rsidP="00252E28">
                  <w:pPr>
                    <w:jc w:val="both"/>
                    <w:rPr>
                      <w:rFonts w:ascii="ITC Avant Garde" w:hAnsi="ITC Avant Garde"/>
                      <w:color w:val="000000"/>
                      <w:sz w:val="18"/>
                      <w:szCs w:val="18"/>
                      <w:shd w:val="clear" w:color="auto" w:fill="FFFFFF"/>
                    </w:rPr>
                  </w:pPr>
                </w:p>
                <w:p w:rsidR="00F20A36" w:rsidRPr="00F5394C" w:rsidRDefault="00F20A36" w:rsidP="00252E28">
                  <w:pPr>
                    <w:jc w:val="both"/>
                    <w:rPr>
                      <w:rFonts w:ascii="ITC Avant Garde" w:hAnsi="ITC Avant Garde"/>
                      <w:color w:val="000000"/>
                      <w:sz w:val="18"/>
                      <w:szCs w:val="18"/>
                      <w:shd w:val="clear" w:color="auto" w:fill="FFFFFF"/>
                    </w:rPr>
                  </w:pPr>
                  <w:r w:rsidRPr="00F5394C">
                    <w:rPr>
                      <w:rFonts w:ascii="ITC Avant Garde" w:hAnsi="ITC Avant Garde"/>
                      <w:color w:val="000000"/>
                      <w:sz w:val="18"/>
                      <w:szCs w:val="18"/>
                      <w:shd w:val="clear" w:color="auto" w:fill="FFFFFF"/>
                    </w:rPr>
                    <w:t>La mencionada Sede Electrónica contempla la tramitación referente al área de Interconexión, bajo la denominación:</w:t>
                  </w:r>
                  <w:r w:rsidRPr="00F5394C">
                    <w:rPr>
                      <w:rFonts w:ascii="ITC Avant Garde" w:hAnsi="ITC Avant Garde"/>
                      <w:sz w:val="18"/>
                      <w:szCs w:val="18"/>
                    </w:rPr>
                    <w:t xml:space="preserve"> </w:t>
                  </w:r>
                  <w:r w:rsidR="00F37510">
                    <w:rPr>
                      <w:rFonts w:ascii="ITC Avant Garde" w:hAnsi="ITC Avant Garde"/>
                      <w:sz w:val="18"/>
                      <w:szCs w:val="18"/>
                    </w:rPr>
                    <w:t>“</w:t>
                  </w:r>
                  <w:r w:rsidR="00F5394C" w:rsidRPr="00F37510">
                    <w:rPr>
                      <w:rFonts w:ascii="ITC Avant Garde" w:hAnsi="ITC Avant Garde"/>
                      <w:i/>
                      <w:color w:val="000000"/>
                      <w:sz w:val="18"/>
                      <w:szCs w:val="18"/>
                      <w:shd w:val="clear" w:color="auto" w:fill="FFFFFF"/>
                    </w:rPr>
                    <w:t xml:space="preserve">Procedimientos </w:t>
                  </w:r>
                  <w:r w:rsidRPr="00F37510">
                    <w:rPr>
                      <w:rFonts w:ascii="ITC Avant Garde" w:hAnsi="ITC Avant Garde"/>
                      <w:i/>
                      <w:color w:val="000000"/>
                      <w:sz w:val="18"/>
                      <w:szCs w:val="18"/>
                      <w:shd w:val="clear" w:color="auto" w:fill="FFFFFF"/>
                    </w:rPr>
                    <w:t>especiales de telecomunicaciones</w:t>
                  </w:r>
                  <w:r w:rsidR="00F37510">
                    <w:rPr>
                      <w:rFonts w:ascii="ITC Avant Garde" w:hAnsi="ITC Avant Garde"/>
                      <w:color w:val="000000"/>
                      <w:sz w:val="18"/>
                      <w:szCs w:val="18"/>
                      <w:shd w:val="clear" w:color="auto" w:fill="FFFFFF"/>
                    </w:rPr>
                    <w:t>”</w:t>
                  </w:r>
                  <w:r w:rsidRPr="00F5394C">
                    <w:rPr>
                      <w:rFonts w:ascii="ITC Avant Garde" w:hAnsi="ITC Avant Garde"/>
                      <w:color w:val="000000"/>
                      <w:sz w:val="18"/>
                      <w:szCs w:val="18"/>
                      <w:shd w:val="clear" w:color="auto" w:fill="FFFFFF"/>
                    </w:rPr>
                    <w:t>, detallando dicho trámite como, el procedimiento permite presentar conflictos, consultas, informaciones previas, sancionadores y otros tipos de solicitud, sobre los ámbitos de interconexión y acceso, mercados, obligaciones de servicio público y calidad, portabilidad, precios y pagos, tráfico irregular, numeración y ofertas de referencia.</w:t>
                  </w:r>
                </w:p>
                <w:p w:rsidR="00F20A36" w:rsidRPr="00F5394C" w:rsidRDefault="00F20A36" w:rsidP="00252E28">
                  <w:pPr>
                    <w:jc w:val="both"/>
                    <w:rPr>
                      <w:rFonts w:ascii="ITC Avant Garde" w:hAnsi="ITC Avant Garde"/>
                      <w:color w:val="000000"/>
                      <w:sz w:val="18"/>
                      <w:szCs w:val="18"/>
                      <w:shd w:val="clear" w:color="auto" w:fill="FFFFFF"/>
                    </w:rPr>
                  </w:pPr>
                </w:p>
                <w:p w:rsidR="00252E28" w:rsidRPr="00F37510" w:rsidRDefault="00F20A36" w:rsidP="00AD65E9">
                  <w:pPr>
                    <w:jc w:val="both"/>
                    <w:rPr>
                      <w:rFonts w:ascii="ITC Avant Garde" w:hAnsi="ITC Avant Garde"/>
                      <w:color w:val="000000"/>
                      <w:sz w:val="18"/>
                      <w:szCs w:val="18"/>
                      <w:shd w:val="clear" w:color="auto" w:fill="FFFFFF"/>
                    </w:rPr>
                  </w:pPr>
                  <w:r w:rsidRPr="00F5394C">
                    <w:rPr>
                      <w:rFonts w:ascii="ITC Avant Garde" w:hAnsi="ITC Avant Garde"/>
                      <w:color w:val="000000"/>
                      <w:sz w:val="18"/>
                      <w:szCs w:val="18"/>
                      <w:shd w:val="clear" w:color="auto" w:fill="FFFFFF"/>
                    </w:rPr>
                    <w:t xml:space="preserve">Por otro lado, en lo que respecta </w:t>
                  </w:r>
                  <w:r w:rsidR="00AD65E9" w:rsidRPr="00F5394C">
                    <w:rPr>
                      <w:rFonts w:ascii="ITC Avant Garde" w:hAnsi="ITC Avant Garde"/>
                      <w:color w:val="000000"/>
                      <w:sz w:val="18"/>
                      <w:szCs w:val="18"/>
                      <w:shd w:val="clear" w:color="auto" w:fill="FFFFFF"/>
                    </w:rPr>
                    <w:t xml:space="preserve">a las especificaciones hechas en la Ley 9/2014, General de Telecomunicaciones, también referidas, estos se regulan en su Capítulo </w:t>
                  </w:r>
                  <w:r w:rsidR="00F37510">
                    <w:rPr>
                      <w:rFonts w:ascii="ITC Avant Garde" w:hAnsi="ITC Avant Garde"/>
                      <w:color w:val="000000"/>
                      <w:sz w:val="18"/>
                      <w:szCs w:val="18"/>
                      <w:shd w:val="clear" w:color="auto" w:fill="FFFFFF"/>
                    </w:rPr>
                    <w:t xml:space="preserve">II </w:t>
                  </w:r>
                  <w:r w:rsidR="00AD65E9" w:rsidRPr="00F5394C">
                    <w:rPr>
                      <w:rFonts w:ascii="ITC Avant Garde" w:hAnsi="ITC Avant Garde"/>
                      <w:color w:val="000000"/>
                      <w:sz w:val="18"/>
                      <w:szCs w:val="18"/>
                      <w:shd w:val="clear" w:color="auto" w:fill="FFFFFF"/>
                    </w:rPr>
                    <w:t xml:space="preserve">“Acceso a las redes y recursos asociados e interconexión”, Artículo 15, “Resolución de conflictos” y </w:t>
                  </w:r>
                  <w:r w:rsidR="0031234F" w:rsidRPr="00F5394C">
                    <w:rPr>
                      <w:rFonts w:ascii="ITC Avant Garde" w:hAnsi="ITC Avant Garde"/>
                      <w:color w:val="000000"/>
                      <w:sz w:val="18"/>
                      <w:szCs w:val="18"/>
                      <w:shd w:val="clear" w:color="auto" w:fill="FFFFFF"/>
                    </w:rPr>
                    <w:t>“</w:t>
                  </w:r>
                  <w:r w:rsidR="00AD65E9" w:rsidRPr="00F5394C">
                    <w:rPr>
                      <w:rFonts w:ascii="ITC Avant Garde" w:hAnsi="ITC Avant Garde"/>
                      <w:color w:val="000000"/>
                      <w:sz w:val="18"/>
                      <w:szCs w:val="18"/>
                      <w:shd w:val="clear" w:color="auto" w:fill="FFFFFF"/>
                    </w:rPr>
                    <w:t>Anexo II</w:t>
                  </w:r>
                  <w:r w:rsidR="0031234F" w:rsidRPr="00F5394C">
                    <w:rPr>
                      <w:rFonts w:ascii="ITC Avant Garde" w:hAnsi="ITC Avant Garde"/>
                      <w:color w:val="000000"/>
                      <w:sz w:val="18"/>
                      <w:szCs w:val="18"/>
                      <w:shd w:val="clear" w:color="auto" w:fill="FFFFFF"/>
                    </w:rPr>
                    <w:t>”</w:t>
                  </w:r>
                  <w:r w:rsidR="00AD65E9" w:rsidRPr="00F5394C">
                    <w:rPr>
                      <w:rFonts w:ascii="ITC Avant Garde" w:hAnsi="ITC Avant Garde"/>
                      <w:color w:val="000000"/>
                      <w:sz w:val="18"/>
                      <w:szCs w:val="18"/>
                      <w:shd w:val="clear" w:color="auto" w:fill="FFFFFF"/>
                    </w:rPr>
                    <w:t xml:space="preserve"> de la misma Ley.</w:t>
                  </w:r>
                </w:p>
                <w:p w:rsidR="00252E28" w:rsidRPr="00F5394C" w:rsidRDefault="00252E28" w:rsidP="00252E28">
                  <w:pPr>
                    <w:jc w:val="both"/>
                    <w:rPr>
                      <w:rFonts w:ascii="ITC Avant Garde" w:hAnsi="ITC Avant Garde"/>
                      <w:sz w:val="18"/>
                      <w:szCs w:val="18"/>
                      <w:highlight w:val="yellow"/>
                    </w:rPr>
                  </w:pPr>
                </w:p>
              </w:tc>
            </w:tr>
            <w:tr w:rsidR="00DC156F" w:rsidRPr="00DD06A0" w:rsidTr="00DC156F">
              <w:tc>
                <w:tcPr>
                  <w:tcW w:w="3993" w:type="dxa"/>
                </w:tcPr>
                <w:p w:rsidR="00DC156F" w:rsidRPr="00F5394C" w:rsidRDefault="00DC156F" w:rsidP="00252E28">
                  <w:pPr>
                    <w:jc w:val="both"/>
                    <w:rPr>
                      <w:rFonts w:ascii="ITC Avant Garde" w:hAnsi="ITC Avant Garde"/>
                      <w:sz w:val="18"/>
                      <w:szCs w:val="18"/>
                    </w:rPr>
                  </w:pPr>
                  <w:r w:rsidRPr="00F5394C">
                    <w:rPr>
                      <w:rFonts w:ascii="ITC Avant Garde" w:hAnsi="ITC Avant Garde"/>
                      <w:sz w:val="18"/>
                      <w:szCs w:val="18"/>
                    </w:rPr>
                    <w:lastRenderedPageBreak/>
                    <w:t>Referencia jurídica de emisión oficial:</w:t>
                  </w:r>
                </w:p>
              </w:tc>
              <w:tc>
                <w:tcPr>
                  <w:tcW w:w="4609" w:type="dxa"/>
                </w:tcPr>
                <w:p w:rsidR="00DC156F" w:rsidRPr="00F5394C" w:rsidRDefault="00DC156F" w:rsidP="00252E28">
                  <w:pPr>
                    <w:jc w:val="both"/>
                    <w:rPr>
                      <w:rFonts w:ascii="ITC Avant Garde" w:hAnsi="ITC Avant Garde"/>
                      <w:sz w:val="18"/>
                      <w:szCs w:val="18"/>
                    </w:rPr>
                  </w:pPr>
                </w:p>
                <w:p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Resolución de 19 de octubre de 2017</w:t>
                  </w:r>
                  <w:r w:rsidRPr="00F5394C">
                    <w:rPr>
                      <w:rFonts w:ascii="ITC Avant Garde" w:hAnsi="ITC Avant Garde"/>
                      <w:sz w:val="18"/>
                      <w:szCs w:val="18"/>
                    </w:rPr>
                    <w:t xml:space="preserve"> de la Secretaria General de la Comisión Nacional de los Mercados y la Competencia, por la que se aprueba la relación de empleados públicos habilitados que prestan servicios previstos en la ley 39/2015, de 1 de </w:t>
                  </w:r>
                  <w:r w:rsidR="00392F91" w:rsidRPr="00F5394C">
                    <w:rPr>
                      <w:rFonts w:ascii="ITC Avant Garde" w:hAnsi="ITC Avant Garde"/>
                      <w:sz w:val="18"/>
                      <w:szCs w:val="18"/>
                    </w:rPr>
                    <w:t>octubre,</w:t>
                  </w:r>
                  <w:r w:rsidRPr="00F5394C">
                    <w:rPr>
                      <w:rFonts w:ascii="ITC Avant Garde" w:hAnsi="ITC Avant Garde"/>
                      <w:sz w:val="18"/>
                      <w:szCs w:val="18"/>
                    </w:rPr>
                    <w:t xml:space="preserve"> del procedimiento administrativo común de las Administraciones Públicas para las oficinas de asistencia en materia de registros en la Comisión Nacional de los Mercados y la Competencia y su anexo (CORRECCIÓN). </w:t>
                  </w:r>
                </w:p>
                <w:p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Resolución de 30 de septiembre de 2016</w:t>
                  </w:r>
                  <w:r w:rsidRPr="00F5394C">
                    <w:rPr>
                      <w:rFonts w:ascii="ITC Avant Garde" w:hAnsi="ITC Avant Garde"/>
                      <w:sz w:val="18"/>
                      <w:szCs w:val="18"/>
                    </w:rPr>
                    <w:t xml:space="preserve"> del Presidente de la Comisión Nacional de los Mercados y la Competencia, por la que se dispone el sistema y se concretan los requisitos técnicos para la práctica de notificaciones por medios electrónicos en los procedimientos administrativos tramitados por la Comisión de acuerdo con lo previsto en la Ley 39/2015, de 1 de octubre</w:t>
                  </w:r>
                </w:p>
                <w:p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Resolución de 8 de noviembre de 2013</w:t>
                  </w:r>
                  <w:r w:rsidRPr="00F5394C">
                    <w:rPr>
                      <w:rFonts w:ascii="ITC Avant Garde" w:hAnsi="ITC Avant Garde"/>
                      <w:sz w:val="18"/>
                      <w:szCs w:val="18"/>
                    </w:rPr>
                    <w:t xml:space="preserve"> de la Presidencia de la Comisión Nacional de los Mercados y la Competencia, por la que se crea la Sede Electrónica del organismo.</w:t>
                  </w:r>
                </w:p>
                <w:p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Resolución de 30 de enero de 2009</w:t>
                  </w:r>
                  <w:r w:rsidRPr="00F5394C">
                    <w:rPr>
                      <w:rFonts w:ascii="ITC Avant Garde" w:hAnsi="ITC Avant Garde"/>
                      <w:sz w:val="18"/>
                      <w:szCs w:val="18"/>
                    </w:rPr>
                    <w:t>, de la Presidencia de la Comisión Nacional de la Competencia, por la que se crea un Registro electrónico y se establecen los requisitos generales para su aplicación a determinados procedimientos.</w:t>
                  </w:r>
                </w:p>
                <w:p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Ley 39/2015</w:t>
                  </w:r>
                  <w:r w:rsidRPr="00F5394C">
                    <w:rPr>
                      <w:rFonts w:ascii="ITC Avant Garde" w:hAnsi="ITC Avant Garde"/>
                      <w:sz w:val="18"/>
                      <w:szCs w:val="18"/>
                    </w:rPr>
                    <w:t>, de 1 de octubre, del Procedimiento Administrativo Común de las Administraciones Públicas</w:t>
                  </w:r>
                </w:p>
                <w:p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Real Decreto 4/2010</w:t>
                  </w:r>
                  <w:r w:rsidRPr="00F5394C">
                    <w:rPr>
                      <w:rFonts w:ascii="ITC Avant Garde" w:hAnsi="ITC Avant Garde"/>
                      <w:sz w:val="18"/>
                      <w:szCs w:val="18"/>
                    </w:rPr>
                    <w:t>, de 8 de enero por el que se regula el Esquema Nacional de Interoperabilidad en el ámbito de la Administración Electrónica</w:t>
                  </w:r>
                </w:p>
                <w:p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Real Decreto 3/2010</w:t>
                  </w:r>
                  <w:r w:rsidRPr="00F5394C">
                    <w:rPr>
                      <w:rFonts w:ascii="ITC Avant Garde" w:hAnsi="ITC Avant Garde"/>
                      <w:sz w:val="18"/>
                      <w:szCs w:val="18"/>
                    </w:rPr>
                    <w:t>, de 8 de enero por el que se regula el Esquema Nacional de Seguridad en el ámbito de la Administración Electrónica.</w:t>
                  </w:r>
                </w:p>
                <w:p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Real Decreto 1671/2009,</w:t>
                  </w:r>
                  <w:r w:rsidRPr="00F5394C">
                    <w:rPr>
                      <w:rFonts w:ascii="ITC Avant Garde" w:hAnsi="ITC Avant Garde"/>
                      <w:sz w:val="18"/>
                      <w:szCs w:val="18"/>
                    </w:rPr>
                    <w:t xml:space="preserve"> de 6 de noviembre por el que se desarrolla parcialmente la Ley 11/2007, de acceso electrónico de los ciudadanos a los servicios públicos.</w:t>
                  </w:r>
                </w:p>
                <w:p w:rsidR="00A47180" w:rsidRPr="00F5394C" w:rsidRDefault="00FD1B1B" w:rsidP="00FD1B1B">
                  <w:pPr>
                    <w:jc w:val="both"/>
                    <w:rPr>
                      <w:rFonts w:ascii="ITC Avant Garde" w:hAnsi="ITC Avant Garde"/>
                      <w:sz w:val="18"/>
                      <w:szCs w:val="18"/>
                    </w:rPr>
                  </w:pPr>
                  <w:r w:rsidRPr="00F5394C">
                    <w:rPr>
                      <w:rFonts w:ascii="ITC Avant Garde" w:hAnsi="ITC Avant Garde"/>
                      <w:b/>
                      <w:sz w:val="18"/>
                      <w:szCs w:val="18"/>
                    </w:rPr>
                    <w:t>Resolución de 18 de junio de 2018</w:t>
                  </w:r>
                  <w:r w:rsidRPr="00F5394C">
                    <w:rPr>
                      <w:rFonts w:ascii="ITC Avant Garde" w:hAnsi="ITC Avant Garde"/>
                      <w:sz w:val="18"/>
                      <w:szCs w:val="18"/>
                    </w:rPr>
                    <w:t>, de la presidencia de la comisión nacional de los mercados y la competencia, por la que se aprueba la política de seguridad de los sistemas de información de la comisión.</w:t>
                  </w:r>
                </w:p>
                <w:p w:rsidR="00A47180" w:rsidRPr="00F5394C" w:rsidRDefault="00A47180" w:rsidP="00252E28">
                  <w:pPr>
                    <w:jc w:val="both"/>
                    <w:rPr>
                      <w:rFonts w:ascii="ITC Avant Garde" w:hAnsi="ITC Avant Garde"/>
                      <w:sz w:val="18"/>
                      <w:szCs w:val="18"/>
                    </w:rPr>
                  </w:pPr>
                </w:p>
              </w:tc>
            </w:tr>
            <w:tr w:rsidR="00DC156F" w:rsidRPr="00DD06A0" w:rsidTr="00DC156F">
              <w:tc>
                <w:tcPr>
                  <w:tcW w:w="3993" w:type="dxa"/>
                </w:tcPr>
                <w:p w:rsidR="00DC156F" w:rsidRPr="00F5394C" w:rsidRDefault="00DC156F" w:rsidP="00252E28">
                  <w:pPr>
                    <w:jc w:val="both"/>
                    <w:rPr>
                      <w:rFonts w:ascii="ITC Avant Garde" w:hAnsi="ITC Avant Garde"/>
                      <w:sz w:val="18"/>
                      <w:szCs w:val="18"/>
                    </w:rPr>
                  </w:pPr>
                  <w:r w:rsidRPr="00F5394C">
                    <w:rPr>
                      <w:rFonts w:ascii="ITC Avant Garde" w:hAnsi="ITC Avant Garde"/>
                      <w:sz w:val="18"/>
                      <w:szCs w:val="18"/>
                    </w:rPr>
                    <w:t>Vínculos electrónicos de identificación:</w:t>
                  </w:r>
                </w:p>
              </w:tc>
              <w:tc>
                <w:tcPr>
                  <w:tcW w:w="4609" w:type="dxa"/>
                </w:tcPr>
                <w:p w:rsidR="00DC156F" w:rsidRPr="00177421" w:rsidRDefault="003721A6" w:rsidP="00252E28">
                  <w:pPr>
                    <w:jc w:val="both"/>
                    <w:rPr>
                      <w:rFonts w:ascii="ITC Avant Garde" w:hAnsi="ITC Avant Garde"/>
                      <w:color w:val="000000"/>
                      <w:sz w:val="18"/>
                      <w:szCs w:val="18"/>
                      <w:shd w:val="clear" w:color="auto" w:fill="FFFFFF"/>
                    </w:rPr>
                  </w:pPr>
                  <w:hyperlink r:id="rId12" w:history="1">
                    <w:r w:rsidR="00D15887" w:rsidRPr="00177421">
                      <w:rPr>
                        <w:rFonts w:ascii="ITC Avant Garde" w:hAnsi="ITC Avant Garde"/>
                        <w:color w:val="000000"/>
                        <w:sz w:val="18"/>
                        <w:szCs w:val="18"/>
                        <w:shd w:val="clear" w:color="auto" w:fill="FFFFFF"/>
                      </w:rPr>
                      <w:t>https://sede.cnmc.gob.es/tramites/telecomunicaciones/procedimientos-especiales-de-telecomunicaciones</w:t>
                    </w:r>
                  </w:hyperlink>
                  <w:r w:rsidR="00CA6005">
                    <w:rPr>
                      <w:rFonts w:ascii="ITC Avant Garde" w:hAnsi="ITC Avant Garde"/>
                      <w:color w:val="000000"/>
                      <w:sz w:val="18"/>
                      <w:szCs w:val="18"/>
                      <w:shd w:val="clear" w:color="auto" w:fill="FFFFFF"/>
                    </w:rPr>
                    <w:t xml:space="preserve"> </w:t>
                  </w:r>
                </w:p>
                <w:p w:rsidR="00D15887" w:rsidRPr="00177421" w:rsidRDefault="00D15887" w:rsidP="00252E28">
                  <w:pPr>
                    <w:jc w:val="both"/>
                    <w:rPr>
                      <w:rFonts w:ascii="ITC Avant Garde" w:hAnsi="ITC Avant Garde"/>
                      <w:color w:val="000000"/>
                      <w:sz w:val="18"/>
                      <w:szCs w:val="18"/>
                      <w:shd w:val="clear" w:color="auto" w:fill="FFFFFF"/>
                    </w:rPr>
                  </w:pPr>
                </w:p>
                <w:p w:rsidR="00D15887" w:rsidRPr="00177421" w:rsidRDefault="003721A6" w:rsidP="00252E28">
                  <w:pPr>
                    <w:jc w:val="both"/>
                    <w:rPr>
                      <w:rFonts w:ascii="ITC Avant Garde" w:hAnsi="ITC Avant Garde"/>
                      <w:color w:val="000000"/>
                      <w:sz w:val="18"/>
                      <w:szCs w:val="18"/>
                      <w:shd w:val="clear" w:color="auto" w:fill="FFFFFF"/>
                    </w:rPr>
                  </w:pPr>
                  <w:hyperlink r:id="rId13" w:history="1">
                    <w:r w:rsidR="00D15887" w:rsidRPr="00177421">
                      <w:rPr>
                        <w:rFonts w:ascii="ITC Avant Garde" w:hAnsi="ITC Avant Garde"/>
                        <w:color w:val="000000"/>
                        <w:sz w:val="18"/>
                        <w:szCs w:val="18"/>
                        <w:shd w:val="clear" w:color="auto" w:fill="FFFFFF"/>
                      </w:rPr>
                      <w:t>https://sede.cnmc.gob.es/informacion-y-normativa</w:t>
                    </w:r>
                  </w:hyperlink>
                </w:p>
                <w:p w:rsidR="00D15887" w:rsidRPr="00177421" w:rsidRDefault="00D15887" w:rsidP="00252E28">
                  <w:pPr>
                    <w:jc w:val="both"/>
                    <w:rPr>
                      <w:rFonts w:ascii="ITC Avant Garde" w:hAnsi="ITC Avant Garde"/>
                      <w:color w:val="000000"/>
                      <w:sz w:val="18"/>
                      <w:szCs w:val="18"/>
                      <w:shd w:val="clear" w:color="auto" w:fill="FFFFFF"/>
                    </w:rPr>
                  </w:pPr>
                </w:p>
                <w:p w:rsidR="00D15887" w:rsidRPr="00177421" w:rsidRDefault="003721A6" w:rsidP="00252E28">
                  <w:pPr>
                    <w:jc w:val="both"/>
                    <w:rPr>
                      <w:rFonts w:ascii="ITC Avant Garde" w:hAnsi="ITC Avant Garde"/>
                      <w:color w:val="000000"/>
                      <w:sz w:val="18"/>
                      <w:szCs w:val="18"/>
                      <w:shd w:val="clear" w:color="auto" w:fill="FFFFFF"/>
                    </w:rPr>
                  </w:pPr>
                  <w:hyperlink r:id="rId14" w:history="1">
                    <w:r w:rsidR="00D15887" w:rsidRPr="00177421">
                      <w:rPr>
                        <w:rFonts w:ascii="ITC Avant Garde" w:hAnsi="ITC Avant Garde"/>
                        <w:color w:val="000000"/>
                        <w:sz w:val="18"/>
                        <w:szCs w:val="18"/>
                        <w:shd w:val="clear" w:color="auto" w:fill="FFFFFF"/>
                      </w:rPr>
                      <w:t>https://sede.cnmc.gob.es/sites/default/files/2017-12/20171004%20Resoluci%C3%B3n%20REGISTRO.PDF</w:t>
                    </w:r>
                  </w:hyperlink>
                </w:p>
                <w:p w:rsidR="001B63C2" w:rsidRPr="00177421" w:rsidRDefault="001B63C2" w:rsidP="00252E28">
                  <w:pPr>
                    <w:jc w:val="both"/>
                    <w:rPr>
                      <w:rFonts w:ascii="ITC Avant Garde" w:hAnsi="ITC Avant Garde"/>
                      <w:color w:val="000000"/>
                      <w:sz w:val="18"/>
                      <w:szCs w:val="18"/>
                      <w:shd w:val="clear" w:color="auto" w:fill="FFFFFF"/>
                    </w:rPr>
                  </w:pPr>
                </w:p>
                <w:p w:rsidR="001B63C2" w:rsidRPr="00177421" w:rsidRDefault="003721A6" w:rsidP="00252E28">
                  <w:pPr>
                    <w:jc w:val="both"/>
                    <w:rPr>
                      <w:rFonts w:ascii="ITC Avant Garde" w:hAnsi="ITC Avant Garde"/>
                      <w:color w:val="000000"/>
                      <w:sz w:val="18"/>
                      <w:szCs w:val="18"/>
                      <w:shd w:val="clear" w:color="auto" w:fill="FFFFFF"/>
                    </w:rPr>
                  </w:pPr>
                  <w:hyperlink r:id="rId15" w:history="1">
                    <w:r w:rsidR="001B63C2" w:rsidRPr="00177421">
                      <w:rPr>
                        <w:rFonts w:ascii="ITC Avant Garde" w:hAnsi="ITC Avant Garde"/>
                        <w:color w:val="000000"/>
                        <w:sz w:val="18"/>
                        <w:szCs w:val="18"/>
                        <w:shd w:val="clear" w:color="auto" w:fill="FFFFFF"/>
                      </w:rPr>
                      <w:t>https://www.boe.es/buscar/pdf/2014/BOE-A-2014-4950-consolidado.pdf</w:t>
                    </w:r>
                  </w:hyperlink>
                </w:p>
                <w:p w:rsidR="001B63C2" w:rsidRPr="00177421" w:rsidRDefault="001B63C2" w:rsidP="00252E28">
                  <w:pPr>
                    <w:jc w:val="both"/>
                    <w:rPr>
                      <w:rFonts w:ascii="ITC Avant Garde" w:hAnsi="ITC Avant Garde"/>
                      <w:color w:val="000000"/>
                      <w:sz w:val="18"/>
                      <w:szCs w:val="18"/>
                      <w:shd w:val="clear" w:color="auto" w:fill="FFFFFF"/>
                    </w:rPr>
                  </w:pPr>
                </w:p>
                <w:p w:rsidR="00D15887" w:rsidRPr="00177421" w:rsidRDefault="003721A6" w:rsidP="00252E28">
                  <w:pPr>
                    <w:jc w:val="both"/>
                    <w:rPr>
                      <w:rFonts w:ascii="ITC Avant Garde" w:hAnsi="ITC Avant Garde"/>
                      <w:color w:val="000000"/>
                      <w:sz w:val="18"/>
                      <w:szCs w:val="18"/>
                      <w:shd w:val="clear" w:color="auto" w:fill="FFFFFF"/>
                    </w:rPr>
                  </w:pPr>
                  <w:hyperlink r:id="rId16" w:history="1">
                    <w:r w:rsidR="00D15887" w:rsidRPr="00177421">
                      <w:rPr>
                        <w:rFonts w:ascii="ITC Avant Garde" w:hAnsi="ITC Avant Garde"/>
                        <w:color w:val="000000"/>
                        <w:sz w:val="18"/>
                        <w:szCs w:val="18"/>
                        <w:shd w:val="clear" w:color="auto" w:fill="FFFFFF"/>
                      </w:rPr>
                      <w:t>https://www.boe.es/diario_boe/txt.php?id=BOE-A-2016-9126</w:t>
                    </w:r>
                  </w:hyperlink>
                </w:p>
                <w:p w:rsidR="00D15887" w:rsidRPr="00177421" w:rsidRDefault="00D15887" w:rsidP="00252E28">
                  <w:pPr>
                    <w:jc w:val="both"/>
                    <w:rPr>
                      <w:rFonts w:ascii="ITC Avant Garde" w:hAnsi="ITC Avant Garde"/>
                      <w:color w:val="000000"/>
                      <w:sz w:val="18"/>
                      <w:szCs w:val="18"/>
                      <w:shd w:val="clear" w:color="auto" w:fill="FFFFFF"/>
                    </w:rPr>
                  </w:pPr>
                </w:p>
                <w:p w:rsidR="00D15887" w:rsidRPr="00177421" w:rsidRDefault="003721A6" w:rsidP="00252E28">
                  <w:pPr>
                    <w:jc w:val="both"/>
                    <w:rPr>
                      <w:rFonts w:ascii="ITC Avant Garde" w:hAnsi="ITC Avant Garde"/>
                      <w:color w:val="000000"/>
                      <w:sz w:val="18"/>
                      <w:szCs w:val="18"/>
                      <w:shd w:val="clear" w:color="auto" w:fill="FFFFFF"/>
                    </w:rPr>
                  </w:pPr>
                  <w:hyperlink r:id="rId17" w:history="1">
                    <w:r w:rsidR="00D15887" w:rsidRPr="00177421">
                      <w:rPr>
                        <w:rFonts w:ascii="ITC Avant Garde" w:hAnsi="ITC Avant Garde"/>
                        <w:color w:val="000000"/>
                        <w:sz w:val="18"/>
                        <w:szCs w:val="18"/>
                        <w:shd w:val="clear" w:color="auto" w:fill="FFFFFF"/>
                      </w:rPr>
                      <w:t>https://www.boe.es/eli/es/res/2013/11/08/(2)</w:t>
                    </w:r>
                  </w:hyperlink>
                </w:p>
                <w:p w:rsidR="00D15887" w:rsidRPr="00177421" w:rsidRDefault="00D15887" w:rsidP="00252E28">
                  <w:pPr>
                    <w:jc w:val="both"/>
                    <w:rPr>
                      <w:rFonts w:ascii="ITC Avant Garde" w:hAnsi="ITC Avant Garde"/>
                      <w:color w:val="000000"/>
                      <w:sz w:val="18"/>
                      <w:szCs w:val="18"/>
                      <w:shd w:val="clear" w:color="auto" w:fill="FFFFFF"/>
                    </w:rPr>
                  </w:pPr>
                </w:p>
                <w:p w:rsidR="00D15887" w:rsidRPr="00177421" w:rsidRDefault="003721A6" w:rsidP="00252E28">
                  <w:pPr>
                    <w:jc w:val="both"/>
                    <w:rPr>
                      <w:rFonts w:ascii="ITC Avant Garde" w:hAnsi="ITC Avant Garde"/>
                      <w:color w:val="000000"/>
                      <w:sz w:val="18"/>
                      <w:szCs w:val="18"/>
                      <w:shd w:val="clear" w:color="auto" w:fill="FFFFFF"/>
                    </w:rPr>
                  </w:pPr>
                  <w:hyperlink r:id="rId18" w:history="1">
                    <w:r w:rsidR="00D15887" w:rsidRPr="00177421">
                      <w:rPr>
                        <w:rFonts w:ascii="ITC Avant Garde" w:hAnsi="ITC Avant Garde"/>
                        <w:color w:val="000000"/>
                        <w:sz w:val="18"/>
                        <w:szCs w:val="18"/>
                        <w:shd w:val="clear" w:color="auto" w:fill="FFFFFF"/>
                      </w:rPr>
                      <w:t>https://www.boe.es/boe/dias/2009/02/05/pdfs/BOE-A-2009-1962.pdf</w:t>
                    </w:r>
                  </w:hyperlink>
                </w:p>
                <w:p w:rsidR="00D15887" w:rsidRPr="00177421" w:rsidRDefault="00D15887" w:rsidP="00252E28">
                  <w:pPr>
                    <w:jc w:val="both"/>
                    <w:rPr>
                      <w:rFonts w:ascii="ITC Avant Garde" w:hAnsi="ITC Avant Garde"/>
                      <w:color w:val="000000"/>
                      <w:sz w:val="18"/>
                      <w:szCs w:val="18"/>
                      <w:shd w:val="clear" w:color="auto" w:fill="FFFFFF"/>
                    </w:rPr>
                  </w:pPr>
                </w:p>
                <w:p w:rsidR="00D15887" w:rsidRPr="00177421" w:rsidRDefault="003721A6" w:rsidP="00252E28">
                  <w:pPr>
                    <w:jc w:val="both"/>
                    <w:rPr>
                      <w:rFonts w:ascii="ITC Avant Garde" w:hAnsi="ITC Avant Garde"/>
                      <w:color w:val="000000"/>
                      <w:sz w:val="18"/>
                      <w:szCs w:val="18"/>
                      <w:shd w:val="clear" w:color="auto" w:fill="FFFFFF"/>
                    </w:rPr>
                  </w:pPr>
                  <w:hyperlink r:id="rId19" w:history="1">
                    <w:r w:rsidR="00D15887" w:rsidRPr="00177421">
                      <w:rPr>
                        <w:rFonts w:ascii="ITC Avant Garde" w:hAnsi="ITC Avant Garde"/>
                        <w:color w:val="000000"/>
                        <w:sz w:val="18"/>
                        <w:szCs w:val="18"/>
                        <w:shd w:val="clear" w:color="auto" w:fill="FFFFFF"/>
                      </w:rPr>
                      <w:t>https://boe.es/buscar/act.php?id=BOE-A-2015-10565</w:t>
                    </w:r>
                  </w:hyperlink>
                </w:p>
                <w:p w:rsidR="00D15887" w:rsidRPr="00177421" w:rsidRDefault="00D15887" w:rsidP="00252E28">
                  <w:pPr>
                    <w:jc w:val="both"/>
                    <w:rPr>
                      <w:rFonts w:ascii="ITC Avant Garde" w:hAnsi="ITC Avant Garde"/>
                      <w:color w:val="000000"/>
                      <w:sz w:val="18"/>
                      <w:szCs w:val="18"/>
                      <w:shd w:val="clear" w:color="auto" w:fill="FFFFFF"/>
                    </w:rPr>
                  </w:pPr>
                </w:p>
                <w:p w:rsidR="00D15887" w:rsidRPr="00177421" w:rsidRDefault="003721A6" w:rsidP="00252E28">
                  <w:pPr>
                    <w:jc w:val="both"/>
                    <w:rPr>
                      <w:rFonts w:ascii="ITC Avant Garde" w:hAnsi="ITC Avant Garde"/>
                      <w:color w:val="000000"/>
                      <w:sz w:val="18"/>
                      <w:szCs w:val="18"/>
                      <w:shd w:val="clear" w:color="auto" w:fill="FFFFFF"/>
                    </w:rPr>
                  </w:pPr>
                  <w:hyperlink r:id="rId20" w:history="1">
                    <w:r w:rsidR="00D15887" w:rsidRPr="00177421">
                      <w:rPr>
                        <w:rFonts w:ascii="ITC Avant Garde" w:hAnsi="ITC Avant Garde"/>
                        <w:color w:val="000000"/>
                        <w:sz w:val="18"/>
                        <w:szCs w:val="18"/>
                        <w:shd w:val="clear" w:color="auto" w:fill="FFFFFF"/>
                      </w:rPr>
                      <w:t>https://www.boe.es/buscar/act.php?id=BOE-A-2010-1331</w:t>
                    </w:r>
                  </w:hyperlink>
                </w:p>
                <w:p w:rsidR="00D15887" w:rsidRPr="00177421" w:rsidRDefault="00D15887" w:rsidP="00252E28">
                  <w:pPr>
                    <w:jc w:val="both"/>
                    <w:rPr>
                      <w:rFonts w:ascii="ITC Avant Garde" w:hAnsi="ITC Avant Garde"/>
                      <w:color w:val="000000"/>
                      <w:sz w:val="18"/>
                      <w:szCs w:val="18"/>
                      <w:shd w:val="clear" w:color="auto" w:fill="FFFFFF"/>
                    </w:rPr>
                  </w:pPr>
                </w:p>
                <w:p w:rsidR="00D15887" w:rsidRPr="00177421" w:rsidRDefault="003721A6" w:rsidP="00252E28">
                  <w:pPr>
                    <w:jc w:val="both"/>
                    <w:rPr>
                      <w:rFonts w:ascii="ITC Avant Garde" w:hAnsi="ITC Avant Garde"/>
                      <w:color w:val="000000"/>
                      <w:sz w:val="18"/>
                      <w:szCs w:val="18"/>
                      <w:shd w:val="clear" w:color="auto" w:fill="FFFFFF"/>
                    </w:rPr>
                  </w:pPr>
                  <w:hyperlink r:id="rId21" w:history="1">
                    <w:r w:rsidR="00D15887" w:rsidRPr="00177421">
                      <w:rPr>
                        <w:rFonts w:ascii="ITC Avant Garde" w:hAnsi="ITC Avant Garde"/>
                        <w:color w:val="000000"/>
                        <w:sz w:val="18"/>
                        <w:szCs w:val="18"/>
                        <w:shd w:val="clear" w:color="auto" w:fill="FFFFFF"/>
                      </w:rPr>
                      <w:t>https://www.boe.es/buscar/act.php?id=BOE-A-2010-1330</w:t>
                    </w:r>
                  </w:hyperlink>
                </w:p>
                <w:p w:rsidR="00D15887" w:rsidRPr="00177421" w:rsidRDefault="00D15887" w:rsidP="00252E28">
                  <w:pPr>
                    <w:jc w:val="both"/>
                    <w:rPr>
                      <w:rFonts w:ascii="ITC Avant Garde" w:hAnsi="ITC Avant Garde"/>
                      <w:color w:val="000000"/>
                      <w:sz w:val="18"/>
                      <w:szCs w:val="18"/>
                      <w:shd w:val="clear" w:color="auto" w:fill="FFFFFF"/>
                    </w:rPr>
                  </w:pPr>
                </w:p>
                <w:p w:rsidR="00D15887" w:rsidRPr="00177421" w:rsidRDefault="003721A6" w:rsidP="00252E28">
                  <w:pPr>
                    <w:jc w:val="both"/>
                    <w:rPr>
                      <w:rFonts w:ascii="ITC Avant Garde" w:hAnsi="ITC Avant Garde"/>
                      <w:color w:val="000000"/>
                      <w:sz w:val="18"/>
                      <w:szCs w:val="18"/>
                      <w:shd w:val="clear" w:color="auto" w:fill="FFFFFF"/>
                    </w:rPr>
                  </w:pPr>
                  <w:hyperlink r:id="rId22" w:history="1">
                    <w:r w:rsidR="00D15887" w:rsidRPr="00177421">
                      <w:rPr>
                        <w:rFonts w:ascii="ITC Avant Garde" w:hAnsi="ITC Avant Garde"/>
                        <w:color w:val="000000"/>
                        <w:sz w:val="18"/>
                        <w:szCs w:val="18"/>
                        <w:shd w:val="clear" w:color="auto" w:fill="FFFFFF"/>
                      </w:rPr>
                      <w:t>https://www.boe.es/buscar/act.php?id=BOE-A-2009-18358</w:t>
                    </w:r>
                  </w:hyperlink>
                </w:p>
                <w:p w:rsidR="00D15887" w:rsidRPr="00177421" w:rsidRDefault="00D15887" w:rsidP="00252E28">
                  <w:pPr>
                    <w:jc w:val="both"/>
                    <w:rPr>
                      <w:rFonts w:ascii="ITC Avant Garde" w:hAnsi="ITC Avant Garde"/>
                      <w:color w:val="000000"/>
                      <w:sz w:val="18"/>
                      <w:szCs w:val="18"/>
                      <w:shd w:val="clear" w:color="auto" w:fill="FFFFFF"/>
                    </w:rPr>
                  </w:pPr>
                </w:p>
                <w:p w:rsidR="00A47180" w:rsidRPr="00177421" w:rsidRDefault="003721A6" w:rsidP="00785813">
                  <w:pPr>
                    <w:ind w:left="-21"/>
                    <w:rPr>
                      <w:rFonts w:ascii="ITC Avant Garde" w:hAnsi="ITC Avant Garde"/>
                      <w:color w:val="000000"/>
                      <w:sz w:val="18"/>
                      <w:szCs w:val="18"/>
                      <w:shd w:val="clear" w:color="auto" w:fill="FFFFFF"/>
                    </w:rPr>
                  </w:pPr>
                  <w:hyperlink r:id="rId23" w:history="1">
                    <w:r w:rsidR="00D15887" w:rsidRPr="00177421">
                      <w:rPr>
                        <w:rFonts w:ascii="ITC Avant Garde" w:hAnsi="ITC Avant Garde"/>
                        <w:color w:val="000000"/>
                        <w:sz w:val="18"/>
                        <w:szCs w:val="18"/>
                        <w:shd w:val="clear" w:color="auto" w:fill="FFFFFF"/>
                      </w:rPr>
                      <w:t>https://www.cnmc.es/sites/default/files/2018-06-18_Resolucion_Pol%C3%ADtica_de_Seguridad_de_la_Informaci%C3%B3n.pdf</w:t>
                    </w:r>
                  </w:hyperlink>
                </w:p>
              </w:tc>
            </w:tr>
            <w:tr w:rsidR="00DC156F" w:rsidRPr="00DD06A0" w:rsidTr="00DC156F">
              <w:tc>
                <w:tcPr>
                  <w:tcW w:w="3993" w:type="dxa"/>
                </w:tcPr>
                <w:p w:rsidR="00DC156F" w:rsidRPr="00F5394C" w:rsidRDefault="00DC156F" w:rsidP="00252E28">
                  <w:pPr>
                    <w:jc w:val="both"/>
                    <w:rPr>
                      <w:rFonts w:ascii="ITC Avant Garde" w:hAnsi="ITC Avant Garde"/>
                      <w:sz w:val="18"/>
                      <w:szCs w:val="18"/>
                    </w:rPr>
                  </w:pPr>
                  <w:r w:rsidRPr="00F5394C">
                    <w:rPr>
                      <w:rFonts w:ascii="ITC Avant Garde" w:hAnsi="ITC Avant Garde"/>
                      <w:sz w:val="18"/>
                      <w:szCs w:val="18"/>
                    </w:rPr>
                    <w:lastRenderedPageBreak/>
                    <w:t>Información adicional:</w:t>
                  </w:r>
                </w:p>
              </w:tc>
              <w:tc>
                <w:tcPr>
                  <w:tcW w:w="4609" w:type="dxa"/>
                </w:tcPr>
                <w:p w:rsidR="00A47180" w:rsidRPr="00F5394C" w:rsidRDefault="00FD1B1B" w:rsidP="00252E28">
                  <w:pPr>
                    <w:jc w:val="both"/>
                    <w:rPr>
                      <w:rFonts w:ascii="ITC Avant Garde" w:hAnsi="ITC Avant Garde"/>
                      <w:sz w:val="18"/>
                      <w:szCs w:val="18"/>
                    </w:rPr>
                  </w:pPr>
                  <w:r w:rsidRPr="00F5394C">
                    <w:rPr>
                      <w:rFonts w:ascii="ITC Avant Garde" w:hAnsi="ITC Avant Garde"/>
                      <w:sz w:val="18"/>
                      <w:szCs w:val="18"/>
                    </w:rPr>
                    <w:t xml:space="preserve">La Sede Electrónica de la Comisión Nacional de los Mercados y la Competencia, </w:t>
                  </w:r>
                  <w:r w:rsidR="00392F91" w:rsidRPr="00392F91">
                    <w:rPr>
                      <w:rFonts w:ascii="ITC Avant Garde" w:hAnsi="ITC Avant Garde"/>
                      <w:sz w:val="18"/>
                      <w:szCs w:val="18"/>
                    </w:rPr>
                    <w:t>proporciona un punto de acceso a los servicios electrónicos</w:t>
                  </w:r>
                  <w:r w:rsidR="00392F91">
                    <w:rPr>
                      <w:rFonts w:ascii="ITC Avant Garde" w:hAnsi="ITC Avant Garde"/>
                      <w:sz w:val="18"/>
                      <w:szCs w:val="18"/>
                    </w:rPr>
                    <w:t xml:space="preserve">/ trámites vinculados, no únicamente a sector telecomunicaciones sino también </w:t>
                  </w:r>
                  <w:r w:rsidR="00DE55F3">
                    <w:rPr>
                      <w:rFonts w:ascii="ITC Avant Garde" w:hAnsi="ITC Avant Garde"/>
                      <w:sz w:val="18"/>
                      <w:szCs w:val="18"/>
                    </w:rPr>
                    <w:t>Transporte, Energía, Competencia, entre otros.</w:t>
                  </w:r>
                </w:p>
              </w:tc>
            </w:tr>
          </w:tbl>
          <w:p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EE7652" w:rsidRPr="00DD06A0" w:rsidTr="00FE604D">
              <w:tc>
                <w:tcPr>
                  <w:tcW w:w="8602" w:type="dxa"/>
                  <w:gridSpan w:val="2"/>
                  <w:shd w:val="clear" w:color="auto" w:fill="A8D08D" w:themeFill="accent6" w:themeFillTint="99"/>
                </w:tcPr>
                <w:p w:rsidR="00EE7652" w:rsidRPr="00DD06A0" w:rsidRDefault="00EE7652" w:rsidP="00EE7652">
                  <w:pPr>
                    <w:jc w:val="both"/>
                    <w:rPr>
                      <w:rFonts w:ascii="ITC Avant Garde" w:hAnsi="ITC Avant Garde"/>
                      <w:b/>
                      <w:sz w:val="18"/>
                      <w:szCs w:val="18"/>
                    </w:rPr>
                  </w:pPr>
                  <w:r>
                    <w:rPr>
                      <w:rFonts w:ascii="ITC Avant Garde" w:hAnsi="ITC Avant Garde"/>
                      <w:b/>
                      <w:sz w:val="18"/>
                      <w:szCs w:val="18"/>
                    </w:rPr>
                    <w:t>Caso 2</w:t>
                  </w:r>
                </w:p>
              </w:tc>
            </w:tr>
            <w:tr w:rsidR="00EE7652" w:rsidRPr="00DD06A0" w:rsidTr="00FE604D">
              <w:tc>
                <w:tcPr>
                  <w:tcW w:w="3993" w:type="dxa"/>
                </w:tcPr>
                <w:p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EE7652" w:rsidRPr="00DD06A0" w:rsidRDefault="00EE7652" w:rsidP="00EE7652">
                  <w:pPr>
                    <w:jc w:val="both"/>
                    <w:rPr>
                      <w:rFonts w:ascii="ITC Avant Garde" w:hAnsi="ITC Avant Garde"/>
                      <w:sz w:val="18"/>
                      <w:szCs w:val="18"/>
                    </w:rPr>
                  </w:pPr>
                  <w:r>
                    <w:rPr>
                      <w:rFonts w:ascii="ITC Avant Garde" w:hAnsi="ITC Avant Garde"/>
                      <w:sz w:val="18"/>
                      <w:szCs w:val="18"/>
                    </w:rPr>
                    <w:t>Italia</w:t>
                  </w:r>
                </w:p>
              </w:tc>
            </w:tr>
            <w:tr w:rsidR="00EE7652" w:rsidRPr="00DD06A0" w:rsidTr="00FE604D">
              <w:tc>
                <w:tcPr>
                  <w:tcW w:w="3993" w:type="dxa"/>
                </w:tcPr>
                <w:p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EE7652" w:rsidRPr="00D260AF" w:rsidRDefault="00681EF4" w:rsidP="00EE7652">
                  <w:pPr>
                    <w:jc w:val="both"/>
                    <w:rPr>
                      <w:rFonts w:ascii="ITC Avant Garde" w:hAnsi="ITC Avant Garde"/>
                      <w:bCs/>
                      <w:sz w:val="18"/>
                      <w:szCs w:val="18"/>
                    </w:rPr>
                  </w:pPr>
                  <w:r>
                    <w:rPr>
                      <w:rFonts w:ascii="ITC Avant Garde" w:hAnsi="ITC Avant Garde"/>
                      <w:bCs/>
                      <w:sz w:val="18"/>
                      <w:szCs w:val="18"/>
                    </w:rPr>
                    <w:t>“</w:t>
                  </w:r>
                  <w:r w:rsidR="00EE7652" w:rsidRPr="00D260AF">
                    <w:rPr>
                      <w:rFonts w:ascii="ITC Avant Garde" w:hAnsi="ITC Avant Garde"/>
                      <w:bCs/>
                      <w:sz w:val="18"/>
                      <w:szCs w:val="18"/>
                    </w:rPr>
                    <w:t>Reglamento relativo a la resolución de conflictos entre operadores</w:t>
                  </w:r>
                  <w:r>
                    <w:rPr>
                      <w:rFonts w:ascii="ITC Avant Garde" w:hAnsi="ITC Avant Garde"/>
                      <w:bCs/>
                      <w:sz w:val="18"/>
                      <w:szCs w:val="18"/>
                    </w:rPr>
                    <w:t>”</w:t>
                  </w:r>
                </w:p>
              </w:tc>
            </w:tr>
            <w:tr w:rsidR="00EE7652" w:rsidRPr="00DD06A0" w:rsidTr="00FE604D">
              <w:tc>
                <w:tcPr>
                  <w:tcW w:w="3993" w:type="dxa"/>
                </w:tcPr>
                <w:p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EE7652" w:rsidRDefault="00EE7652" w:rsidP="00EE7652">
                  <w:pPr>
                    <w:jc w:val="both"/>
                    <w:rPr>
                      <w:rFonts w:ascii="ITC Avant Garde" w:hAnsi="ITC Avant Garde"/>
                      <w:sz w:val="18"/>
                      <w:szCs w:val="18"/>
                    </w:rPr>
                  </w:pPr>
                  <w:r w:rsidRPr="00D260AF">
                    <w:rPr>
                      <w:rFonts w:ascii="ITC Avant Garde" w:hAnsi="ITC Avant Garde"/>
                      <w:sz w:val="18"/>
                      <w:szCs w:val="18"/>
                    </w:rPr>
                    <w:t xml:space="preserve">El regulador AGCOM </w:t>
                  </w:r>
                  <w:r>
                    <w:rPr>
                      <w:rFonts w:ascii="ITC Avant Garde" w:hAnsi="ITC Avant Garde"/>
                      <w:sz w:val="18"/>
                      <w:szCs w:val="18"/>
                    </w:rPr>
                    <w:t xml:space="preserve">de Italia, establece el </w:t>
                  </w:r>
                  <w:r w:rsidRPr="00FF372A">
                    <w:rPr>
                      <w:rFonts w:ascii="ITC Avant Garde" w:hAnsi="ITC Avant Garde"/>
                      <w:sz w:val="18"/>
                      <w:szCs w:val="18"/>
                    </w:rPr>
                    <w:t xml:space="preserve">Reglamento de terminación </w:t>
                  </w:r>
                  <w:r>
                    <w:rPr>
                      <w:rFonts w:ascii="ITC Avant Garde" w:hAnsi="ITC Avant Garde"/>
                      <w:sz w:val="18"/>
                      <w:szCs w:val="18"/>
                    </w:rPr>
                    <w:t xml:space="preserve">de </w:t>
                  </w:r>
                  <w:r w:rsidRPr="00FF372A">
                    <w:rPr>
                      <w:rFonts w:ascii="ITC Avant Garde" w:hAnsi="ITC Avant Garde"/>
                      <w:sz w:val="18"/>
                      <w:szCs w:val="18"/>
                    </w:rPr>
                    <w:t>disputas entre operadores</w:t>
                  </w:r>
                  <w:r>
                    <w:rPr>
                      <w:rFonts w:ascii="ITC Avant Garde" w:hAnsi="ITC Avant Garde"/>
                      <w:sz w:val="18"/>
                      <w:szCs w:val="18"/>
                    </w:rPr>
                    <w:t>, mediante el cual atiende desacuerdos</w:t>
                  </w:r>
                  <w:r w:rsidRPr="00FF372A">
                    <w:rPr>
                      <w:rFonts w:ascii="ITC Avant Garde" w:hAnsi="ITC Avant Garde"/>
                      <w:sz w:val="18"/>
                      <w:szCs w:val="18"/>
                    </w:rPr>
                    <w:t xml:space="preserve"> </w:t>
                  </w:r>
                  <w:r>
                    <w:rPr>
                      <w:rFonts w:ascii="ITC Avant Garde" w:hAnsi="ITC Avant Garde"/>
                      <w:sz w:val="18"/>
                      <w:szCs w:val="18"/>
                    </w:rPr>
                    <w:t xml:space="preserve">de interconexión </w:t>
                  </w:r>
                  <w:r w:rsidRPr="00FF372A">
                    <w:rPr>
                      <w:rFonts w:ascii="ITC Avant Garde" w:hAnsi="ITC Avant Garde"/>
                      <w:sz w:val="18"/>
                      <w:szCs w:val="18"/>
                    </w:rPr>
                    <w:t>entre empresas que proporcionan redes o servicios de comunicaciones electrónicas</w:t>
                  </w:r>
                  <w:r>
                    <w:rPr>
                      <w:rFonts w:ascii="ITC Avant Garde" w:hAnsi="ITC Avant Garde"/>
                      <w:sz w:val="18"/>
                      <w:szCs w:val="18"/>
                    </w:rPr>
                    <w:t xml:space="preserve">, para esto se menciona en varias partes del reglamento la implementación de medios electrónicos, particularmente correo electrónico certificado, lo </w:t>
                  </w:r>
                  <w:r>
                    <w:rPr>
                      <w:rFonts w:ascii="ITC Avant Garde" w:hAnsi="ITC Avant Garde"/>
                      <w:sz w:val="18"/>
                      <w:szCs w:val="18"/>
                    </w:rPr>
                    <w:lastRenderedPageBreak/>
                    <w:t>anterior a efecto de inicio de procedimiento mediante solicitud debidamente realizada por la parte interesada.</w:t>
                  </w:r>
                </w:p>
                <w:p w:rsidR="00EE7652" w:rsidRDefault="00EE7652" w:rsidP="00EE7652">
                  <w:pPr>
                    <w:jc w:val="both"/>
                    <w:rPr>
                      <w:rFonts w:ascii="ITC Avant Garde" w:hAnsi="ITC Avant Garde"/>
                      <w:sz w:val="18"/>
                      <w:szCs w:val="18"/>
                    </w:rPr>
                  </w:pPr>
                </w:p>
                <w:p w:rsidR="00EE7652" w:rsidRPr="00FF372A" w:rsidRDefault="00EE7652" w:rsidP="00EE7652">
                  <w:pPr>
                    <w:jc w:val="both"/>
                    <w:rPr>
                      <w:rFonts w:ascii="ITC Avant Garde" w:hAnsi="ITC Avant Garde"/>
                      <w:sz w:val="18"/>
                      <w:szCs w:val="18"/>
                    </w:rPr>
                  </w:pPr>
                  <w:r>
                    <w:rPr>
                      <w:rFonts w:ascii="ITC Avant Garde" w:hAnsi="ITC Avant Garde"/>
                      <w:sz w:val="18"/>
                      <w:szCs w:val="18"/>
                    </w:rPr>
                    <w:t>Asimismo, la persona responsable del procedimiento, puede hacer uso de dicho medio electrónico para comunicar algún aviso hacia alguna de las partes participantes en el procedimiento.</w:t>
                  </w:r>
                </w:p>
                <w:p w:rsidR="00EE7652" w:rsidRPr="008A7F63" w:rsidRDefault="00EE7652" w:rsidP="00EE7652">
                  <w:pPr>
                    <w:jc w:val="both"/>
                    <w:rPr>
                      <w:rFonts w:ascii="ITC Avant Garde" w:hAnsi="ITC Avant Garde"/>
                      <w:sz w:val="18"/>
                      <w:szCs w:val="18"/>
                      <w:highlight w:val="yellow"/>
                    </w:rPr>
                  </w:pPr>
                </w:p>
              </w:tc>
            </w:tr>
            <w:tr w:rsidR="00EE7652" w:rsidRPr="00DD06A0" w:rsidTr="00FE604D">
              <w:tc>
                <w:tcPr>
                  <w:tcW w:w="3993" w:type="dxa"/>
                </w:tcPr>
                <w:p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EE7652" w:rsidRPr="00F66D59" w:rsidRDefault="00EE7652" w:rsidP="00EE7652">
                  <w:pPr>
                    <w:jc w:val="both"/>
                    <w:rPr>
                      <w:rFonts w:ascii="ITC Avant Garde" w:hAnsi="ITC Avant Garde"/>
                      <w:bCs/>
                      <w:sz w:val="18"/>
                      <w:szCs w:val="18"/>
                    </w:rPr>
                  </w:pPr>
                  <w:r w:rsidRPr="00F66D59">
                    <w:rPr>
                      <w:rFonts w:ascii="ITC Avant Garde" w:hAnsi="ITC Avant Garde"/>
                      <w:bCs/>
                      <w:sz w:val="18"/>
                      <w:szCs w:val="18"/>
                    </w:rPr>
                    <w:t>Resolución 226/15 / CONS</w:t>
                  </w:r>
                </w:p>
              </w:tc>
            </w:tr>
            <w:tr w:rsidR="00EE7652" w:rsidRPr="00DD06A0" w:rsidTr="00FE604D">
              <w:tc>
                <w:tcPr>
                  <w:tcW w:w="3993" w:type="dxa"/>
                </w:tcPr>
                <w:p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EE7652" w:rsidRPr="00F66D59" w:rsidRDefault="003721A6" w:rsidP="00EE7652">
                  <w:pPr>
                    <w:jc w:val="both"/>
                    <w:rPr>
                      <w:rFonts w:ascii="ITC Avant Garde" w:hAnsi="ITC Avant Garde"/>
                      <w:bCs/>
                      <w:sz w:val="18"/>
                      <w:szCs w:val="18"/>
                    </w:rPr>
                  </w:pPr>
                  <w:hyperlink r:id="rId24" w:history="1">
                    <w:r w:rsidR="00EE7652" w:rsidRPr="00B443A9">
                      <w:rPr>
                        <w:rStyle w:val="Hipervnculo"/>
                        <w:rFonts w:ascii="ITC Avant Garde" w:hAnsi="ITC Avant Garde"/>
                        <w:bCs/>
                        <w:sz w:val="18"/>
                        <w:szCs w:val="18"/>
                      </w:rPr>
                      <w:t>https://www.agcom.it/documents/10179/1767948/Allegato+12-8-2015/94a518e6-c380-44a9-a9cb-e6a2f3adc642?version=1.0</w:t>
                    </w:r>
                  </w:hyperlink>
                </w:p>
              </w:tc>
            </w:tr>
            <w:tr w:rsidR="00EE7652" w:rsidRPr="00DD06A0" w:rsidTr="00FE604D">
              <w:tc>
                <w:tcPr>
                  <w:tcW w:w="3993" w:type="dxa"/>
                </w:tcPr>
                <w:p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EE7652" w:rsidRPr="00DD06A0" w:rsidRDefault="00EE7652" w:rsidP="00EE7652">
                  <w:pPr>
                    <w:jc w:val="both"/>
                    <w:rPr>
                      <w:rFonts w:ascii="ITC Avant Garde" w:hAnsi="ITC Avant Garde"/>
                      <w:sz w:val="18"/>
                      <w:szCs w:val="18"/>
                    </w:rPr>
                  </w:pPr>
                  <w:r>
                    <w:rPr>
                      <w:rFonts w:ascii="ITC Avant Garde" w:hAnsi="ITC Avant Garde"/>
                      <w:sz w:val="18"/>
                      <w:szCs w:val="18"/>
                    </w:rPr>
                    <w:t>N/A</w:t>
                  </w:r>
                </w:p>
              </w:tc>
            </w:tr>
          </w:tbl>
          <w:p w:rsidR="00DC156F" w:rsidRDefault="00DC156F" w:rsidP="00225DA6">
            <w:pPr>
              <w:jc w:val="both"/>
              <w:rPr>
                <w:rFonts w:ascii="ITC Avant Garde" w:hAnsi="ITC Avant Garde"/>
                <w:sz w:val="18"/>
                <w:szCs w:val="18"/>
                <w:highlight w:val="yellow"/>
              </w:rPr>
            </w:pPr>
          </w:p>
          <w:p w:rsidR="002025CB" w:rsidRPr="00DD06A0" w:rsidRDefault="002025CB" w:rsidP="00225DA6">
            <w:pPr>
              <w:jc w:val="both"/>
              <w:rPr>
                <w:rFonts w:ascii="ITC Avant Garde" w:hAnsi="ITC Avant Garde"/>
                <w:sz w:val="18"/>
                <w:szCs w:val="18"/>
                <w:highlight w:val="yellow"/>
              </w:rPr>
            </w:pPr>
          </w:p>
        </w:tc>
      </w:tr>
    </w:tbl>
    <w:p w:rsidR="00F0449E" w:rsidRPr="00DD06A0" w:rsidRDefault="00F0449E" w:rsidP="001932FC">
      <w:pPr>
        <w:jc w:val="both"/>
        <w:rPr>
          <w:rFonts w:ascii="ITC Avant Garde" w:hAnsi="ITC Avant Garde"/>
          <w:sz w:val="18"/>
          <w:szCs w:val="18"/>
        </w:rPr>
      </w:pPr>
    </w:p>
    <w:p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rsidTr="00225DA6">
        <w:tc>
          <w:tcPr>
            <w:tcW w:w="8828" w:type="dxa"/>
          </w:tcPr>
          <w:p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rsidR="00DC156F" w:rsidRPr="00DD06A0" w:rsidRDefault="00DC156F" w:rsidP="00225DA6">
            <w:pPr>
              <w:jc w:val="both"/>
              <w:rPr>
                <w:rFonts w:ascii="ITC Avant Garde" w:hAnsi="ITC Avant Garde"/>
                <w:sz w:val="18"/>
                <w:szCs w:val="18"/>
              </w:rPr>
            </w:pPr>
          </w:p>
          <w:p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rsidTr="00225DA6">
              <w:trPr>
                <w:trHeight w:val="270"/>
              </w:trPr>
              <w:tc>
                <w:tcPr>
                  <w:tcW w:w="2273" w:type="dxa"/>
                  <w:shd w:val="clear" w:color="auto" w:fill="A8D08D" w:themeFill="accent6" w:themeFillTint="99"/>
                </w:tcPr>
                <w:p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rsidTr="00225DA6">
              <w:trPr>
                <w:trHeight w:val="230"/>
              </w:trPr>
              <w:tc>
                <w:tcPr>
                  <w:tcW w:w="2273" w:type="dxa"/>
                  <w:shd w:val="clear" w:color="auto" w:fill="E2EFD9" w:themeFill="accent6" w:themeFillTint="33"/>
                </w:tcPr>
                <w:p w:rsidR="00DC156F" w:rsidRPr="00DD06A0" w:rsidRDefault="003721A6"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97456">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DC156F" w:rsidRPr="00DD06A0" w:rsidRDefault="00605CCB" w:rsidP="00225DA6">
                      <w:pPr>
                        <w:ind w:left="171" w:hanging="171"/>
                        <w:jc w:val="both"/>
                        <w:rPr>
                          <w:rFonts w:ascii="ITC Avant Garde" w:hAnsi="ITC Avant Garde"/>
                          <w:sz w:val="18"/>
                          <w:szCs w:val="18"/>
                        </w:rPr>
                      </w:pPr>
                      <w:r>
                        <w:rPr>
                          <w:rFonts w:ascii="ITC Avant Garde" w:hAnsi="ITC Avant Garde"/>
                          <w:sz w:val="18"/>
                          <w:szCs w:val="18"/>
                        </w:rPr>
                        <w:t>Inicio de procedimiento</w:t>
                      </w:r>
                    </w:p>
                  </w:sdtContent>
                </w:sdt>
              </w:tc>
            </w:tr>
          </w:tbl>
          <w:p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rsidTr="00225DA6">
              <w:trPr>
                <w:jc w:val="right"/>
              </w:trPr>
              <w:tc>
                <w:tcPr>
                  <w:tcW w:w="8529" w:type="dxa"/>
                  <w:gridSpan w:val="3"/>
                  <w:tcBorders>
                    <w:left w:val="single" w:sz="4" w:space="0" w:color="auto"/>
                  </w:tcBorders>
                  <w:shd w:val="clear" w:color="auto" w:fill="A8D08D" w:themeFill="accent6" w:themeFillTint="99"/>
                </w:tcPr>
                <w:p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930781">
                    <w:rPr>
                      <w:rFonts w:ascii="ITC Avant Garde" w:hAnsi="ITC Avant Garde"/>
                      <w:sz w:val="18"/>
                      <w:szCs w:val="18"/>
                    </w:rPr>
                    <w:t xml:space="preserve"> </w:t>
                  </w:r>
                  <w:r w:rsidR="00597456">
                    <w:rPr>
                      <w:rFonts w:ascii="ITC Avant Garde" w:hAnsi="ITC Avant Garde"/>
                      <w:sz w:val="18"/>
                      <w:szCs w:val="18"/>
                    </w:rPr>
                    <w:t>Solicitud de Resolución de Desacuerdos de Interconexión</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930781">
                    <w:rPr>
                      <w:rFonts w:ascii="ITC Avant Garde" w:hAnsi="ITC Avant Garde"/>
                      <w:sz w:val="18"/>
                      <w:szCs w:val="18"/>
                    </w:rPr>
                    <w:t xml:space="preserve"> Lineamiento Quinto del proyecto</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930781">
                    <w:rPr>
                      <w:rFonts w:ascii="ITC Avant Garde" w:hAnsi="ITC Avant Garde"/>
                      <w:sz w:val="18"/>
                      <w:szCs w:val="18"/>
                    </w:rPr>
                    <w:t xml:space="preserve"> los concesionarios de red pública de telecomunicaciones que opten por presentar la Solicitud de resolución de desacuerdo de interconexión, a través de la Ventanilla Electrónica, en los términos y plazos establecidos en el artículo 129 de la LFTR.</w:t>
                  </w:r>
                </w:p>
              </w:tc>
            </w:tr>
            <w:tr w:rsidR="00DC156F" w:rsidRPr="00DD06A0" w:rsidTr="00225DA6">
              <w:trPr>
                <w:trHeight w:val="252"/>
                <w:jc w:val="right"/>
              </w:trPr>
              <w:tc>
                <w:tcPr>
                  <w:tcW w:w="8529" w:type="dxa"/>
                  <w:gridSpan w:val="3"/>
                  <w:tcBorders>
                    <w:left w:val="single" w:sz="4" w:space="0" w:color="auto"/>
                  </w:tcBorders>
                  <w:shd w:val="clear" w:color="auto" w:fill="FFFFFF" w:themeFill="background1"/>
                </w:tcPr>
                <w:p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r w:rsidR="00930781">
                    <w:rPr>
                      <w:rFonts w:ascii="ITC Avant Garde" w:hAnsi="ITC Avant Garde"/>
                      <w:sz w:val="18"/>
                      <w:szCs w:val="18"/>
                    </w:rPr>
                    <w:t xml:space="preserve">  a través</w:t>
                  </w:r>
                  <w:r w:rsidR="00597456">
                    <w:rPr>
                      <w:rFonts w:ascii="ITC Avant Garde" w:hAnsi="ITC Avant Garde"/>
                      <w:sz w:val="18"/>
                      <w:szCs w:val="18"/>
                    </w:rPr>
                    <w:t xml:space="preserve"> de Ventanilla Electrónica con </w:t>
                  </w:r>
                  <w:r w:rsidR="00930781">
                    <w:rPr>
                      <w:rFonts w:ascii="ITC Avant Garde" w:hAnsi="ITC Avant Garde"/>
                      <w:sz w:val="18"/>
                      <w:szCs w:val="18"/>
                    </w:rPr>
                    <w:t>el eFormato correspondiente</w:t>
                  </w:r>
                </w:p>
              </w:tc>
            </w:tr>
            <w:tr w:rsidR="00DC156F" w:rsidRPr="00DD06A0"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DC156F" w:rsidRPr="00DD06A0" w:rsidRDefault="00930781" w:rsidP="007440FC">
                      <w:pPr>
                        <w:rPr>
                          <w:rFonts w:ascii="ITC Avant Garde" w:hAnsi="ITC Avant Garde"/>
                          <w:sz w:val="18"/>
                          <w:szCs w:val="18"/>
                        </w:rPr>
                      </w:pPr>
                      <w:r>
                        <w:rPr>
                          <w:rFonts w:ascii="ITC Avant Garde" w:hAnsi="ITC Avant Garde"/>
                          <w:sz w:val="18"/>
                          <w:szCs w:val="18"/>
                        </w:rPr>
                        <w:t>Internet</w:t>
                      </w:r>
                    </w:p>
                  </w:tc>
                </w:sdtContent>
              </w:sdt>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597456">
                  <w:pPr>
                    <w:rPr>
                      <w:rFonts w:ascii="ITC Avant Garde" w:hAnsi="ITC Avant Garde"/>
                      <w:sz w:val="18"/>
                      <w:szCs w:val="18"/>
                    </w:rPr>
                  </w:pPr>
                  <w:r w:rsidRPr="00DD06A0">
                    <w:rPr>
                      <w:rFonts w:ascii="ITC Avant Garde" w:hAnsi="ITC Avant Garde"/>
                      <w:sz w:val="18"/>
                      <w:szCs w:val="18"/>
                    </w:rPr>
                    <w:t xml:space="preserve">Plazo máximo para resolver el trámite: </w:t>
                  </w:r>
                  <w:r w:rsidR="00597456">
                    <w:rPr>
                      <w:rFonts w:ascii="ITC Avant Garde" w:hAnsi="ITC Avant Garde"/>
                      <w:sz w:val="18"/>
                      <w:szCs w:val="18"/>
                    </w:rPr>
                    <w:t>C</w:t>
                  </w:r>
                  <w:r w:rsidR="005C16D0">
                    <w:rPr>
                      <w:rFonts w:ascii="ITC Avant Garde" w:hAnsi="ITC Avant Garde"/>
                      <w:sz w:val="18"/>
                      <w:szCs w:val="18"/>
                    </w:rPr>
                    <w:t>oncluido el plazo para formular alegatos en un plazo no mayor a treinta (30) días hábiles</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r w:rsidR="005C16D0">
                    <w:rPr>
                      <w:rFonts w:ascii="ITC Avant Garde" w:hAnsi="ITC Avant Garde"/>
                      <w:sz w:val="18"/>
                      <w:szCs w:val="18"/>
                    </w:rPr>
                    <w:t xml:space="preserve"> No Aplica</w:t>
                  </w:r>
                </w:p>
              </w:tc>
            </w:tr>
            <w:tr w:rsidR="00DC156F" w:rsidRPr="00DD06A0"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rsidTr="00225DA6">
              <w:trPr>
                <w:jc w:val="right"/>
              </w:trPr>
              <w:tc>
                <w:tcPr>
                  <w:tcW w:w="8529" w:type="dxa"/>
                  <w:gridSpan w:val="3"/>
                  <w:tcBorders>
                    <w:left w:val="single" w:sz="4" w:space="0" w:color="auto"/>
                    <w:bottom w:val="single" w:sz="4" w:space="0" w:color="auto"/>
                  </w:tcBorders>
                  <w:shd w:val="clear" w:color="auto" w:fill="FFFFFF" w:themeFill="background1"/>
                </w:tcPr>
                <w:p w:rsidR="007140E1" w:rsidRPr="00DD06A0" w:rsidRDefault="00DC156F" w:rsidP="00225DA6">
                  <w:pPr>
                    <w:rPr>
                      <w:rFonts w:ascii="ITC Avant Garde" w:hAnsi="ITC Avant Garde"/>
                      <w:sz w:val="18"/>
                      <w:szCs w:val="18"/>
                    </w:rPr>
                  </w:pPr>
                  <w:r w:rsidRPr="00DD06A0">
                    <w:rPr>
                      <w:rFonts w:ascii="ITC Avant Garde" w:hAnsi="ITC Avant Garde"/>
                      <w:sz w:val="18"/>
                      <w:szCs w:val="18"/>
                    </w:rPr>
                    <w:lastRenderedPageBreak/>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5C16D0">
                    <w:rPr>
                      <w:rFonts w:ascii="ITC Avant Garde" w:hAnsi="ITC Avant Garde"/>
                      <w:sz w:val="18"/>
                      <w:szCs w:val="18"/>
                    </w:rPr>
                    <w:t xml:space="preserve"> diez (10) días hábiles posteriores a la emisión del acto administrativo o resolución correspondiente</w:t>
                  </w:r>
                </w:p>
              </w:tc>
            </w:tr>
            <w:tr w:rsidR="00EB24EB" w:rsidRPr="00DD06A0" w:rsidTr="00225DA6">
              <w:trPr>
                <w:jc w:val="right"/>
              </w:trPr>
              <w:tc>
                <w:tcPr>
                  <w:tcW w:w="8529" w:type="dxa"/>
                  <w:gridSpan w:val="3"/>
                  <w:tcBorders>
                    <w:left w:val="single" w:sz="4" w:space="0" w:color="auto"/>
                    <w:bottom w:val="single" w:sz="4" w:space="0" w:color="auto"/>
                  </w:tcBorders>
                  <w:shd w:val="clear" w:color="auto" w:fill="FFFFFF" w:themeFill="background1"/>
                </w:tcPr>
                <w:p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5C16D0">
                    <w:rPr>
                      <w:rFonts w:ascii="ITC Avant Garde" w:hAnsi="ITC Avant Garde"/>
                      <w:sz w:val="18"/>
                      <w:szCs w:val="18"/>
                    </w:rPr>
                    <w:t xml:space="preserve"> No Aplica</w:t>
                  </w:r>
                </w:p>
              </w:tc>
            </w:tr>
            <w:tr w:rsidR="00DC156F" w:rsidRPr="00DD06A0" w:rsidTr="0003274F">
              <w:trPr>
                <w:trHeight w:val="613"/>
                <w:jc w:val="right"/>
              </w:trPr>
              <w:tc>
                <w:tcPr>
                  <w:tcW w:w="8529" w:type="dxa"/>
                  <w:gridSpan w:val="3"/>
                  <w:tcBorders>
                    <w:left w:val="single" w:sz="4" w:space="0" w:color="auto"/>
                    <w:bottom w:val="nil"/>
                  </w:tcBorders>
                  <w:shd w:val="clear" w:color="auto" w:fill="FFFFFF" w:themeFill="background1"/>
                </w:tcPr>
                <w:p w:rsidR="00DC156F" w:rsidRPr="00DD06A0" w:rsidRDefault="00DC156F" w:rsidP="005C16D0">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w:t>
                  </w:r>
                  <w:r w:rsidR="005C16D0">
                    <w:rPr>
                      <w:rFonts w:ascii="ITC Avant Garde" w:hAnsi="ITC Avant Garde"/>
                      <w:sz w:val="18"/>
                      <w:szCs w:val="18"/>
                    </w:rPr>
                    <w:t>0 (cero pesos M.N.).</w:t>
                  </w:r>
                </w:p>
              </w:tc>
            </w:tr>
            <w:tr w:rsidR="00DC156F" w:rsidRPr="00DD06A0" w:rsidTr="00225DA6">
              <w:trPr>
                <w:jc w:val="right"/>
              </w:trPr>
              <w:tc>
                <w:tcPr>
                  <w:tcW w:w="8529" w:type="dxa"/>
                  <w:gridSpan w:val="3"/>
                  <w:tcBorders>
                    <w:left w:val="single" w:sz="4" w:space="0" w:color="auto"/>
                    <w:bottom w:val="nil"/>
                  </w:tcBorders>
                  <w:shd w:val="clear" w:color="auto" w:fill="FFFFFF" w:themeFill="background1"/>
                </w:tcPr>
                <w:p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5C16D0">
                    <w:rPr>
                      <w:rFonts w:ascii="ITC Avant Garde" w:hAnsi="ITC Avant Garde"/>
                      <w:sz w:val="18"/>
                      <w:szCs w:val="18"/>
                    </w:rPr>
                    <w:t xml:space="preserve"> Resolución administrativa de carácter definitivo</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676250">
                    <w:rPr>
                      <w:rFonts w:ascii="ITC Avant Garde" w:hAnsi="ITC Avant Garde"/>
                      <w:sz w:val="18"/>
                      <w:szCs w:val="18"/>
                    </w:rPr>
                    <w:t>: de acuerdo a cada caso específico</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676250">
                    <w:rPr>
                      <w:rFonts w:ascii="ITC Avant Garde" w:hAnsi="ITC Avant Garde"/>
                      <w:sz w:val="18"/>
                      <w:szCs w:val="18"/>
                    </w:rPr>
                    <w:t xml:space="preserve"> El contenido de la normatividad y regulación aplicable en materia de interconexión, especialmente, de conformidad con el Acuerdo de Condiciones Técnicas Mínimas y Tarifas que emita el Instituto.</w:t>
                  </w:r>
                </w:p>
              </w:tc>
            </w:tr>
          </w:tbl>
          <w:p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23"/>
              <w:gridCol w:w="1453"/>
              <w:gridCol w:w="2028"/>
              <w:gridCol w:w="1256"/>
              <w:gridCol w:w="1942"/>
            </w:tblGrid>
            <w:tr w:rsidR="0079137D" w:rsidRPr="00DD06A0" w:rsidTr="00435A5D">
              <w:trPr>
                <w:jc w:val="right"/>
              </w:trPr>
              <w:tc>
                <w:tcPr>
                  <w:tcW w:w="8602" w:type="dxa"/>
                  <w:gridSpan w:val="5"/>
                  <w:tcBorders>
                    <w:left w:val="single" w:sz="4" w:space="0" w:color="auto"/>
                  </w:tcBorders>
                  <w:shd w:val="clear" w:color="auto" w:fill="A8D08D" w:themeFill="accent6" w:themeFillTint="99"/>
                </w:tcPr>
                <w:p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rsidTr="000A730F">
              <w:tblPrEx>
                <w:jc w:val="center"/>
              </w:tblPrEx>
              <w:trPr>
                <w:jc w:val="center"/>
              </w:trPr>
              <w:tc>
                <w:tcPr>
                  <w:tcW w:w="1923" w:type="dxa"/>
                  <w:tcBorders>
                    <w:bottom w:val="single" w:sz="4" w:space="0" w:color="auto"/>
                  </w:tcBorders>
                  <w:shd w:val="clear" w:color="auto" w:fill="A8D08D" w:themeFill="accent6" w:themeFillTint="99"/>
                  <w:vAlign w:val="center"/>
                </w:tcPr>
                <w:p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2028" w:type="dxa"/>
                  <w:tcBorders>
                    <w:bottom w:val="single" w:sz="4" w:space="0" w:color="auto"/>
                  </w:tcBorders>
                  <w:shd w:val="clear" w:color="auto" w:fill="A8D08D" w:themeFill="accent6" w:themeFillTint="99"/>
                  <w:vAlign w:val="center"/>
                </w:tcPr>
                <w:p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256" w:type="dxa"/>
                  <w:tcBorders>
                    <w:bottom w:val="single" w:sz="4" w:space="0" w:color="auto"/>
                  </w:tcBorders>
                  <w:shd w:val="clear" w:color="auto" w:fill="A8D08D" w:themeFill="accent6" w:themeFillTint="99"/>
                  <w:vAlign w:val="center"/>
                </w:tcPr>
                <w:p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1942" w:type="dxa"/>
                  <w:tcBorders>
                    <w:bottom w:val="single" w:sz="4" w:space="0" w:color="auto"/>
                  </w:tcBorders>
                  <w:shd w:val="clear" w:color="auto" w:fill="A8D08D" w:themeFill="accent6" w:themeFillTint="99"/>
                  <w:vAlign w:val="center"/>
                </w:tcPr>
                <w:p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rsidTr="000A730F">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552E7C" w:rsidRPr="00DD06A0" w:rsidRDefault="00FE604D" w:rsidP="0003274F">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552E7C" w:rsidRPr="00DD06A0" w:rsidRDefault="00FE604D" w:rsidP="0003274F">
                      <w:pPr>
                        <w:jc w:val="center"/>
                        <w:rPr>
                          <w:rFonts w:ascii="ITC Avant Garde" w:hAnsi="ITC Avant Garde"/>
                          <w:sz w:val="18"/>
                          <w:szCs w:val="18"/>
                          <w:highlight w:val="yellow"/>
                        </w:rPr>
                      </w:pPr>
                      <w:r>
                        <w:rPr>
                          <w:rFonts w:ascii="ITC Avant Garde" w:hAnsi="ITC Avant Garde"/>
                          <w:sz w:val="18"/>
                          <w:szCs w:val="18"/>
                        </w:rPr>
                        <w:t>UPR</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E7C" w:rsidRPr="00643588" w:rsidRDefault="00FE604D" w:rsidP="00EA1D0E">
                  <w:pPr>
                    <w:jc w:val="center"/>
                    <w:rPr>
                      <w:rFonts w:ascii="ITC Avant Garde" w:hAnsi="ITC Avant Garde"/>
                      <w:sz w:val="18"/>
                      <w:szCs w:val="18"/>
                    </w:rPr>
                  </w:pPr>
                  <w:r>
                    <w:rPr>
                      <w:rFonts w:ascii="ITC Avant Garde" w:hAnsi="ITC Avant Garde"/>
                      <w:sz w:val="18"/>
                      <w:szCs w:val="18"/>
                    </w:rPr>
                    <w:t>Directora General de Regulación de Interconexión y Reventa de Servicios de Telecomunicaciones</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E7C" w:rsidRPr="00643588" w:rsidRDefault="00FF1759" w:rsidP="00FE604D">
                  <w:pPr>
                    <w:jc w:val="center"/>
                    <w:rPr>
                      <w:rFonts w:ascii="ITC Avant Garde" w:hAnsi="ITC Avant Garde"/>
                      <w:sz w:val="18"/>
                      <w:szCs w:val="18"/>
                    </w:rPr>
                  </w:pPr>
                  <w:r>
                    <w:rPr>
                      <w:rFonts w:ascii="ITC Avant Garde" w:hAnsi="ITC Avant Garde"/>
                      <w:sz w:val="18"/>
                      <w:szCs w:val="18"/>
                    </w:rPr>
                    <w:t>1 día hábil</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E7C" w:rsidRPr="00643588" w:rsidRDefault="00FF1759" w:rsidP="006A2765">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435A5D" w:rsidRPr="00DD06A0" w:rsidTr="000A730F">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435A5D" w:rsidRPr="00DD06A0" w:rsidRDefault="00FF1759" w:rsidP="00435A5D">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A5D" w:rsidRPr="00DD06A0" w:rsidRDefault="00FF1759" w:rsidP="00435A5D">
                      <w:pPr>
                        <w:jc w:val="center"/>
                        <w:rPr>
                          <w:rFonts w:ascii="ITC Avant Garde" w:hAnsi="ITC Avant Garde"/>
                          <w:sz w:val="18"/>
                          <w:szCs w:val="18"/>
                        </w:rPr>
                      </w:pPr>
                      <w:r>
                        <w:rPr>
                          <w:rFonts w:ascii="ITC Avant Garde" w:hAnsi="ITC Avant Garde"/>
                          <w:sz w:val="18"/>
                          <w:szCs w:val="18"/>
                        </w:rPr>
                        <w:t>UPR</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rsidR="00FF1759" w:rsidRDefault="00FF1759" w:rsidP="00435A5D">
                  <w:pPr>
                    <w:jc w:val="center"/>
                    <w:rPr>
                      <w:rFonts w:ascii="ITC Avant Garde" w:hAnsi="ITC Avant Garde"/>
                      <w:sz w:val="18"/>
                      <w:szCs w:val="18"/>
                    </w:rPr>
                  </w:pPr>
                </w:p>
                <w:p w:rsidR="00FF1759" w:rsidRDefault="00FF1759" w:rsidP="00435A5D">
                  <w:pPr>
                    <w:jc w:val="center"/>
                    <w:rPr>
                      <w:rFonts w:ascii="ITC Avant Garde" w:hAnsi="ITC Avant Garde"/>
                      <w:sz w:val="18"/>
                      <w:szCs w:val="18"/>
                    </w:rPr>
                  </w:pPr>
                </w:p>
                <w:p w:rsidR="00435A5D" w:rsidRPr="00DD06A0" w:rsidRDefault="00FF1759" w:rsidP="00435A5D">
                  <w:pPr>
                    <w:jc w:val="center"/>
                    <w:rPr>
                      <w:rFonts w:ascii="ITC Avant Garde" w:hAnsi="ITC Avant Garde"/>
                      <w:sz w:val="18"/>
                      <w:szCs w:val="18"/>
                    </w:rPr>
                  </w:pPr>
                  <w:r>
                    <w:rPr>
                      <w:rFonts w:ascii="ITC Avant Garde" w:hAnsi="ITC Avant Garde"/>
                      <w:sz w:val="18"/>
                      <w:szCs w:val="18"/>
                    </w:rPr>
                    <w:t>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A5D" w:rsidRPr="00DD06A0" w:rsidRDefault="00FF1759" w:rsidP="00435A5D">
                  <w:pPr>
                    <w:jc w:val="center"/>
                    <w:rPr>
                      <w:rFonts w:ascii="ITC Avant Garde" w:hAnsi="ITC Avant Garde"/>
                      <w:sz w:val="18"/>
                      <w:szCs w:val="18"/>
                    </w:rPr>
                  </w:pPr>
                  <w:r>
                    <w:rPr>
                      <w:rFonts w:ascii="ITC Avant Garde" w:hAnsi="ITC Avant Garde"/>
                      <w:sz w:val="18"/>
                      <w:szCs w:val="18"/>
                    </w:rPr>
                    <w:t>1 día hábil</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A5D" w:rsidRPr="00DD06A0" w:rsidRDefault="00FF1759" w:rsidP="00435A5D">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435A5D" w:rsidRPr="00DD06A0" w:rsidTr="000A730F">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435A5D" w:rsidRPr="00DD06A0" w:rsidRDefault="00FF1759" w:rsidP="00435A5D">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A5D" w:rsidRPr="00DD06A0" w:rsidRDefault="00FF1759" w:rsidP="00435A5D">
                      <w:pPr>
                        <w:jc w:val="center"/>
                        <w:rPr>
                          <w:rFonts w:ascii="ITC Avant Garde" w:hAnsi="ITC Avant Garde"/>
                          <w:sz w:val="18"/>
                          <w:szCs w:val="18"/>
                        </w:rPr>
                      </w:pPr>
                      <w:r>
                        <w:rPr>
                          <w:rFonts w:ascii="ITC Avant Garde" w:hAnsi="ITC Avant Garde"/>
                          <w:sz w:val="18"/>
                          <w:szCs w:val="18"/>
                        </w:rPr>
                        <w:t>UPR</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rsidR="00435A5D" w:rsidRDefault="00435A5D" w:rsidP="00435A5D">
                  <w:pPr>
                    <w:jc w:val="center"/>
                    <w:rPr>
                      <w:rFonts w:ascii="ITC Avant Garde" w:hAnsi="ITC Avant Garde"/>
                      <w:sz w:val="18"/>
                      <w:szCs w:val="18"/>
                    </w:rPr>
                  </w:pPr>
                </w:p>
                <w:p w:rsidR="00FF1759" w:rsidRPr="00DD06A0" w:rsidRDefault="00FF1759" w:rsidP="00435A5D">
                  <w:pPr>
                    <w:jc w:val="center"/>
                    <w:rPr>
                      <w:rFonts w:ascii="ITC Avant Garde" w:hAnsi="ITC Avant Garde"/>
                      <w:sz w:val="18"/>
                      <w:szCs w:val="18"/>
                    </w:rPr>
                  </w:pPr>
                  <w:r>
                    <w:rPr>
                      <w:rFonts w:ascii="ITC Avant Garde" w:hAnsi="ITC Avant Garde"/>
                      <w:sz w:val="18"/>
                      <w:szCs w:val="18"/>
                    </w:rPr>
                    <w:t>Subdirector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A5D" w:rsidRPr="00DD06A0" w:rsidRDefault="000A730F" w:rsidP="00435A5D">
                  <w:pPr>
                    <w:jc w:val="center"/>
                    <w:rPr>
                      <w:rFonts w:ascii="ITC Avant Garde" w:hAnsi="ITC Avant Garde"/>
                      <w:sz w:val="18"/>
                      <w:szCs w:val="18"/>
                    </w:rPr>
                  </w:pPr>
                  <w:r>
                    <w:rPr>
                      <w:rFonts w:ascii="ITC Avant Garde" w:hAnsi="ITC Avant Garde"/>
                      <w:sz w:val="18"/>
                      <w:szCs w:val="18"/>
                    </w:rPr>
                    <w:t>1.5 horas</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A5D" w:rsidRPr="00DD06A0" w:rsidRDefault="00FF1759" w:rsidP="00435A5D">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435A5D" w:rsidRPr="00DD06A0" w:rsidTr="000A730F">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435A5D" w:rsidRPr="00DD06A0" w:rsidRDefault="000A730F" w:rsidP="00435A5D">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A5D" w:rsidRPr="00DD06A0" w:rsidRDefault="00FF1759" w:rsidP="00435A5D">
                      <w:pPr>
                        <w:jc w:val="center"/>
                        <w:rPr>
                          <w:rFonts w:ascii="ITC Avant Garde" w:hAnsi="ITC Avant Garde"/>
                          <w:sz w:val="18"/>
                          <w:szCs w:val="18"/>
                        </w:rPr>
                      </w:pPr>
                      <w:r>
                        <w:rPr>
                          <w:rFonts w:ascii="ITC Avant Garde" w:hAnsi="ITC Avant Garde"/>
                          <w:sz w:val="18"/>
                          <w:szCs w:val="18"/>
                        </w:rPr>
                        <w:t>UPR</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rsidR="000A730F" w:rsidRPr="00DD06A0" w:rsidRDefault="000A730F" w:rsidP="00435A5D">
                  <w:pPr>
                    <w:jc w:val="center"/>
                    <w:rPr>
                      <w:rFonts w:ascii="ITC Avant Garde" w:hAnsi="ITC Avant Garde"/>
                      <w:sz w:val="18"/>
                      <w:szCs w:val="18"/>
                    </w:rPr>
                  </w:pPr>
                  <w:r>
                    <w:rPr>
                      <w:rFonts w:ascii="ITC Avant Garde" w:hAnsi="ITC Avant Garde"/>
                      <w:sz w:val="18"/>
                      <w:szCs w:val="18"/>
                    </w:rPr>
                    <w:t>Subdirector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A5D" w:rsidRPr="00DD06A0" w:rsidRDefault="000A730F" w:rsidP="000A730F">
                  <w:pPr>
                    <w:jc w:val="center"/>
                    <w:rPr>
                      <w:rFonts w:ascii="ITC Avant Garde" w:hAnsi="ITC Avant Garde"/>
                      <w:sz w:val="18"/>
                      <w:szCs w:val="18"/>
                    </w:rPr>
                  </w:pPr>
                  <w:r>
                    <w:rPr>
                      <w:rFonts w:ascii="ITC Avant Garde" w:hAnsi="ITC Avant Garde"/>
                      <w:sz w:val="18"/>
                      <w:szCs w:val="18"/>
                    </w:rPr>
                    <w:t>1.5 horas</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5A5D" w:rsidRPr="00DD06A0" w:rsidRDefault="000A730F" w:rsidP="00435A5D">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FF1759" w:rsidRPr="00DD06A0" w:rsidTr="000A730F">
              <w:tblPrEx>
                <w:jc w:val="center"/>
              </w:tblPrEx>
              <w:trP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FF1759" w:rsidRDefault="000A730F" w:rsidP="00435A5D">
                  <w:pPr>
                    <w:jc w:val="center"/>
                    <w:rPr>
                      <w:rFonts w:ascii="ITC Avant Garde" w:hAnsi="ITC Avant Garde"/>
                      <w:sz w:val="18"/>
                      <w:szCs w:val="18"/>
                    </w:rPr>
                  </w:pPr>
                  <w:r>
                    <w:rPr>
                      <w:rFonts w:ascii="ITC Avant Garde" w:hAnsi="ITC Avant Garde"/>
                      <w:sz w:val="18"/>
                      <w:szCs w:val="18"/>
                    </w:rPr>
                    <w:t>Seguimiento</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759" w:rsidRDefault="000A730F" w:rsidP="00435A5D">
                  <w:pPr>
                    <w:jc w:val="center"/>
                    <w:rPr>
                      <w:rFonts w:ascii="ITC Avant Garde" w:hAnsi="ITC Avant Garde"/>
                      <w:sz w:val="18"/>
                      <w:szCs w:val="18"/>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rsidR="00FF1759" w:rsidRPr="00DD06A0" w:rsidRDefault="000A730F" w:rsidP="00435A5D">
                  <w:pPr>
                    <w:jc w:val="center"/>
                    <w:rPr>
                      <w:rFonts w:ascii="ITC Avant Garde" w:hAnsi="ITC Avant Garde"/>
                      <w:sz w:val="18"/>
                      <w:szCs w:val="18"/>
                    </w:rPr>
                  </w:pPr>
                  <w:r>
                    <w:rPr>
                      <w:rFonts w:ascii="ITC Avant Garde" w:hAnsi="ITC Avant Garde"/>
                      <w:sz w:val="18"/>
                      <w:szCs w:val="18"/>
                    </w:rPr>
                    <w:t>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759" w:rsidRPr="00DD06A0" w:rsidRDefault="000A730F" w:rsidP="000A730F">
                  <w:pPr>
                    <w:jc w:val="center"/>
                    <w:rPr>
                      <w:rFonts w:ascii="ITC Avant Garde" w:hAnsi="ITC Avant Garde"/>
                      <w:sz w:val="18"/>
                      <w:szCs w:val="18"/>
                    </w:rPr>
                  </w:pPr>
                  <w:r>
                    <w:rPr>
                      <w:rFonts w:ascii="ITC Avant Garde" w:hAnsi="ITC Avant Garde"/>
                      <w:sz w:val="18"/>
                      <w:szCs w:val="18"/>
                    </w:rPr>
                    <w:t>1.5 horas</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759" w:rsidRPr="00DD06A0" w:rsidRDefault="000A730F" w:rsidP="00435A5D">
                  <w:pPr>
                    <w:jc w:val="center"/>
                    <w:rPr>
                      <w:rFonts w:ascii="ITC Avant Garde" w:hAnsi="ITC Avant Garde"/>
                      <w:sz w:val="18"/>
                      <w:szCs w:val="18"/>
                    </w:rPr>
                  </w:pPr>
                  <w:r>
                    <w:rPr>
                      <w:rFonts w:ascii="ITC Avant Garde" w:hAnsi="ITC Avant Garde"/>
                      <w:sz w:val="18"/>
                      <w:szCs w:val="18"/>
                    </w:rPr>
                    <w:t xml:space="preserve">Atribuciones establecidas en el Estatuto y el </w:t>
                  </w:r>
                  <w:r>
                    <w:rPr>
                      <w:rFonts w:ascii="ITC Avant Garde" w:hAnsi="ITC Avant Garde"/>
                      <w:sz w:val="18"/>
                      <w:szCs w:val="18"/>
                    </w:rPr>
                    <w:lastRenderedPageBreak/>
                    <w:t>Manual de Organización Específico de la UPR</w:t>
                  </w:r>
                </w:p>
              </w:tc>
            </w:tr>
            <w:tr w:rsidR="000A730F" w:rsidRPr="00DD06A0" w:rsidTr="000A730F">
              <w:tblPrEx>
                <w:jc w:val="center"/>
              </w:tblPrEx>
              <w:trP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0A730F" w:rsidRDefault="000A730F" w:rsidP="000A730F">
                  <w:pPr>
                    <w:jc w:val="center"/>
                    <w:rPr>
                      <w:rFonts w:ascii="ITC Avant Garde" w:hAnsi="ITC Avant Garde"/>
                      <w:sz w:val="18"/>
                      <w:szCs w:val="18"/>
                    </w:rPr>
                  </w:pPr>
                  <w:r>
                    <w:rPr>
                      <w:rFonts w:ascii="ITC Avant Garde" w:hAnsi="ITC Avant Garde"/>
                      <w:sz w:val="18"/>
                      <w:szCs w:val="18"/>
                    </w:rPr>
                    <w:lastRenderedPageBreak/>
                    <w:t xml:space="preserve">Seguimiento </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30F" w:rsidRDefault="000A730F" w:rsidP="000A730F">
                  <w:pPr>
                    <w:jc w:val="center"/>
                    <w:rPr>
                      <w:rFonts w:ascii="ITC Avant Garde" w:hAnsi="ITC Avant Garde"/>
                      <w:sz w:val="18"/>
                      <w:szCs w:val="18"/>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30F" w:rsidRPr="00643588" w:rsidRDefault="000A730F" w:rsidP="000A730F">
                  <w:pPr>
                    <w:jc w:val="center"/>
                    <w:rPr>
                      <w:rFonts w:ascii="ITC Avant Garde" w:hAnsi="ITC Avant Garde"/>
                      <w:sz w:val="18"/>
                      <w:szCs w:val="18"/>
                    </w:rPr>
                  </w:pPr>
                  <w:r>
                    <w:rPr>
                      <w:rFonts w:ascii="ITC Avant Garde" w:hAnsi="ITC Avant Garde"/>
                      <w:sz w:val="18"/>
                      <w:szCs w:val="18"/>
                    </w:rPr>
                    <w:t>Directora General de Regulación de Interconexión y Reventa de Servicios de Telecomunicaciones</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30F" w:rsidRPr="00DD06A0" w:rsidRDefault="000A730F" w:rsidP="000A730F">
                  <w:pPr>
                    <w:jc w:val="center"/>
                    <w:rPr>
                      <w:rFonts w:ascii="ITC Avant Garde" w:hAnsi="ITC Avant Garde"/>
                      <w:sz w:val="18"/>
                      <w:szCs w:val="18"/>
                    </w:rPr>
                  </w:pPr>
                  <w:r>
                    <w:rPr>
                      <w:rFonts w:ascii="ITC Avant Garde" w:hAnsi="ITC Avant Garde"/>
                      <w:sz w:val="18"/>
                      <w:szCs w:val="18"/>
                    </w:rPr>
                    <w:t>1 hora</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30F" w:rsidRPr="00DD06A0" w:rsidRDefault="000A730F" w:rsidP="000A730F">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0A730F" w:rsidRPr="00DD06A0" w:rsidTr="000A730F">
              <w:tblPrEx>
                <w:jc w:val="center"/>
              </w:tblPrEx>
              <w:trP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0A730F" w:rsidRDefault="000A730F" w:rsidP="000A730F">
                  <w:pPr>
                    <w:jc w:val="center"/>
                    <w:rPr>
                      <w:rFonts w:ascii="ITC Avant Garde" w:hAnsi="ITC Avant Garde"/>
                      <w:sz w:val="18"/>
                      <w:szCs w:val="18"/>
                    </w:rPr>
                  </w:pPr>
                  <w:r>
                    <w:rPr>
                      <w:rFonts w:ascii="ITC Avant Garde" w:hAnsi="ITC Avant Garde"/>
                      <w:sz w:val="18"/>
                      <w:szCs w:val="18"/>
                    </w:rPr>
                    <w:t>Notificación de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30F" w:rsidRDefault="000A730F" w:rsidP="000A730F">
                  <w:pPr>
                    <w:jc w:val="center"/>
                    <w:rPr>
                      <w:rFonts w:ascii="ITC Avant Garde" w:hAnsi="ITC Avant Garde"/>
                      <w:sz w:val="18"/>
                      <w:szCs w:val="18"/>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rsidR="000A730F" w:rsidRPr="00DD06A0" w:rsidRDefault="000A730F" w:rsidP="000A730F">
                  <w:pPr>
                    <w:jc w:val="center"/>
                    <w:rPr>
                      <w:rFonts w:ascii="ITC Avant Garde" w:hAnsi="ITC Avant Garde"/>
                      <w:sz w:val="18"/>
                      <w:szCs w:val="18"/>
                    </w:rPr>
                  </w:pPr>
                  <w:r>
                    <w:rPr>
                      <w:rFonts w:ascii="ITC Avant Garde" w:hAnsi="ITC Avant Garde"/>
                      <w:sz w:val="18"/>
                      <w:szCs w:val="18"/>
                    </w:rPr>
                    <w:t>Jefe de Departamento y/o Subdirector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30F" w:rsidRPr="00DD06A0" w:rsidRDefault="00FB47DA" w:rsidP="000A730F">
                  <w:pPr>
                    <w:jc w:val="center"/>
                    <w:rPr>
                      <w:rFonts w:ascii="ITC Avant Garde" w:hAnsi="ITC Avant Garde"/>
                      <w:sz w:val="18"/>
                      <w:szCs w:val="18"/>
                    </w:rPr>
                  </w:pPr>
                  <w:r>
                    <w:rPr>
                      <w:rFonts w:ascii="ITC Avant Garde" w:hAnsi="ITC Avant Garde"/>
                      <w:sz w:val="18"/>
                      <w:szCs w:val="18"/>
                    </w:rPr>
                    <w:t>10 días hábiles</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30F" w:rsidRPr="00DD06A0" w:rsidRDefault="00FB47DA" w:rsidP="000A730F">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0A730F" w:rsidRPr="00DD06A0" w:rsidTr="000A730F">
              <w:tblPrEx>
                <w:jc w:val="center"/>
              </w:tblPrEx>
              <w:trP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0A730F" w:rsidRDefault="00FB47DA" w:rsidP="000A730F">
                  <w:pPr>
                    <w:jc w:val="center"/>
                    <w:rPr>
                      <w:rFonts w:ascii="ITC Avant Garde" w:hAnsi="ITC Avant Garde"/>
                      <w:sz w:val="18"/>
                      <w:szCs w:val="18"/>
                    </w:rPr>
                  </w:pPr>
                  <w:r>
                    <w:rPr>
                      <w:rFonts w:ascii="ITC Avant Garde" w:hAnsi="ITC Avant Garde"/>
                      <w:sz w:val="18"/>
                      <w:szCs w:val="18"/>
                    </w:rPr>
                    <w:t>Archivo</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30F" w:rsidRDefault="00FB47DA" w:rsidP="000A730F">
                  <w:pPr>
                    <w:jc w:val="center"/>
                    <w:rPr>
                      <w:rFonts w:ascii="ITC Avant Garde" w:hAnsi="ITC Avant Garde"/>
                      <w:sz w:val="18"/>
                      <w:szCs w:val="18"/>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rsidR="000A730F" w:rsidRPr="00DD06A0" w:rsidRDefault="00FB47DA" w:rsidP="000A730F">
                  <w:pPr>
                    <w:jc w:val="center"/>
                    <w:rPr>
                      <w:rFonts w:ascii="ITC Avant Garde" w:hAnsi="ITC Avant Garde"/>
                      <w:sz w:val="18"/>
                      <w:szCs w:val="18"/>
                    </w:rPr>
                  </w:pPr>
                  <w:r>
                    <w:rPr>
                      <w:rFonts w:ascii="ITC Avant Garde" w:hAnsi="ITC Avant Garde"/>
                      <w:sz w:val="18"/>
                      <w:szCs w:val="18"/>
                    </w:rPr>
                    <w:t>Jefe de Departamento y/o Subdirector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30F" w:rsidRPr="00DD06A0" w:rsidRDefault="00FB47DA" w:rsidP="000A730F">
                  <w:pPr>
                    <w:jc w:val="center"/>
                    <w:rPr>
                      <w:rFonts w:ascii="ITC Avant Garde" w:hAnsi="ITC Avant Garde"/>
                      <w:sz w:val="18"/>
                      <w:szCs w:val="18"/>
                    </w:rPr>
                  </w:pPr>
                  <w:r>
                    <w:rPr>
                      <w:rFonts w:ascii="ITC Avant Garde" w:hAnsi="ITC Avant Garde"/>
                      <w:sz w:val="18"/>
                      <w:szCs w:val="18"/>
                    </w:rPr>
                    <w:t>1 día hábil</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30F" w:rsidRPr="00DD06A0" w:rsidRDefault="00FB47DA" w:rsidP="000A730F">
                  <w:pPr>
                    <w:jc w:val="center"/>
                    <w:rPr>
                      <w:rFonts w:ascii="ITC Avant Garde" w:hAnsi="ITC Avant Garde"/>
                      <w:sz w:val="18"/>
                      <w:szCs w:val="18"/>
                    </w:rPr>
                  </w:pPr>
                  <w:r>
                    <w:rPr>
                      <w:rFonts w:ascii="ITC Avant Garde" w:hAnsi="ITC Avant Garde"/>
                      <w:sz w:val="18"/>
                      <w:szCs w:val="18"/>
                    </w:rPr>
                    <w:t>establecidas en el Estatuto y el Manual de Organización Específico de la UPR</w:t>
                  </w:r>
                </w:p>
              </w:tc>
            </w:tr>
          </w:tbl>
          <w:p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rsidTr="002025CB">
              <w:trPr>
                <w:jc w:val="right"/>
              </w:trPr>
              <w:tc>
                <w:tcPr>
                  <w:tcW w:w="8529" w:type="dxa"/>
                  <w:tcBorders>
                    <w:left w:val="single" w:sz="4" w:space="0" w:color="auto"/>
                  </w:tcBorders>
                  <w:shd w:val="clear" w:color="auto" w:fill="A8D08D" w:themeFill="accent6" w:themeFillTint="99"/>
                </w:tcPr>
                <w:p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3"/>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rsidR="00341560" w:rsidRPr="00DD06A0" w:rsidRDefault="00341560" w:rsidP="00552E7C">
                  <w:pPr>
                    <w:rPr>
                      <w:rFonts w:ascii="ITC Avant Garde" w:hAnsi="ITC Avant Garde"/>
                      <w:b/>
                      <w:sz w:val="18"/>
                      <w:szCs w:val="18"/>
                    </w:rPr>
                  </w:pPr>
                </w:p>
              </w:tc>
            </w:tr>
            <w:tr w:rsidR="00344D0C" w:rsidRPr="00DD06A0" w:rsidTr="002025CB">
              <w:trPr>
                <w:jc w:val="right"/>
              </w:trPr>
              <w:tc>
                <w:tcPr>
                  <w:tcW w:w="8529" w:type="dxa"/>
                  <w:tcBorders>
                    <w:left w:val="single" w:sz="4" w:space="0" w:color="auto"/>
                  </w:tcBorders>
                  <w:shd w:val="clear" w:color="auto" w:fill="FFFFFF" w:themeFill="background1"/>
                </w:tcPr>
                <w:p w:rsidR="00344D0C" w:rsidRPr="00DD06A0" w:rsidRDefault="00344D0C" w:rsidP="004533A7">
                  <w:pPr>
                    <w:rPr>
                      <w:rFonts w:ascii="ITC Avant Garde" w:hAnsi="ITC Avant Garde"/>
                      <w:sz w:val="18"/>
                      <w:szCs w:val="18"/>
                    </w:rPr>
                  </w:pPr>
                </w:p>
                <w:p w:rsidR="00344D0C" w:rsidRPr="00DD06A0" w:rsidRDefault="0030788E" w:rsidP="00643588">
                  <w:pPr>
                    <w:rPr>
                      <w:rFonts w:ascii="ITC Avant Garde" w:hAnsi="ITC Avant Garde"/>
                      <w:sz w:val="18"/>
                      <w:szCs w:val="18"/>
                    </w:rPr>
                  </w:pPr>
                  <w:r>
                    <w:rPr>
                      <w:rFonts w:ascii="ITC Avant Garde" w:hAnsi="ITC Avant Garde"/>
                      <w:sz w:val="18"/>
                      <w:szCs w:val="18"/>
                    </w:rPr>
                    <w:t>Se adjunta archivo.</w:t>
                  </w:r>
                </w:p>
                <w:p w:rsidR="00344D0C" w:rsidRPr="00DD06A0" w:rsidRDefault="00344D0C" w:rsidP="00344D0C">
                  <w:pPr>
                    <w:ind w:left="171" w:hanging="171"/>
                    <w:rPr>
                      <w:rFonts w:ascii="ITC Avant Garde" w:hAnsi="ITC Avant Garde"/>
                      <w:sz w:val="18"/>
                      <w:szCs w:val="18"/>
                    </w:rPr>
                  </w:pPr>
                </w:p>
              </w:tc>
            </w:tr>
          </w:tbl>
          <w:p w:rsidR="00505B08" w:rsidRPr="00DD06A0" w:rsidRDefault="00505B08" w:rsidP="00225DA6">
            <w:pPr>
              <w:jc w:val="both"/>
              <w:rPr>
                <w:rFonts w:ascii="ITC Avant Garde" w:hAnsi="ITC Avant Garde"/>
                <w:sz w:val="18"/>
                <w:szCs w:val="18"/>
              </w:rPr>
            </w:pPr>
          </w:p>
          <w:p w:rsidR="00E84534" w:rsidRPr="00DD06A0" w:rsidRDefault="00E84534" w:rsidP="00225DA6">
            <w:pPr>
              <w:jc w:val="both"/>
              <w:rPr>
                <w:rFonts w:ascii="ITC Avant Garde" w:hAnsi="ITC Avant Garde"/>
                <w:sz w:val="18"/>
                <w:szCs w:val="18"/>
              </w:rPr>
            </w:pPr>
          </w:p>
        </w:tc>
      </w:tr>
    </w:tbl>
    <w:p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rsidTr="00CE3C00">
        <w:tc>
          <w:tcPr>
            <w:tcW w:w="8828" w:type="dxa"/>
          </w:tcPr>
          <w:p w:rsidR="00CE3C0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4"/>
            </w:r>
            <w:r w:rsidRPr="00DD06A0">
              <w:rPr>
                <w:rFonts w:ascii="ITC Avant Garde" w:hAnsi="ITC Avant Garde"/>
                <w:b/>
                <w:sz w:val="18"/>
                <w:szCs w:val="18"/>
              </w:rPr>
              <w:t xml:space="preserve"> que la propuesta de regulación pudiera generar a su entrada en vigor.</w:t>
            </w:r>
          </w:p>
          <w:p w:rsidR="006731F0" w:rsidRDefault="006731F0" w:rsidP="006731F0">
            <w:pPr>
              <w:jc w:val="both"/>
              <w:rPr>
                <w:rFonts w:ascii="ITC Avant Garde" w:hAnsi="ITC Avant Garde"/>
                <w:sz w:val="18"/>
                <w:szCs w:val="18"/>
              </w:rPr>
            </w:pPr>
            <w:r>
              <w:rPr>
                <w:rFonts w:ascii="ITC Avant Garde" w:hAnsi="ITC Avant Garde"/>
                <w:sz w:val="18"/>
                <w:szCs w:val="18"/>
              </w:rPr>
              <w:t xml:space="preserve">El objeto de la propuesta de regulación consiste en </w:t>
            </w:r>
            <w:r w:rsidRPr="00F03C70">
              <w:rPr>
                <w:rFonts w:ascii="ITC Avant Garde" w:hAnsi="ITC Avant Garde"/>
                <w:sz w:val="18"/>
                <w:szCs w:val="18"/>
              </w:rPr>
              <w:t>establecer las disposiciones aplicables para la sustanciac</w:t>
            </w:r>
            <w:r>
              <w:rPr>
                <w:rFonts w:ascii="ITC Avant Garde" w:hAnsi="ITC Avant Garde"/>
                <w:sz w:val="18"/>
                <w:szCs w:val="18"/>
              </w:rPr>
              <w:t xml:space="preserve">ión de forma electrónica de los desacuerdos </w:t>
            </w:r>
            <w:r w:rsidRPr="00F03C70">
              <w:rPr>
                <w:rFonts w:ascii="ITC Avant Garde" w:hAnsi="ITC Avant Garde"/>
                <w:sz w:val="18"/>
                <w:szCs w:val="18"/>
              </w:rPr>
              <w:t>entre concesionarios de redes públicas de telecomunicaciones</w:t>
            </w:r>
            <w:r>
              <w:rPr>
                <w:rFonts w:ascii="ITC Avant Garde" w:hAnsi="ITC Avant Garde"/>
                <w:sz w:val="18"/>
                <w:szCs w:val="18"/>
              </w:rPr>
              <w:t xml:space="preserve"> de los servicios de interconexión, desde la presentación de la s</w:t>
            </w:r>
            <w:r w:rsidRPr="00F03C70">
              <w:rPr>
                <w:rFonts w:ascii="ITC Avant Garde" w:hAnsi="ITC Avant Garde"/>
                <w:sz w:val="18"/>
                <w:szCs w:val="18"/>
              </w:rPr>
              <w:t xml:space="preserve">olicitud de </w:t>
            </w:r>
            <w:r w:rsidRPr="00F03C70">
              <w:rPr>
                <w:rFonts w:ascii="ITC Avant Garde" w:hAnsi="ITC Avant Garde"/>
                <w:sz w:val="18"/>
                <w:szCs w:val="18"/>
              </w:rPr>
              <w:lastRenderedPageBreak/>
              <w:t>resolución de</w:t>
            </w:r>
            <w:r>
              <w:rPr>
                <w:rFonts w:ascii="ITC Avant Garde" w:hAnsi="ITC Avant Garde"/>
                <w:sz w:val="18"/>
                <w:szCs w:val="18"/>
              </w:rPr>
              <w:t xml:space="preserve">l  desacuerdo hasta su resolución, conforme al procedimiento establecido en el artículo 129 de la LFTR, que, </w:t>
            </w:r>
            <w:r w:rsidRPr="0029705B">
              <w:rPr>
                <w:rFonts w:ascii="ITC Avant Garde" w:hAnsi="ITC Avant Garde"/>
                <w:sz w:val="18"/>
                <w:szCs w:val="18"/>
              </w:rPr>
              <w:t xml:space="preserve">en términos de eficiencia, eficacia y costo beneficio, permitan el uso de las </w:t>
            </w:r>
            <w:r>
              <w:rPr>
                <w:rFonts w:ascii="ITC Avant Garde" w:hAnsi="ITC Avant Garde"/>
                <w:sz w:val="18"/>
                <w:szCs w:val="18"/>
              </w:rPr>
              <w:t xml:space="preserve">TIC </w:t>
            </w:r>
            <w:r w:rsidRPr="0029705B">
              <w:rPr>
                <w:rFonts w:ascii="ITC Avant Garde" w:hAnsi="ITC Avant Garde"/>
                <w:sz w:val="18"/>
                <w:szCs w:val="18"/>
              </w:rPr>
              <w:t>para la sustanciación de dicho procedimiento y, en esa medida, establecer las disposiciones administrativas de carácter general que sustenten jurídicamente, la realización de actuaciones electrónicas por parte de los concesionarios involucrados y los actos administrativos electrónicos emitidos por este Instituto con motivo de la recepción, atención, sustanciación y resolución del procedimiento de solicitud de resolución de desacuerdos de interconexión, a través de la Ventanilla Electrónica.</w:t>
            </w:r>
          </w:p>
          <w:p w:rsidR="00A04442" w:rsidRDefault="00A04442" w:rsidP="00E21B49">
            <w:pPr>
              <w:jc w:val="both"/>
              <w:rPr>
                <w:rFonts w:ascii="ITC Avant Garde" w:hAnsi="ITC Avant Garde"/>
                <w:sz w:val="18"/>
                <w:szCs w:val="18"/>
              </w:rPr>
            </w:pPr>
          </w:p>
          <w:p w:rsidR="005A43C3" w:rsidRPr="004D75C7" w:rsidRDefault="005A43C3" w:rsidP="005A43C3">
            <w:pPr>
              <w:shd w:val="clear" w:color="auto" w:fill="FFFFFF" w:themeFill="background1"/>
              <w:jc w:val="both"/>
              <w:rPr>
                <w:rFonts w:ascii="ITC Avant Garde" w:hAnsi="ITC Avant Garde"/>
                <w:sz w:val="18"/>
                <w:szCs w:val="18"/>
              </w:rPr>
            </w:pPr>
            <w:r>
              <w:rPr>
                <w:rFonts w:ascii="ITC Avant Garde" w:hAnsi="ITC Avant Garde"/>
                <w:sz w:val="18"/>
                <w:szCs w:val="18"/>
              </w:rPr>
              <w:t>L</w:t>
            </w:r>
            <w:r w:rsidRPr="004D75C7">
              <w:rPr>
                <w:rFonts w:ascii="ITC Avant Garde" w:hAnsi="ITC Avant Garde"/>
                <w:sz w:val="18"/>
                <w:szCs w:val="18"/>
              </w:rPr>
              <w:t>a resolución de desacuerdos de interconexión coadyuva a un mercado en competencia al establecer las condiciones de interconexión que evitan asimetrías en la prestación de los servicios, eliminan barreras de acceso a las redes y se garantiza el desarrollo eficiente del mercado, abarcando todas las cuestiones relacionadas a la interconexión, entre ellas y de las más importantes son las tarifas de interconexión, cuyo monto se traduce en beneficio o perjuicio para los usuarios pues los servicios de telecomunicaciones, son considerados como básicos para el desarrollo del país y, además, coadyuvan a mejorar las condiciones de vida.</w:t>
            </w:r>
          </w:p>
          <w:p w:rsidR="005A43C3" w:rsidRPr="00DD06A0" w:rsidRDefault="005A43C3"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B73435">
              <w:tc>
                <w:tcPr>
                  <w:tcW w:w="8602" w:type="dxa"/>
                  <w:gridSpan w:val="2"/>
                  <w:shd w:val="clear" w:color="auto" w:fill="A8D08D" w:themeFill="accent6" w:themeFillTint="99"/>
                </w:tcPr>
                <w:p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rsidTr="00CE3C00">
              <w:tc>
                <w:tcPr>
                  <w:tcW w:w="4301" w:type="dxa"/>
                </w:tcPr>
                <w:p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rsidTr="00CE3C00">
              <w:tc>
                <w:tcPr>
                  <w:tcW w:w="4301" w:type="dxa"/>
                </w:tcPr>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 xml:space="preserve">X </w:t>
                  </w:r>
                  <w:r w:rsidRPr="00DD06A0">
                    <w:rPr>
                      <w:rFonts w:ascii="ITC Avant Garde" w:hAnsi="ITC Avant Garde"/>
                      <w:sz w:val="18"/>
                      <w:szCs w:val="18"/>
                    </w:rPr>
                    <w:t>)</w:t>
                  </w:r>
                </w:p>
              </w:tc>
            </w:tr>
          </w:tbl>
          <w:p w:rsidR="00B73435" w:rsidRPr="00DD06A0" w:rsidRDefault="00B73435"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82151C">
              <w:tc>
                <w:tcPr>
                  <w:tcW w:w="8602" w:type="dxa"/>
                  <w:gridSpan w:val="2"/>
                  <w:shd w:val="clear" w:color="auto" w:fill="A8D08D" w:themeFill="accent6" w:themeFillTint="99"/>
                </w:tcPr>
                <w:p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rsidR="00B73435" w:rsidRPr="00DD06A0" w:rsidRDefault="00B73435" w:rsidP="009F0A4B">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 </w:t>
                  </w:r>
                  <w:r w:rsidR="00643588" w:rsidRPr="00090C98">
                    <w:rPr>
                      <w:rFonts w:ascii="ITC Avant Garde" w:hAnsi="ITC Avant Garde"/>
                      <w:sz w:val="18"/>
                      <w:szCs w:val="18"/>
                    </w:rPr>
                    <w:t xml:space="preserve"> </w:t>
                  </w:r>
                  <w:r w:rsidRPr="00090C98">
                    <w:rPr>
                      <w:rFonts w:ascii="ITC Avant Garde" w:hAnsi="ITC Avant Garde"/>
                      <w:sz w:val="18"/>
                      <w:szCs w:val="18"/>
                    </w:rPr>
                    <w:t xml:space="preserve">) No ( </w:t>
                  </w:r>
                  <w:r w:rsidR="009F0A4B">
                    <w:rPr>
                      <w:rFonts w:ascii="ITC Avant Garde" w:hAnsi="ITC Avant Garde"/>
                      <w:sz w:val="18"/>
                      <w:szCs w:val="18"/>
                    </w:rPr>
                    <w:t>X</w:t>
                  </w:r>
                  <w:r w:rsidRPr="00090C98">
                    <w:rPr>
                      <w:rFonts w:ascii="ITC Avant Garde" w:hAnsi="ITC Avant Garde"/>
                      <w:sz w:val="18"/>
                      <w:szCs w:val="18"/>
                    </w:rPr>
                    <w:t xml:space="preserve">  )</w:t>
                  </w:r>
                </w:p>
              </w:tc>
            </w:tr>
            <w:tr w:rsidR="00DC2B70" w:rsidRPr="00DD06A0" w:rsidTr="0082151C">
              <w:tc>
                <w:tcPr>
                  <w:tcW w:w="4301" w:type="dxa"/>
                </w:tcPr>
                <w:p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rsidR="00DC2B70" w:rsidRPr="00DD06A0" w:rsidRDefault="00CE2F13" w:rsidP="009F0A4B">
                  <w:pPr>
                    <w:jc w:val="center"/>
                    <w:rPr>
                      <w:rFonts w:ascii="ITC Avant Garde" w:hAnsi="ITC Avant Garde"/>
                      <w:sz w:val="18"/>
                      <w:szCs w:val="18"/>
                    </w:rPr>
                  </w:pPr>
                  <w:r w:rsidRPr="004533A7">
                    <w:rPr>
                      <w:rFonts w:ascii="ITC Avant Garde" w:hAnsi="ITC Avant Garde"/>
                      <w:sz w:val="18"/>
                      <w:szCs w:val="18"/>
                    </w:rPr>
                    <w:t xml:space="preserve">Sí (  ) No ( </w:t>
                  </w:r>
                  <w:r w:rsidR="004533A7">
                    <w:rPr>
                      <w:rFonts w:ascii="ITC Avant Garde" w:hAnsi="ITC Avant Garde"/>
                      <w:sz w:val="18"/>
                      <w:szCs w:val="18"/>
                    </w:rPr>
                    <w:t xml:space="preserve"> </w:t>
                  </w:r>
                  <w:r w:rsidR="009F0A4B">
                    <w:rPr>
                      <w:rFonts w:ascii="ITC Avant Garde" w:hAnsi="ITC Avant Garde"/>
                      <w:sz w:val="18"/>
                      <w:szCs w:val="18"/>
                    </w:rPr>
                    <w:t>X</w:t>
                  </w:r>
                  <w:r w:rsidRPr="004533A7">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 xml:space="preserve">¿Eleva significativamente los costos de producción de algunos proveedores en relación con otros? (especialmente si da un </w:t>
                  </w:r>
                  <w:r w:rsidRPr="00DD06A0">
                    <w:rPr>
                      <w:rFonts w:ascii="ITC Avant Garde" w:hAnsi="ITC Avant Garde"/>
                      <w:sz w:val="18"/>
                      <w:szCs w:val="18"/>
                    </w:rPr>
                    <w:lastRenderedPageBreak/>
                    <w:t>tratamiento distinto a los entrantes sobre los establecidos)</w:t>
                  </w:r>
                </w:p>
              </w:tc>
              <w:tc>
                <w:tcPr>
                  <w:tcW w:w="4301" w:type="dxa"/>
                </w:tcPr>
                <w:p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lastRenderedPageBreak/>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   ) No ( X</w:t>
                  </w:r>
                  <w:r w:rsidRPr="004533A7">
                    <w:rPr>
                      <w:rFonts w:ascii="ITC Avant Garde" w:hAnsi="ITC Avant Garde"/>
                      <w:sz w:val="18"/>
                      <w:szCs w:val="18"/>
                    </w:rPr>
                    <w:t xml:space="preserve"> )</w:t>
                  </w:r>
                </w:p>
              </w:tc>
            </w:tr>
          </w:tbl>
          <w:p w:rsidR="00B73435" w:rsidRPr="00DD06A0" w:rsidRDefault="00B73435"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rsidTr="0082151C">
              <w:tc>
                <w:tcPr>
                  <w:tcW w:w="8602" w:type="dxa"/>
                  <w:gridSpan w:val="2"/>
                  <w:shd w:val="clear" w:color="auto" w:fill="A8D08D" w:themeFill="accent6" w:themeFillTint="99"/>
                </w:tcPr>
                <w:p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rsidTr="0082151C">
              <w:tc>
                <w:tcPr>
                  <w:tcW w:w="4301" w:type="dxa"/>
                </w:tcPr>
                <w:p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rsidTr="0082151C">
              <w:tc>
                <w:tcPr>
                  <w:tcW w:w="4301" w:type="dxa"/>
                </w:tcPr>
                <w:p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rsidTr="0082151C">
              <w:tc>
                <w:tcPr>
                  <w:tcW w:w="4301" w:type="dxa"/>
                </w:tcPr>
                <w:p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rsidTr="0082151C">
              <w:tc>
                <w:tcPr>
                  <w:tcW w:w="4301" w:type="dxa"/>
                </w:tcPr>
                <w:p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rsidR="00B66051" w:rsidRPr="00DD06A0" w:rsidRDefault="00B66051" w:rsidP="00A04442">
                  <w:pPr>
                    <w:jc w:val="center"/>
                    <w:rPr>
                      <w:rFonts w:ascii="ITC Avant Garde" w:hAnsi="ITC Avant Garde"/>
                      <w:sz w:val="18"/>
                      <w:szCs w:val="18"/>
                    </w:rPr>
                  </w:pPr>
                </w:p>
              </w:tc>
            </w:tr>
          </w:tbl>
          <w:p w:rsidR="00CE3C00" w:rsidRPr="00DD06A0" w:rsidRDefault="00CE3C00" w:rsidP="00E21B49">
            <w:pPr>
              <w:jc w:val="both"/>
              <w:rPr>
                <w:rFonts w:ascii="ITC Avant Garde" w:hAnsi="ITC Avant Garde"/>
                <w:sz w:val="18"/>
                <w:szCs w:val="18"/>
              </w:rPr>
            </w:pPr>
          </w:p>
        </w:tc>
      </w:tr>
    </w:tbl>
    <w:p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rsidTr="004027F3">
        <w:trPr>
          <w:trHeight w:val="1173"/>
        </w:trPr>
        <w:tc>
          <w:tcPr>
            <w:tcW w:w="8828" w:type="dxa"/>
          </w:tcPr>
          <w:p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48"/>
              <w:gridCol w:w="1472"/>
              <w:gridCol w:w="1187"/>
              <w:gridCol w:w="1431"/>
              <w:gridCol w:w="1267"/>
              <w:gridCol w:w="1897"/>
            </w:tblGrid>
            <w:tr w:rsidR="007A4AE1" w:rsidRPr="00DD06A0" w:rsidTr="007A4AE1">
              <w:trPr>
                <w:jc w:val="center"/>
              </w:trPr>
              <w:tc>
                <w:tcPr>
                  <w:tcW w:w="1348" w:type="dxa"/>
                  <w:tcBorders>
                    <w:bottom w:val="single" w:sz="4" w:space="0" w:color="auto"/>
                  </w:tcBorders>
                  <w:shd w:val="clear" w:color="auto" w:fill="A8D08D" w:themeFill="accent6" w:themeFillTint="99"/>
                </w:tcPr>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472" w:type="dxa"/>
                  <w:tcBorders>
                    <w:bottom w:val="single" w:sz="4" w:space="0" w:color="auto"/>
                  </w:tcBorders>
                  <w:shd w:val="clear" w:color="auto" w:fill="A8D08D" w:themeFill="accent6" w:themeFillTint="99"/>
                </w:tcPr>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187" w:type="dxa"/>
                  <w:shd w:val="clear" w:color="auto" w:fill="A8D08D" w:themeFill="accent6" w:themeFillTint="99"/>
                </w:tcPr>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31" w:type="dxa"/>
                  <w:shd w:val="clear" w:color="auto" w:fill="A8D08D" w:themeFill="accent6" w:themeFillTint="99"/>
                </w:tcPr>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5"/>
                  </w:r>
                </w:p>
              </w:tc>
              <w:tc>
                <w:tcPr>
                  <w:tcW w:w="1267" w:type="dxa"/>
                  <w:shd w:val="clear" w:color="auto" w:fill="A8D08D" w:themeFill="accent6" w:themeFillTint="99"/>
                </w:tcPr>
                <w:p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897" w:type="dxa"/>
                  <w:tcBorders>
                    <w:bottom w:val="single" w:sz="4" w:space="0" w:color="auto"/>
                  </w:tcBorders>
                  <w:shd w:val="clear" w:color="auto" w:fill="A8D08D" w:themeFill="accent6" w:themeFillTint="99"/>
                </w:tcPr>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7A4AE1" w:rsidRPr="00DD06A0" w:rsidTr="007A4AE1">
              <w:trPr>
                <w:jc w:val="center"/>
              </w:trPr>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E5973" w:rsidRDefault="003721A6"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F609D">
                        <w:rPr>
                          <w:rFonts w:ascii="ITC Avant Garde" w:hAnsi="ITC Avant Garde"/>
                          <w:sz w:val="18"/>
                          <w:szCs w:val="18"/>
                        </w:rPr>
                        <w:t>Obligación</w:t>
                      </w:r>
                    </w:sdtContent>
                  </w:sdt>
                </w:p>
              </w:tc>
              <w:tc>
                <w:tcPr>
                  <w:tcW w:w="1472" w:type="dxa"/>
                  <w:tcBorders>
                    <w:left w:val="single" w:sz="4" w:space="0" w:color="auto"/>
                    <w:right w:val="single" w:sz="4" w:space="0" w:color="auto"/>
                  </w:tcBorders>
                  <w:shd w:val="clear" w:color="auto" w:fill="FFFFFF" w:themeFill="background1"/>
                </w:tcPr>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6E5973" w:rsidRPr="002D611A" w:rsidRDefault="00963B0B" w:rsidP="00434D10">
                  <w:pPr>
                    <w:rPr>
                      <w:rFonts w:ascii="ITC Avant Garde" w:hAnsi="ITC Avant Garde"/>
                      <w:sz w:val="18"/>
                      <w:szCs w:val="18"/>
                    </w:rPr>
                  </w:pPr>
                  <w:r>
                    <w:rPr>
                      <w:rFonts w:ascii="ITC Avant Garde" w:hAnsi="ITC Avant Garde"/>
                      <w:sz w:val="18"/>
                      <w:szCs w:val="18"/>
                    </w:rPr>
                    <w:t>C</w:t>
                  </w:r>
                  <w:r w:rsidR="00A32408" w:rsidRPr="002D611A">
                    <w:rPr>
                      <w:rFonts w:ascii="ITC Avant Garde" w:hAnsi="ITC Avant Garde"/>
                      <w:sz w:val="18"/>
                      <w:szCs w:val="18"/>
                    </w:rPr>
                    <w:t>oncesionarios</w:t>
                  </w:r>
                </w:p>
              </w:tc>
              <w:tc>
                <w:tcPr>
                  <w:tcW w:w="1187" w:type="dxa"/>
                  <w:tcBorders>
                    <w:left w:val="single" w:sz="4" w:space="0" w:color="auto"/>
                    <w:right w:val="single" w:sz="4" w:space="0" w:color="auto"/>
                  </w:tcBorders>
                  <w:shd w:val="clear" w:color="auto" w:fill="FFFFFF" w:themeFill="background1"/>
                </w:tcPr>
                <w:p w:rsidR="00963B0B" w:rsidRDefault="00963B0B" w:rsidP="00A32408">
                  <w:pPr>
                    <w:jc w:val="center"/>
                    <w:rPr>
                      <w:rFonts w:ascii="ITC Avant Garde" w:hAnsi="ITC Avant Garde"/>
                      <w:sz w:val="18"/>
                      <w:szCs w:val="18"/>
                    </w:rPr>
                  </w:pPr>
                </w:p>
                <w:p w:rsidR="00963B0B" w:rsidRDefault="00963B0B" w:rsidP="00A32408">
                  <w:pPr>
                    <w:jc w:val="center"/>
                    <w:rPr>
                      <w:rFonts w:ascii="ITC Avant Garde" w:hAnsi="ITC Avant Garde"/>
                      <w:sz w:val="18"/>
                      <w:szCs w:val="18"/>
                    </w:rPr>
                  </w:pPr>
                </w:p>
                <w:p w:rsidR="00963B0B" w:rsidRDefault="00963B0B" w:rsidP="00A32408">
                  <w:pPr>
                    <w:jc w:val="center"/>
                    <w:rPr>
                      <w:rFonts w:ascii="ITC Avant Garde" w:hAnsi="ITC Avant Garde"/>
                      <w:sz w:val="18"/>
                      <w:szCs w:val="18"/>
                    </w:rPr>
                  </w:pPr>
                </w:p>
                <w:p w:rsidR="00963B0B" w:rsidRDefault="00963B0B" w:rsidP="00A32408">
                  <w:pPr>
                    <w:jc w:val="center"/>
                    <w:rPr>
                      <w:rFonts w:ascii="ITC Avant Garde" w:hAnsi="ITC Avant Garde"/>
                      <w:sz w:val="18"/>
                      <w:szCs w:val="18"/>
                    </w:rPr>
                  </w:pPr>
                </w:p>
                <w:p w:rsidR="00963B0B" w:rsidRDefault="00963B0B" w:rsidP="00A32408">
                  <w:pPr>
                    <w:jc w:val="center"/>
                    <w:rPr>
                      <w:rFonts w:ascii="ITC Avant Garde" w:hAnsi="ITC Avant Garde"/>
                      <w:sz w:val="18"/>
                      <w:szCs w:val="18"/>
                    </w:rPr>
                  </w:pPr>
                </w:p>
                <w:p w:rsidR="00963B0B" w:rsidRDefault="00963B0B" w:rsidP="00A32408">
                  <w:pPr>
                    <w:jc w:val="center"/>
                    <w:rPr>
                      <w:rFonts w:ascii="ITC Avant Garde" w:hAnsi="ITC Avant Garde"/>
                      <w:sz w:val="18"/>
                      <w:szCs w:val="18"/>
                    </w:rPr>
                  </w:pPr>
                </w:p>
                <w:p w:rsidR="00963B0B" w:rsidRDefault="00963B0B" w:rsidP="00A32408">
                  <w:pPr>
                    <w:jc w:val="center"/>
                    <w:rPr>
                      <w:rFonts w:ascii="ITC Avant Garde" w:hAnsi="ITC Avant Garde"/>
                      <w:sz w:val="18"/>
                      <w:szCs w:val="18"/>
                    </w:rPr>
                  </w:pPr>
                </w:p>
                <w:p w:rsidR="006E5973" w:rsidRPr="002D611A" w:rsidRDefault="00DF609D" w:rsidP="00A32408">
                  <w:pPr>
                    <w:jc w:val="center"/>
                    <w:rPr>
                      <w:rFonts w:ascii="ITC Avant Garde" w:hAnsi="ITC Avant Garde"/>
                      <w:sz w:val="18"/>
                      <w:szCs w:val="18"/>
                    </w:rPr>
                  </w:pPr>
                  <w:r w:rsidRPr="002D611A">
                    <w:rPr>
                      <w:rFonts w:ascii="ITC Avant Garde" w:hAnsi="ITC Avant Garde"/>
                      <w:sz w:val="18"/>
                      <w:szCs w:val="18"/>
                    </w:rPr>
                    <w:t>P</w:t>
                  </w:r>
                  <w:r w:rsidR="00A32408" w:rsidRPr="002D611A">
                    <w:rPr>
                      <w:rFonts w:ascii="ITC Avant Garde" w:hAnsi="ITC Avant Garde"/>
                      <w:sz w:val="18"/>
                      <w:szCs w:val="18"/>
                    </w:rPr>
                    <w:t>rimero</w:t>
                  </w:r>
                </w:p>
              </w:tc>
              <w:sdt>
                <w:sdtPr>
                  <w:rPr>
                    <w:rFonts w:ascii="ITC Avant Garde" w:hAnsi="ITC Avant Garde"/>
                    <w:sz w:val="18"/>
                    <w:szCs w:val="18"/>
                  </w:rPr>
                  <w:alias w:val="Tipo"/>
                  <w:tag w:val="Tipo"/>
                  <w:id w:val="931003290"/>
                  <w:placeholder>
                    <w:docPart w:val="217A82C2678A458ABB4E15B36F925904"/>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1" w:type="dxa"/>
                      <w:tcBorders>
                        <w:left w:val="single" w:sz="4" w:space="0" w:color="auto"/>
                        <w:right w:val="single" w:sz="4" w:space="0" w:color="auto"/>
                      </w:tcBorders>
                      <w:shd w:val="clear" w:color="auto" w:fill="FFFFFF" w:themeFill="background1"/>
                    </w:tcPr>
                    <w:p w:rsidR="006E5973" w:rsidRPr="002D611A" w:rsidRDefault="0059421D" w:rsidP="006E5973">
                      <w:pPr>
                        <w:jc w:val="center"/>
                        <w:rPr>
                          <w:rFonts w:ascii="ITC Avant Garde" w:hAnsi="ITC Avant Garde"/>
                          <w:sz w:val="18"/>
                          <w:szCs w:val="18"/>
                        </w:rPr>
                      </w:pPr>
                      <w:r w:rsidRPr="002D611A">
                        <w:rPr>
                          <w:rStyle w:val="Textodelmarcadordeposicin"/>
                          <w:sz w:val="18"/>
                          <w:szCs w:val="18"/>
                        </w:rPr>
                        <w:t>Elija un elemento.</w:t>
                      </w:r>
                    </w:p>
                  </w:tc>
                </w:sdtContent>
              </w:sdt>
              <w:tc>
                <w:tcPr>
                  <w:tcW w:w="1267" w:type="dxa"/>
                  <w:tcBorders>
                    <w:left w:val="single" w:sz="4" w:space="0" w:color="auto"/>
                    <w:right w:val="single" w:sz="4" w:space="0" w:color="auto"/>
                  </w:tcBorders>
                  <w:shd w:val="clear" w:color="auto" w:fill="FFFFFF" w:themeFill="background1"/>
                </w:tcPr>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6E5973" w:rsidRPr="002D611A" w:rsidRDefault="004E331D" w:rsidP="00434D10">
                  <w:pPr>
                    <w:rPr>
                      <w:rFonts w:ascii="ITC Avant Garde" w:hAnsi="ITC Avant Garde"/>
                      <w:sz w:val="18"/>
                      <w:szCs w:val="18"/>
                    </w:rPr>
                  </w:pPr>
                  <w:r>
                    <w:rPr>
                      <w:rFonts w:ascii="ITC Avant Garde" w:hAnsi="ITC Avant Garde"/>
                      <w:sz w:val="18"/>
                      <w:szCs w:val="18"/>
                    </w:rPr>
                    <w:t>No aplica</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6E5973" w:rsidRPr="00FA12C1" w:rsidRDefault="000067E0" w:rsidP="000067E0">
                  <w:pPr>
                    <w:jc w:val="both"/>
                    <w:rPr>
                      <w:rFonts w:ascii="ITC Avant Garde" w:hAnsi="ITC Avant Garde"/>
                      <w:sz w:val="18"/>
                      <w:szCs w:val="18"/>
                    </w:rPr>
                  </w:pPr>
                  <w:r>
                    <w:rPr>
                      <w:rFonts w:ascii="ITC Avant Garde" w:hAnsi="ITC Avant Garde"/>
                      <w:sz w:val="18"/>
                      <w:szCs w:val="18"/>
                    </w:rPr>
                    <w:t>Es necesario establecer bases normativas a las cuáles deberán sujetarse los concesionarios de red pública de telecomunicaciones que opten por Solicitar la resolución de desacuerdo de interconexión a través de la Ventanilla Electrónica.</w:t>
                  </w:r>
                </w:p>
              </w:tc>
            </w:tr>
            <w:tr w:rsidR="007A4AE1" w:rsidRPr="00DD06A0" w:rsidTr="007A4AE1">
              <w:trPr>
                <w:jc w:val="center"/>
              </w:trPr>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1B72" w:rsidRDefault="003721A6"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34D10">
                        <w:rPr>
                          <w:rFonts w:ascii="ITC Avant Garde" w:hAnsi="ITC Avant Garde"/>
                          <w:sz w:val="18"/>
                          <w:szCs w:val="18"/>
                        </w:rPr>
                        <w:t>Definición</w:t>
                      </w:r>
                    </w:sdtContent>
                  </w:sdt>
                </w:p>
              </w:tc>
              <w:tc>
                <w:tcPr>
                  <w:tcW w:w="1472" w:type="dxa"/>
                  <w:tcBorders>
                    <w:left w:val="single" w:sz="4" w:space="0" w:color="auto"/>
                    <w:right w:val="single" w:sz="4" w:space="0" w:color="auto"/>
                  </w:tcBorders>
                  <w:shd w:val="clear" w:color="auto" w:fill="FFFFFF" w:themeFill="background1"/>
                </w:tcPr>
                <w:p w:rsidR="00963B0B" w:rsidRDefault="00963B0B" w:rsidP="00434D10">
                  <w:pPr>
                    <w:rPr>
                      <w:rFonts w:ascii="ITC Avant Garde" w:hAnsi="ITC Avant Garde"/>
                      <w:sz w:val="18"/>
                      <w:szCs w:val="18"/>
                    </w:rPr>
                  </w:pPr>
                </w:p>
                <w:p w:rsidR="00963B0B" w:rsidRDefault="00963B0B" w:rsidP="00434D10">
                  <w:pPr>
                    <w:rPr>
                      <w:rFonts w:ascii="ITC Avant Garde" w:hAnsi="ITC Avant Garde"/>
                      <w:sz w:val="18"/>
                      <w:szCs w:val="18"/>
                    </w:rPr>
                  </w:pPr>
                </w:p>
                <w:p w:rsidR="00E51B72" w:rsidRPr="002D611A" w:rsidRDefault="00434D10" w:rsidP="00434D10">
                  <w:pPr>
                    <w:rPr>
                      <w:rFonts w:ascii="ITC Avant Garde" w:hAnsi="ITC Avant Garde"/>
                      <w:sz w:val="18"/>
                      <w:szCs w:val="18"/>
                    </w:rPr>
                  </w:pPr>
                  <w:r w:rsidRPr="002D611A">
                    <w:rPr>
                      <w:rFonts w:ascii="ITC Avant Garde" w:hAnsi="ITC Avant Garde"/>
                      <w:sz w:val="18"/>
                      <w:szCs w:val="18"/>
                    </w:rPr>
                    <w:t>Concesionario Instituto</w:t>
                  </w:r>
                </w:p>
              </w:tc>
              <w:tc>
                <w:tcPr>
                  <w:tcW w:w="1187" w:type="dxa"/>
                  <w:tcBorders>
                    <w:left w:val="single" w:sz="4" w:space="0" w:color="auto"/>
                    <w:right w:val="single" w:sz="4" w:space="0" w:color="auto"/>
                  </w:tcBorders>
                  <w:shd w:val="clear" w:color="auto" w:fill="FFFFFF" w:themeFill="background1"/>
                </w:tcPr>
                <w:p w:rsidR="00963B0B" w:rsidRDefault="00963B0B" w:rsidP="00A32408">
                  <w:pPr>
                    <w:jc w:val="center"/>
                    <w:rPr>
                      <w:rFonts w:ascii="ITC Avant Garde" w:hAnsi="ITC Avant Garde"/>
                      <w:sz w:val="18"/>
                      <w:szCs w:val="18"/>
                    </w:rPr>
                  </w:pPr>
                </w:p>
                <w:p w:rsidR="00963B0B" w:rsidRDefault="00963B0B" w:rsidP="00A32408">
                  <w:pPr>
                    <w:jc w:val="center"/>
                    <w:rPr>
                      <w:rFonts w:ascii="ITC Avant Garde" w:hAnsi="ITC Avant Garde"/>
                      <w:sz w:val="18"/>
                      <w:szCs w:val="18"/>
                    </w:rPr>
                  </w:pPr>
                </w:p>
                <w:p w:rsidR="00E51B72" w:rsidRPr="002D611A" w:rsidRDefault="00434D10" w:rsidP="00A32408">
                  <w:pPr>
                    <w:jc w:val="center"/>
                    <w:rPr>
                      <w:rFonts w:ascii="ITC Avant Garde" w:hAnsi="ITC Avant Garde"/>
                      <w:sz w:val="18"/>
                      <w:szCs w:val="18"/>
                    </w:rPr>
                  </w:pPr>
                  <w:r w:rsidRPr="002D611A">
                    <w:rPr>
                      <w:rFonts w:ascii="ITC Avant Garde" w:hAnsi="ITC Avant Garde"/>
                      <w:sz w:val="18"/>
                      <w:szCs w:val="18"/>
                    </w:rPr>
                    <w:t>S</w:t>
                  </w:r>
                  <w:r w:rsidR="00A32408" w:rsidRPr="002D611A">
                    <w:rPr>
                      <w:rFonts w:ascii="ITC Avant Garde" w:hAnsi="ITC Avant Garde"/>
                      <w:sz w:val="18"/>
                      <w:szCs w:val="18"/>
                    </w:rPr>
                    <w:t>egundo</w:t>
                  </w:r>
                </w:p>
              </w:tc>
              <w:sdt>
                <w:sdtPr>
                  <w:rPr>
                    <w:rFonts w:ascii="ITC Avant Garde" w:hAnsi="ITC Avant Garde"/>
                    <w:sz w:val="18"/>
                    <w:szCs w:val="18"/>
                  </w:rPr>
                  <w:alias w:val="Tipo"/>
                  <w:tag w:val="Tipo"/>
                  <w:id w:val="540412773"/>
                  <w:placeholder>
                    <w:docPart w:val="B4267E13EE6D4D088BE00BFD410164B6"/>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1" w:type="dxa"/>
                      <w:tcBorders>
                        <w:left w:val="single" w:sz="4" w:space="0" w:color="auto"/>
                        <w:right w:val="single" w:sz="4" w:space="0" w:color="auto"/>
                      </w:tcBorders>
                      <w:shd w:val="clear" w:color="auto" w:fill="FFFFFF" w:themeFill="background1"/>
                    </w:tcPr>
                    <w:p w:rsidR="00E51B72" w:rsidRPr="002D611A" w:rsidRDefault="0059421D" w:rsidP="006E5973">
                      <w:pPr>
                        <w:jc w:val="center"/>
                        <w:rPr>
                          <w:rFonts w:ascii="ITC Avant Garde" w:hAnsi="ITC Avant Garde"/>
                          <w:sz w:val="18"/>
                          <w:szCs w:val="18"/>
                        </w:rPr>
                      </w:pPr>
                      <w:r w:rsidRPr="002D611A">
                        <w:rPr>
                          <w:rStyle w:val="Textodelmarcadordeposicin"/>
                          <w:sz w:val="18"/>
                          <w:szCs w:val="18"/>
                        </w:rPr>
                        <w:t>Elija un elemento.</w:t>
                      </w:r>
                    </w:p>
                  </w:tc>
                </w:sdtContent>
              </w:sdt>
              <w:tc>
                <w:tcPr>
                  <w:tcW w:w="1267" w:type="dxa"/>
                  <w:tcBorders>
                    <w:left w:val="single" w:sz="4" w:space="0" w:color="auto"/>
                    <w:right w:val="single" w:sz="4" w:space="0" w:color="auto"/>
                  </w:tcBorders>
                  <w:shd w:val="clear" w:color="auto" w:fill="FFFFFF" w:themeFill="background1"/>
                </w:tcPr>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E51B72" w:rsidRPr="002D611A" w:rsidRDefault="00434D10" w:rsidP="006E5973">
                  <w:pPr>
                    <w:jc w:val="center"/>
                    <w:rPr>
                      <w:rFonts w:ascii="ITC Avant Garde" w:hAnsi="ITC Avant Garde"/>
                      <w:sz w:val="18"/>
                      <w:szCs w:val="18"/>
                    </w:rPr>
                  </w:pPr>
                  <w:r w:rsidRPr="002D611A">
                    <w:rPr>
                      <w:rFonts w:ascii="ITC Avant Garde" w:hAnsi="ITC Avant Garde"/>
                      <w:sz w:val="18"/>
                      <w:szCs w:val="18"/>
                    </w:rPr>
                    <w:t xml:space="preserve">No aplica </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E51B72" w:rsidRDefault="00434D10" w:rsidP="00434D10">
                  <w:pPr>
                    <w:jc w:val="both"/>
                    <w:rPr>
                      <w:rFonts w:ascii="ITC Avant Garde" w:hAnsi="ITC Avant Garde"/>
                      <w:sz w:val="18"/>
                      <w:szCs w:val="18"/>
                    </w:rPr>
                  </w:pPr>
                  <w:r>
                    <w:rPr>
                      <w:rFonts w:ascii="ITC Avant Garde" w:hAnsi="ITC Avant Garde"/>
                      <w:sz w:val="18"/>
                      <w:szCs w:val="18"/>
                    </w:rPr>
                    <w:t>Dar certeza y claridad respecto de los conceptos y abreviaturas utilizadas en el proyecto</w:t>
                  </w:r>
                </w:p>
              </w:tc>
            </w:tr>
            <w:tr w:rsidR="007A4AE1" w:rsidRPr="00DD06A0" w:rsidTr="007A4AE1">
              <w:trPr>
                <w:jc w:val="center"/>
              </w:trPr>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34D10" w:rsidRDefault="003721A6" w:rsidP="006E5973">
                  <w:pPr>
                    <w:jc w:val="center"/>
                    <w:rPr>
                      <w:rFonts w:ascii="ITC Avant Garde" w:hAnsi="ITC Avant Garde"/>
                      <w:sz w:val="18"/>
                      <w:szCs w:val="18"/>
                    </w:rPr>
                  </w:pPr>
                  <w:sdt>
                    <w:sdtPr>
                      <w:rPr>
                        <w:rFonts w:ascii="ITC Avant Garde" w:hAnsi="ITC Avant Garde"/>
                        <w:sz w:val="18"/>
                        <w:szCs w:val="18"/>
                      </w:rPr>
                      <w:alias w:val="Tipo"/>
                      <w:tag w:val="Tipo"/>
                      <w:id w:val="74704801"/>
                      <w:placeholder>
                        <w:docPart w:val="7B117B48CDBA47E481FE007BF8657F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34D10">
                        <w:rPr>
                          <w:rFonts w:ascii="ITC Avant Garde" w:hAnsi="ITC Avant Garde"/>
                          <w:sz w:val="18"/>
                          <w:szCs w:val="18"/>
                        </w:rPr>
                        <w:t>Adopción o seguimiento de metodologías</w:t>
                      </w:r>
                    </w:sdtContent>
                  </w:sdt>
                </w:p>
              </w:tc>
              <w:tc>
                <w:tcPr>
                  <w:tcW w:w="1472" w:type="dxa"/>
                  <w:tcBorders>
                    <w:left w:val="single" w:sz="4" w:space="0" w:color="auto"/>
                    <w:right w:val="single" w:sz="4" w:space="0" w:color="auto"/>
                  </w:tcBorders>
                  <w:shd w:val="clear" w:color="auto" w:fill="FFFFFF" w:themeFill="background1"/>
                </w:tcPr>
                <w:p w:rsidR="00434D10" w:rsidRPr="002D611A" w:rsidRDefault="00434D10" w:rsidP="002D611A">
                  <w:pPr>
                    <w:jc w:val="center"/>
                    <w:rPr>
                      <w:rFonts w:ascii="ITC Avant Garde" w:hAnsi="ITC Avant Garde"/>
                      <w:sz w:val="18"/>
                      <w:szCs w:val="18"/>
                    </w:rPr>
                  </w:pPr>
                  <w:r w:rsidRPr="002D611A">
                    <w:rPr>
                      <w:rFonts w:ascii="ITC Avant Garde" w:hAnsi="ITC Avant Garde"/>
                      <w:sz w:val="18"/>
                      <w:szCs w:val="18"/>
                    </w:rPr>
                    <w:t>Concesionario</w:t>
                  </w:r>
                  <w:r w:rsidR="002D611A">
                    <w:rPr>
                      <w:rFonts w:ascii="ITC Avant Garde" w:hAnsi="ITC Avant Garde"/>
                      <w:sz w:val="18"/>
                      <w:szCs w:val="18"/>
                    </w:rPr>
                    <w:t xml:space="preserve">s </w:t>
                  </w:r>
                  <w:r w:rsidRPr="002D611A">
                    <w:rPr>
                      <w:rFonts w:ascii="ITC Avant Garde" w:hAnsi="ITC Avant Garde"/>
                      <w:sz w:val="18"/>
                      <w:szCs w:val="18"/>
                    </w:rPr>
                    <w:t>e Instituto</w:t>
                  </w:r>
                </w:p>
              </w:tc>
              <w:tc>
                <w:tcPr>
                  <w:tcW w:w="1187" w:type="dxa"/>
                  <w:tcBorders>
                    <w:left w:val="single" w:sz="4" w:space="0" w:color="auto"/>
                    <w:right w:val="single" w:sz="4" w:space="0" w:color="auto"/>
                  </w:tcBorders>
                  <w:shd w:val="clear" w:color="auto" w:fill="FFFFFF" w:themeFill="background1"/>
                </w:tcPr>
                <w:p w:rsidR="00434D10" w:rsidRPr="002D611A" w:rsidRDefault="00434D10" w:rsidP="00A32408">
                  <w:pPr>
                    <w:jc w:val="center"/>
                    <w:rPr>
                      <w:rFonts w:ascii="ITC Avant Garde" w:hAnsi="ITC Avant Garde"/>
                      <w:sz w:val="18"/>
                      <w:szCs w:val="18"/>
                    </w:rPr>
                  </w:pPr>
                  <w:r w:rsidRPr="002D611A">
                    <w:rPr>
                      <w:rFonts w:ascii="ITC Avant Garde" w:hAnsi="ITC Avant Garde"/>
                      <w:sz w:val="18"/>
                      <w:szCs w:val="18"/>
                    </w:rPr>
                    <w:t>T</w:t>
                  </w:r>
                  <w:r w:rsidR="00A32408" w:rsidRPr="002D611A">
                    <w:rPr>
                      <w:rFonts w:ascii="ITC Avant Garde" w:hAnsi="ITC Avant Garde"/>
                      <w:sz w:val="18"/>
                      <w:szCs w:val="18"/>
                    </w:rPr>
                    <w:t>ercero</w:t>
                  </w:r>
                </w:p>
              </w:tc>
              <w:tc>
                <w:tcPr>
                  <w:tcW w:w="1431" w:type="dxa"/>
                  <w:tcBorders>
                    <w:left w:val="single" w:sz="4" w:space="0" w:color="auto"/>
                    <w:right w:val="single" w:sz="4" w:space="0" w:color="auto"/>
                  </w:tcBorders>
                  <w:shd w:val="clear" w:color="auto" w:fill="FFFFFF" w:themeFill="background1"/>
                </w:tcPr>
                <w:p w:rsidR="00434D10" w:rsidRPr="002D611A" w:rsidRDefault="00434D10" w:rsidP="006E5973">
                  <w:pPr>
                    <w:jc w:val="center"/>
                    <w:rPr>
                      <w:rFonts w:ascii="ITC Avant Garde" w:hAnsi="ITC Avant Garde"/>
                      <w:sz w:val="18"/>
                      <w:szCs w:val="18"/>
                    </w:rPr>
                  </w:pPr>
                </w:p>
              </w:tc>
              <w:tc>
                <w:tcPr>
                  <w:tcW w:w="1267" w:type="dxa"/>
                  <w:tcBorders>
                    <w:left w:val="single" w:sz="4" w:space="0" w:color="auto"/>
                    <w:right w:val="single" w:sz="4" w:space="0" w:color="auto"/>
                  </w:tcBorders>
                  <w:shd w:val="clear" w:color="auto" w:fill="FFFFFF" w:themeFill="background1"/>
                </w:tcPr>
                <w:p w:rsidR="00434D10" w:rsidRPr="002D611A" w:rsidRDefault="00434D10" w:rsidP="006E5973">
                  <w:pPr>
                    <w:jc w:val="center"/>
                    <w:rPr>
                      <w:rFonts w:ascii="ITC Avant Garde" w:hAnsi="ITC Avant Garde"/>
                      <w:sz w:val="18"/>
                      <w:szCs w:val="18"/>
                    </w:rPr>
                  </w:pPr>
                  <w:r w:rsidRPr="002D611A">
                    <w:rPr>
                      <w:rFonts w:ascii="ITC Avant Garde" w:hAnsi="ITC Avant Garde"/>
                      <w:sz w:val="18"/>
                      <w:szCs w:val="18"/>
                    </w:rPr>
                    <w:t>No aplica</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434D10" w:rsidRDefault="00434D10" w:rsidP="00434D10">
                  <w:pPr>
                    <w:jc w:val="both"/>
                    <w:rPr>
                      <w:rFonts w:ascii="ITC Avant Garde" w:hAnsi="ITC Avant Garde"/>
                      <w:sz w:val="18"/>
                      <w:szCs w:val="18"/>
                    </w:rPr>
                  </w:pPr>
                  <w:r>
                    <w:rPr>
                      <w:rFonts w:ascii="ITC Avant Garde" w:hAnsi="ITC Avant Garde"/>
                      <w:sz w:val="18"/>
                      <w:szCs w:val="18"/>
                    </w:rPr>
                    <w:t>Cumplir con las disposiciones legales aplicables a la sustanciación del procedimiento</w:t>
                  </w:r>
                </w:p>
              </w:tc>
            </w:tr>
            <w:tr w:rsidR="007A4AE1" w:rsidRPr="00DD06A0" w:rsidTr="007A4AE1">
              <w:trPr>
                <w:jc w:val="center"/>
              </w:trPr>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34D10" w:rsidRPr="002D611A" w:rsidRDefault="00A32408" w:rsidP="006E5973">
                  <w:pPr>
                    <w:jc w:val="center"/>
                    <w:rPr>
                      <w:rFonts w:ascii="ITC Avant Garde" w:hAnsi="ITC Avant Garde"/>
                      <w:sz w:val="18"/>
                      <w:szCs w:val="18"/>
                    </w:rPr>
                  </w:pPr>
                  <w:r w:rsidRPr="002D611A">
                    <w:rPr>
                      <w:rFonts w:ascii="ITC Avant Garde" w:hAnsi="ITC Avant Garde"/>
                      <w:sz w:val="18"/>
                      <w:szCs w:val="18"/>
                    </w:rPr>
                    <w:t>Obligación</w:t>
                  </w:r>
                </w:p>
              </w:tc>
              <w:tc>
                <w:tcPr>
                  <w:tcW w:w="1472" w:type="dxa"/>
                  <w:tcBorders>
                    <w:left w:val="single" w:sz="4" w:space="0" w:color="auto"/>
                    <w:right w:val="single" w:sz="4" w:space="0" w:color="auto"/>
                  </w:tcBorders>
                  <w:shd w:val="clear" w:color="auto" w:fill="FFFFFF" w:themeFill="background1"/>
                </w:tcPr>
                <w:p w:rsidR="00434D10" w:rsidRPr="002D611A" w:rsidRDefault="00A32408" w:rsidP="006E5973">
                  <w:pPr>
                    <w:jc w:val="center"/>
                    <w:rPr>
                      <w:rFonts w:ascii="ITC Avant Garde" w:hAnsi="ITC Avant Garde"/>
                      <w:sz w:val="18"/>
                      <w:szCs w:val="18"/>
                    </w:rPr>
                  </w:pPr>
                  <w:r w:rsidRPr="002D611A">
                    <w:rPr>
                      <w:rFonts w:ascii="ITC Avant Garde" w:hAnsi="ITC Avant Garde"/>
                      <w:sz w:val="18"/>
                      <w:szCs w:val="18"/>
                    </w:rPr>
                    <w:t>Concesionarios</w:t>
                  </w:r>
                </w:p>
              </w:tc>
              <w:tc>
                <w:tcPr>
                  <w:tcW w:w="1187" w:type="dxa"/>
                  <w:tcBorders>
                    <w:left w:val="single" w:sz="4" w:space="0" w:color="auto"/>
                    <w:right w:val="single" w:sz="4" w:space="0" w:color="auto"/>
                  </w:tcBorders>
                  <w:shd w:val="clear" w:color="auto" w:fill="FFFFFF" w:themeFill="background1"/>
                </w:tcPr>
                <w:p w:rsidR="00434D10" w:rsidRPr="002D611A" w:rsidRDefault="00A32408" w:rsidP="006E5973">
                  <w:pPr>
                    <w:jc w:val="center"/>
                    <w:rPr>
                      <w:rFonts w:ascii="ITC Avant Garde" w:hAnsi="ITC Avant Garde"/>
                      <w:sz w:val="18"/>
                      <w:szCs w:val="18"/>
                    </w:rPr>
                  </w:pPr>
                  <w:r w:rsidRPr="002D611A">
                    <w:rPr>
                      <w:rFonts w:ascii="ITC Avant Garde" w:hAnsi="ITC Avant Garde"/>
                      <w:sz w:val="18"/>
                      <w:szCs w:val="18"/>
                    </w:rPr>
                    <w:t>Quinto</w:t>
                  </w:r>
                </w:p>
              </w:tc>
              <w:tc>
                <w:tcPr>
                  <w:tcW w:w="1431" w:type="dxa"/>
                  <w:tcBorders>
                    <w:left w:val="single" w:sz="4" w:space="0" w:color="auto"/>
                    <w:right w:val="single" w:sz="4" w:space="0" w:color="auto"/>
                  </w:tcBorders>
                  <w:shd w:val="clear" w:color="auto" w:fill="FFFFFF" w:themeFill="background1"/>
                </w:tcPr>
                <w:p w:rsidR="00434D10" w:rsidRDefault="00434D10" w:rsidP="006E5973">
                  <w:pPr>
                    <w:jc w:val="center"/>
                    <w:rPr>
                      <w:rFonts w:ascii="ITC Avant Garde" w:hAnsi="ITC Avant Garde"/>
                      <w:sz w:val="18"/>
                      <w:szCs w:val="18"/>
                    </w:rPr>
                  </w:pPr>
                </w:p>
              </w:tc>
              <w:tc>
                <w:tcPr>
                  <w:tcW w:w="1267" w:type="dxa"/>
                  <w:tcBorders>
                    <w:left w:val="single" w:sz="4" w:space="0" w:color="auto"/>
                    <w:right w:val="single" w:sz="4" w:space="0" w:color="auto"/>
                  </w:tcBorders>
                  <w:shd w:val="clear" w:color="auto" w:fill="FFFFFF" w:themeFill="background1"/>
                </w:tcPr>
                <w:p w:rsidR="00434D10" w:rsidRDefault="004E331D" w:rsidP="006E5973">
                  <w:pPr>
                    <w:jc w:val="center"/>
                    <w:rPr>
                      <w:rFonts w:ascii="ITC Avant Garde" w:hAnsi="ITC Avant Garde"/>
                      <w:sz w:val="18"/>
                      <w:szCs w:val="18"/>
                    </w:rPr>
                  </w:pPr>
                  <w:r>
                    <w:rPr>
                      <w:rFonts w:ascii="ITC Avant Garde" w:hAnsi="ITC Avant Garde"/>
                      <w:sz w:val="18"/>
                      <w:szCs w:val="18"/>
                    </w:rPr>
                    <w:t>No aplica</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434D10" w:rsidRDefault="004E331D" w:rsidP="004E331D">
                  <w:pPr>
                    <w:jc w:val="both"/>
                    <w:rPr>
                      <w:rFonts w:ascii="ITC Avant Garde" w:hAnsi="ITC Avant Garde"/>
                      <w:sz w:val="18"/>
                      <w:szCs w:val="18"/>
                    </w:rPr>
                  </w:pPr>
                  <w:r>
                    <w:rPr>
                      <w:rFonts w:ascii="ITC Avant Garde" w:hAnsi="ITC Avant Garde"/>
                      <w:sz w:val="18"/>
                      <w:szCs w:val="18"/>
                    </w:rPr>
                    <w:t xml:space="preserve">Es necesario establecer la forma, a través de la cual, los concesionarios que opten por presentar su </w:t>
                  </w:r>
                  <w:r w:rsidR="00402B8F">
                    <w:rPr>
                      <w:rFonts w:ascii="ITC Avant Garde" w:hAnsi="ITC Avant Garde"/>
                      <w:sz w:val="18"/>
                      <w:szCs w:val="18"/>
                    </w:rPr>
                    <w:t xml:space="preserve">Solicitud de resolución de </w:t>
                  </w:r>
                  <w:r>
                    <w:rPr>
                      <w:rFonts w:ascii="ITC Avant Garde" w:hAnsi="ITC Avant Garde"/>
                      <w:sz w:val="18"/>
                      <w:szCs w:val="18"/>
                    </w:rPr>
                    <w:t xml:space="preserve">desacuerdo de interconexión mediante la Ventanilla Electrónica, </w:t>
                  </w:r>
                  <w:r w:rsidR="00402B8F">
                    <w:rPr>
                      <w:rFonts w:ascii="ITC Avant Garde" w:hAnsi="ITC Avant Garde"/>
                      <w:sz w:val="18"/>
                      <w:szCs w:val="18"/>
                    </w:rPr>
                    <w:t>debe</w:t>
                  </w:r>
                  <w:r>
                    <w:rPr>
                      <w:rFonts w:ascii="ITC Avant Garde" w:hAnsi="ITC Avant Garde"/>
                      <w:sz w:val="18"/>
                      <w:szCs w:val="18"/>
                    </w:rPr>
                    <w:t>n cumplir.</w:t>
                  </w:r>
                </w:p>
              </w:tc>
            </w:tr>
            <w:tr w:rsidR="007A4AE1" w:rsidRPr="00DD06A0" w:rsidTr="007A4AE1">
              <w:trPr>
                <w:jc w:val="center"/>
              </w:trPr>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34D10" w:rsidRDefault="00C206B3" w:rsidP="006E5973">
                  <w:pPr>
                    <w:jc w:val="center"/>
                    <w:rPr>
                      <w:rFonts w:ascii="ITC Avant Garde" w:hAnsi="ITC Avant Garde"/>
                      <w:sz w:val="18"/>
                      <w:szCs w:val="18"/>
                    </w:rPr>
                  </w:pPr>
                  <w:r>
                    <w:rPr>
                      <w:rFonts w:ascii="ITC Avant Garde" w:hAnsi="ITC Avant Garde"/>
                      <w:sz w:val="18"/>
                      <w:szCs w:val="18"/>
                    </w:rPr>
                    <w:t>Obligación</w:t>
                  </w:r>
                </w:p>
              </w:tc>
              <w:tc>
                <w:tcPr>
                  <w:tcW w:w="1472" w:type="dxa"/>
                  <w:tcBorders>
                    <w:left w:val="single" w:sz="4" w:space="0" w:color="auto"/>
                    <w:right w:val="single" w:sz="4" w:space="0" w:color="auto"/>
                  </w:tcBorders>
                  <w:shd w:val="clear" w:color="auto" w:fill="FFFFFF" w:themeFill="background1"/>
                </w:tcPr>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434D10" w:rsidRDefault="00687964" w:rsidP="006E5973">
                  <w:pPr>
                    <w:jc w:val="center"/>
                    <w:rPr>
                      <w:rFonts w:ascii="ITC Avant Garde" w:hAnsi="ITC Avant Garde"/>
                      <w:sz w:val="18"/>
                      <w:szCs w:val="18"/>
                    </w:rPr>
                  </w:pPr>
                  <w:r>
                    <w:rPr>
                      <w:rFonts w:ascii="ITC Avant Garde" w:hAnsi="ITC Avant Garde"/>
                      <w:sz w:val="18"/>
                      <w:szCs w:val="18"/>
                    </w:rPr>
                    <w:t>Concesionarios</w:t>
                  </w:r>
                </w:p>
              </w:tc>
              <w:tc>
                <w:tcPr>
                  <w:tcW w:w="1187" w:type="dxa"/>
                  <w:tcBorders>
                    <w:left w:val="single" w:sz="4" w:space="0" w:color="auto"/>
                    <w:right w:val="single" w:sz="4" w:space="0" w:color="auto"/>
                  </w:tcBorders>
                  <w:shd w:val="clear" w:color="auto" w:fill="FFFFFF" w:themeFill="background1"/>
                </w:tcPr>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434D10" w:rsidRDefault="00687964" w:rsidP="006E5973">
                  <w:pPr>
                    <w:jc w:val="center"/>
                    <w:rPr>
                      <w:rFonts w:ascii="ITC Avant Garde" w:hAnsi="ITC Avant Garde"/>
                      <w:sz w:val="18"/>
                      <w:szCs w:val="18"/>
                    </w:rPr>
                  </w:pPr>
                  <w:r>
                    <w:rPr>
                      <w:rFonts w:ascii="ITC Avant Garde" w:hAnsi="ITC Avant Garde"/>
                      <w:sz w:val="18"/>
                      <w:szCs w:val="18"/>
                    </w:rPr>
                    <w:t>Sexto</w:t>
                  </w:r>
                </w:p>
              </w:tc>
              <w:tc>
                <w:tcPr>
                  <w:tcW w:w="1431" w:type="dxa"/>
                  <w:tcBorders>
                    <w:left w:val="single" w:sz="4" w:space="0" w:color="auto"/>
                    <w:right w:val="single" w:sz="4" w:space="0" w:color="auto"/>
                  </w:tcBorders>
                  <w:shd w:val="clear" w:color="auto" w:fill="FFFFFF" w:themeFill="background1"/>
                </w:tcPr>
                <w:p w:rsidR="00434D10" w:rsidRDefault="00434D10" w:rsidP="006E5973">
                  <w:pPr>
                    <w:jc w:val="center"/>
                    <w:rPr>
                      <w:rFonts w:ascii="ITC Avant Garde" w:hAnsi="ITC Avant Garde"/>
                      <w:sz w:val="18"/>
                      <w:szCs w:val="18"/>
                    </w:rPr>
                  </w:pPr>
                </w:p>
              </w:tc>
              <w:tc>
                <w:tcPr>
                  <w:tcW w:w="1267" w:type="dxa"/>
                  <w:tcBorders>
                    <w:left w:val="single" w:sz="4" w:space="0" w:color="auto"/>
                    <w:right w:val="single" w:sz="4" w:space="0" w:color="auto"/>
                  </w:tcBorders>
                  <w:shd w:val="clear" w:color="auto" w:fill="FFFFFF" w:themeFill="background1"/>
                </w:tcPr>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434D10" w:rsidRDefault="00687964" w:rsidP="006E5973">
                  <w:pPr>
                    <w:jc w:val="center"/>
                    <w:rPr>
                      <w:rFonts w:ascii="ITC Avant Garde" w:hAnsi="ITC Avant Garde"/>
                      <w:sz w:val="18"/>
                      <w:szCs w:val="18"/>
                    </w:rPr>
                  </w:pPr>
                  <w:r>
                    <w:rPr>
                      <w:rFonts w:ascii="ITC Avant Garde" w:hAnsi="ITC Avant Garde"/>
                      <w:sz w:val="18"/>
                      <w:szCs w:val="18"/>
                    </w:rPr>
                    <w:t>No aplica</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434D10" w:rsidRDefault="00402B8F" w:rsidP="00402B8F">
                  <w:pPr>
                    <w:jc w:val="both"/>
                    <w:rPr>
                      <w:rFonts w:ascii="ITC Avant Garde" w:hAnsi="ITC Avant Garde"/>
                      <w:sz w:val="18"/>
                      <w:szCs w:val="18"/>
                    </w:rPr>
                  </w:pPr>
                  <w:r w:rsidRPr="00402B8F">
                    <w:rPr>
                      <w:rFonts w:ascii="ITC Avant Garde" w:hAnsi="ITC Avant Garde"/>
                      <w:sz w:val="18"/>
                      <w:szCs w:val="18"/>
                    </w:rPr>
                    <w:t>Es necesario establecer la forma, a través de la cual, los concesionarios que opten por presentar su Solicitud de resolución de desacuerdo de interconexión mediante la Ventanilla Electrónica, deben cumplir.</w:t>
                  </w:r>
                </w:p>
              </w:tc>
            </w:tr>
            <w:tr w:rsidR="007A4AE1" w:rsidRPr="00DD06A0" w:rsidTr="007A4AE1">
              <w:trPr>
                <w:jc w:val="center"/>
              </w:trPr>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34D10" w:rsidRDefault="00402B8F" w:rsidP="006E5973">
                  <w:pPr>
                    <w:jc w:val="center"/>
                    <w:rPr>
                      <w:rFonts w:ascii="ITC Avant Garde" w:hAnsi="ITC Avant Garde"/>
                      <w:sz w:val="18"/>
                      <w:szCs w:val="18"/>
                    </w:rPr>
                  </w:pPr>
                  <w:r>
                    <w:rPr>
                      <w:rFonts w:ascii="ITC Avant Garde" w:hAnsi="ITC Avant Garde"/>
                      <w:sz w:val="18"/>
                      <w:szCs w:val="18"/>
                    </w:rPr>
                    <w:t>Adopción o seguimiento de Metodologías</w:t>
                  </w:r>
                </w:p>
              </w:tc>
              <w:tc>
                <w:tcPr>
                  <w:tcW w:w="1472" w:type="dxa"/>
                  <w:tcBorders>
                    <w:left w:val="single" w:sz="4" w:space="0" w:color="auto"/>
                    <w:right w:val="single" w:sz="4" w:space="0" w:color="auto"/>
                  </w:tcBorders>
                  <w:shd w:val="clear" w:color="auto" w:fill="FFFFFF" w:themeFill="background1"/>
                </w:tcPr>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434D10" w:rsidRDefault="00402B8F" w:rsidP="006E5973">
                  <w:pPr>
                    <w:jc w:val="center"/>
                    <w:rPr>
                      <w:rFonts w:ascii="ITC Avant Garde" w:hAnsi="ITC Avant Garde"/>
                      <w:sz w:val="18"/>
                      <w:szCs w:val="18"/>
                    </w:rPr>
                  </w:pPr>
                  <w:r>
                    <w:rPr>
                      <w:rFonts w:ascii="ITC Avant Garde" w:hAnsi="ITC Avant Garde"/>
                      <w:sz w:val="18"/>
                      <w:szCs w:val="18"/>
                    </w:rPr>
                    <w:t>Concesionarios</w:t>
                  </w:r>
                </w:p>
              </w:tc>
              <w:tc>
                <w:tcPr>
                  <w:tcW w:w="1187" w:type="dxa"/>
                  <w:tcBorders>
                    <w:left w:val="single" w:sz="4" w:space="0" w:color="auto"/>
                    <w:right w:val="single" w:sz="4" w:space="0" w:color="auto"/>
                  </w:tcBorders>
                  <w:shd w:val="clear" w:color="auto" w:fill="FFFFFF" w:themeFill="background1"/>
                </w:tcPr>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434D10" w:rsidRDefault="00402B8F" w:rsidP="006E5973">
                  <w:pPr>
                    <w:jc w:val="center"/>
                    <w:rPr>
                      <w:rFonts w:ascii="ITC Avant Garde" w:hAnsi="ITC Avant Garde"/>
                      <w:sz w:val="18"/>
                      <w:szCs w:val="18"/>
                    </w:rPr>
                  </w:pPr>
                  <w:r>
                    <w:rPr>
                      <w:rFonts w:ascii="ITC Avant Garde" w:hAnsi="ITC Avant Garde"/>
                      <w:sz w:val="18"/>
                      <w:szCs w:val="18"/>
                    </w:rPr>
                    <w:t>Séptimo</w:t>
                  </w:r>
                </w:p>
              </w:tc>
              <w:tc>
                <w:tcPr>
                  <w:tcW w:w="1431" w:type="dxa"/>
                  <w:tcBorders>
                    <w:left w:val="single" w:sz="4" w:space="0" w:color="auto"/>
                    <w:right w:val="single" w:sz="4" w:space="0" w:color="auto"/>
                  </w:tcBorders>
                  <w:shd w:val="clear" w:color="auto" w:fill="FFFFFF" w:themeFill="background1"/>
                </w:tcPr>
                <w:p w:rsidR="00434D10" w:rsidRDefault="00434D10" w:rsidP="006E5973">
                  <w:pPr>
                    <w:jc w:val="center"/>
                    <w:rPr>
                      <w:rFonts w:ascii="ITC Avant Garde" w:hAnsi="ITC Avant Garde"/>
                      <w:sz w:val="18"/>
                      <w:szCs w:val="18"/>
                    </w:rPr>
                  </w:pPr>
                </w:p>
              </w:tc>
              <w:tc>
                <w:tcPr>
                  <w:tcW w:w="1267" w:type="dxa"/>
                  <w:tcBorders>
                    <w:left w:val="single" w:sz="4" w:space="0" w:color="auto"/>
                    <w:right w:val="single" w:sz="4" w:space="0" w:color="auto"/>
                  </w:tcBorders>
                  <w:shd w:val="clear" w:color="auto" w:fill="FFFFFF" w:themeFill="background1"/>
                </w:tcPr>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434D10" w:rsidRDefault="00402B8F" w:rsidP="006E5973">
                  <w:pPr>
                    <w:jc w:val="center"/>
                    <w:rPr>
                      <w:rFonts w:ascii="ITC Avant Garde" w:hAnsi="ITC Avant Garde"/>
                      <w:sz w:val="18"/>
                      <w:szCs w:val="18"/>
                    </w:rPr>
                  </w:pPr>
                  <w:r>
                    <w:rPr>
                      <w:rFonts w:ascii="ITC Avant Garde" w:hAnsi="ITC Avant Garde"/>
                      <w:sz w:val="18"/>
                      <w:szCs w:val="18"/>
                    </w:rPr>
                    <w:t>No aplica</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434D10" w:rsidRDefault="00402B8F" w:rsidP="00402B8F">
                  <w:pPr>
                    <w:jc w:val="both"/>
                    <w:rPr>
                      <w:rFonts w:ascii="ITC Avant Garde" w:hAnsi="ITC Avant Garde"/>
                      <w:sz w:val="18"/>
                      <w:szCs w:val="18"/>
                    </w:rPr>
                  </w:pPr>
                  <w:r>
                    <w:rPr>
                      <w:rFonts w:ascii="ITC Avant Garde" w:hAnsi="ITC Avant Garde"/>
                      <w:sz w:val="18"/>
                      <w:szCs w:val="18"/>
                    </w:rPr>
                    <w:t>Es necesario que para el acceso a la Ventanilla Electrónica, los concesionarios cumplan con los Lineamientos expedidos por el Instituto para la misma.</w:t>
                  </w:r>
                </w:p>
              </w:tc>
            </w:tr>
            <w:tr w:rsidR="007A4AE1" w:rsidRPr="00DD06A0" w:rsidTr="007A4AE1">
              <w:trPr>
                <w:jc w:val="center"/>
              </w:trPr>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34D10" w:rsidRDefault="00F033BE" w:rsidP="006E5973">
                  <w:pPr>
                    <w:jc w:val="center"/>
                    <w:rPr>
                      <w:rFonts w:ascii="ITC Avant Garde" w:hAnsi="ITC Avant Garde"/>
                      <w:sz w:val="18"/>
                      <w:szCs w:val="18"/>
                    </w:rPr>
                  </w:pPr>
                  <w:r>
                    <w:rPr>
                      <w:rFonts w:ascii="ITC Avant Garde" w:hAnsi="ITC Avant Garde"/>
                      <w:sz w:val="18"/>
                      <w:szCs w:val="18"/>
                    </w:rPr>
                    <w:t>Obligación</w:t>
                  </w:r>
                </w:p>
              </w:tc>
              <w:tc>
                <w:tcPr>
                  <w:tcW w:w="1472" w:type="dxa"/>
                  <w:tcBorders>
                    <w:left w:val="single" w:sz="4" w:space="0" w:color="auto"/>
                    <w:right w:val="single" w:sz="4" w:space="0" w:color="auto"/>
                  </w:tcBorders>
                  <w:shd w:val="clear" w:color="auto" w:fill="FFFFFF" w:themeFill="background1"/>
                </w:tcPr>
                <w:p w:rsidR="00F033BE" w:rsidRDefault="00F033BE" w:rsidP="006E5973">
                  <w:pPr>
                    <w:jc w:val="center"/>
                    <w:rPr>
                      <w:rFonts w:ascii="ITC Avant Garde" w:hAnsi="ITC Avant Garde"/>
                      <w:sz w:val="18"/>
                      <w:szCs w:val="18"/>
                    </w:rPr>
                  </w:pPr>
                </w:p>
                <w:p w:rsidR="00F033BE" w:rsidRDefault="00F033BE" w:rsidP="006E5973">
                  <w:pPr>
                    <w:jc w:val="center"/>
                    <w:rPr>
                      <w:rFonts w:ascii="ITC Avant Garde" w:hAnsi="ITC Avant Garde"/>
                      <w:sz w:val="18"/>
                      <w:szCs w:val="18"/>
                    </w:rPr>
                  </w:pPr>
                </w:p>
                <w:p w:rsidR="00F033BE" w:rsidRDefault="00F033BE" w:rsidP="006E5973">
                  <w:pPr>
                    <w:jc w:val="center"/>
                    <w:rPr>
                      <w:rFonts w:ascii="ITC Avant Garde" w:hAnsi="ITC Avant Garde"/>
                      <w:sz w:val="18"/>
                      <w:szCs w:val="18"/>
                    </w:rPr>
                  </w:pPr>
                </w:p>
                <w:p w:rsidR="00F033BE" w:rsidRDefault="00F033BE" w:rsidP="006E5973">
                  <w:pPr>
                    <w:jc w:val="center"/>
                    <w:rPr>
                      <w:rFonts w:ascii="ITC Avant Garde" w:hAnsi="ITC Avant Garde"/>
                      <w:sz w:val="18"/>
                      <w:szCs w:val="18"/>
                    </w:rPr>
                  </w:pPr>
                </w:p>
                <w:p w:rsidR="00F033BE" w:rsidRDefault="00F033BE" w:rsidP="006E5973">
                  <w:pPr>
                    <w:jc w:val="center"/>
                    <w:rPr>
                      <w:rFonts w:ascii="ITC Avant Garde" w:hAnsi="ITC Avant Garde"/>
                      <w:sz w:val="18"/>
                      <w:szCs w:val="18"/>
                    </w:rPr>
                  </w:pPr>
                </w:p>
                <w:p w:rsidR="00F033BE" w:rsidRDefault="00F033BE" w:rsidP="006E5973">
                  <w:pPr>
                    <w:jc w:val="center"/>
                    <w:rPr>
                      <w:rFonts w:ascii="ITC Avant Garde" w:hAnsi="ITC Avant Garde"/>
                      <w:sz w:val="18"/>
                      <w:szCs w:val="18"/>
                    </w:rPr>
                  </w:pPr>
                </w:p>
                <w:p w:rsidR="00F033BE" w:rsidRDefault="00F033BE" w:rsidP="006E5973">
                  <w:pPr>
                    <w:jc w:val="center"/>
                    <w:rPr>
                      <w:rFonts w:ascii="ITC Avant Garde" w:hAnsi="ITC Avant Garde"/>
                      <w:sz w:val="18"/>
                      <w:szCs w:val="18"/>
                    </w:rPr>
                  </w:pPr>
                </w:p>
                <w:p w:rsidR="00434D10" w:rsidRDefault="00F033BE" w:rsidP="006E5973">
                  <w:pPr>
                    <w:jc w:val="center"/>
                    <w:rPr>
                      <w:rFonts w:ascii="ITC Avant Garde" w:hAnsi="ITC Avant Garde"/>
                      <w:sz w:val="18"/>
                      <w:szCs w:val="18"/>
                    </w:rPr>
                  </w:pPr>
                  <w:r>
                    <w:rPr>
                      <w:rFonts w:ascii="ITC Avant Garde" w:hAnsi="ITC Avant Garde"/>
                      <w:sz w:val="18"/>
                      <w:szCs w:val="18"/>
                    </w:rPr>
                    <w:t>Concesionarios e Instituto</w:t>
                  </w:r>
                </w:p>
              </w:tc>
              <w:tc>
                <w:tcPr>
                  <w:tcW w:w="1187" w:type="dxa"/>
                  <w:tcBorders>
                    <w:left w:val="single" w:sz="4" w:space="0" w:color="auto"/>
                    <w:right w:val="single" w:sz="4" w:space="0" w:color="auto"/>
                  </w:tcBorders>
                  <w:shd w:val="clear" w:color="auto" w:fill="FFFFFF" w:themeFill="background1"/>
                </w:tcPr>
                <w:p w:rsidR="00963B0B" w:rsidRDefault="00963B0B" w:rsidP="00F033BE">
                  <w:pPr>
                    <w:jc w:val="center"/>
                    <w:rPr>
                      <w:rFonts w:ascii="ITC Avant Garde" w:hAnsi="ITC Avant Garde"/>
                      <w:sz w:val="18"/>
                      <w:szCs w:val="18"/>
                    </w:rPr>
                  </w:pPr>
                </w:p>
                <w:p w:rsidR="00963B0B" w:rsidRDefault="00963B0B" w:rsidP="00F033BE">
                  <w:pPr>
                    <w:jc w:val="center"/>
                    <w:rPr>
                      <w:rFonts w:ascii="ITC Avant Garde" w:hAnsi="ITC Avant Garde"/>
                      <w:sz w:val="18"/>
                      <w:szCs w:val="18"/>
                    </w:rPr>
                  </w:pPr>
                </w:p>
                <w:p w:rsidR="00963B0B" w:rsidRDefault="00963B0B" w:rsidP="00F033BE">
                  <w:pPr>
                    <w:jc w:val="center"/>
                    <w:rPr>
                      <w:rFonts w:ascii="ITC Avant Garde" w:hAnsi="ITC Avant Garde"/>
                      <w:sz w:val="18"/>
                      <w:szCs w:val="18"/>
                    </w:rPr>
                  </w:pPr>
                </w:p>
                <w:p w:rsidR="00963B0B" w:rsidRDefault="00963B0B" w:rsidP="00F033BE">
                  <w:pPr>
                    <w:jc w:val="center"/>
                    <w:rPr>
                      <w:rFonts w:ascii="ITC Avant Garde" w:hAnsi="ITC Avant Garde"/>
                      <w:sz w:val="18"/>
                      <w:szCs w:val="18"/>
                    </w:rPr>
                  </w:pPr>
                </w:p>
                <w:p w:rsidR="00963B0B" w:rsidRDefault="00963B0B" w:rsidP="00F033BE">
                  <w:pPr>
                    <w:jc w:val="center"/>
                    <w:rPr>
                      <w:rFonts w:ascii="ITC Avant Garde" w:hAnsi="ITC Avant Garde"/>
                      <w:sz w:val="18"/>
                      <w:szCs w:val="18"/>
                    </w:rPr>
                  </w:pPr>
                </w:p>
                <w:p w:rsidR="00963B0B" w:rsidRDefault="00963B0B" w:rsidP="00F033BE">
                  <w:pPr>
                    <w:jc w:val="center"/>
                    <w:rPr>
                      <w:rFonts w:ascii="ITC Avant Garde" w:hAnsi="ITC Avant Garde"/>
                      <w:sz w:val="18"/>
                      <w:szCs w:val="18"/>
                    </w:rPr>
                  </w:pPr>
                </w:p>
                <w:p w:rsidR="00963B0B" w:rsidRDefault="00963B0B" w:rsidP="00F033BE">
                  <w:pPr>
                    <w:jc w:val="center"/>
                    <w:rPr>
                      <w:rFonts w:ascii="ITC Avant Garde" w:hAnsi="ITC Avant Garde"/>
                      <w:sz w:val="18"/>
                      <w:szCs w:val="18"/>
                    </w:rPr>
                  </w:pPr>
                </w:p>
                <w:p w:rsidR="00434D10" w:rsidRDefault="00F033BE" w:rsidP="00F033BE">
                  <w:pPr>
                    <w:jc w:val="center"/>
                    <w:rPr>
                      <w:rFonts w:ascii="ITC Avant Garde" w:hAnsi="ITC Avant Garde"/>
                      <w:sz w:val="18"/>
                      <w:szCs w:val="18"/>
                    </w:rPr>
                  </w:pPr>
                  <w:r>
                    <w:rPr>
                      <w:rFonts w:ascii="ITC Avant Garde" w:hAnsi="ITC Avant Garde"/>
                      <w:sz w:val="18"/>
                      <w:szCs w:val="18"/>
                    </w:rPr>
                    <w:t>Vigésimo y Vigésimo Primero</w:t>
                  </w:r>
                </w:p>
              </w:tc>
              <w:tc>
                <w:tcPr>
                  <w:tcW w:w="1431" w:type="dxa"/>
                  <w:tcBorders>
                    <w:left w:val="single" w:sz="4" w:space="0" w:color="auto"/>
                    <w:right w:val="single" w:sz="4" w:space="0" w:color="auto"/>
                  </w:tcBorders>
                  <w:shd w:val="clear" w:color="auto" w:fill="FFFFFF" w:themeFill="background1"/>
                </w:tcPr>
                <w:p w:rsidR="00434D10" w:rsidRDefault="00434D10" w:rsidP="006E5973">
                  <w:pPr>
                    <w:jc w:val="center"/>
                    <w:rPr>
                      <w:rFonts w:ascii="ITC Avant Garde" w:hAnsi="ITC Avant Garde"/>
                      <w:sz w:val="18"/>
                      <w:szCs w:val="18"/>
                    </w:rPr>
                  </w:pPr>
                </w:p>
              </w:tc>
              <w:tc>
                <w:tcPr>
                  <w:tcW w:w="1267" w:type="dxa"/>
                  <w:tcBorders>
                    <w:left w:val="single" w:sz="4" w:space="0" w:color="auto"/>
                    <w:right w:val="single" w:sz="4" w:space="0" w:color="auto"/>
                  </w:tcBorders>
                  <w:shd w:val="clear" w:color="auto" w:fill="FFFFFF" w:themeFill="background1"/>
                </w:tcPr>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963B0B" w:rsidRDefault="00963B0B" w:rsidP="006E5973">
                  <w:pPr>
                    <w:jc w:val="center"/>
                    <w:rPr>
                      <w:rFonts w:ascii="ITC Avant Garde" w:hAnsi="ITC Avant Garde"/>
                      <w:sz w:val="18"/>
                      <w:szCs w:val="18"/>
                    </w:rPr>
                  </w:pPr>
                </w:p>
                <w:p w:rsidR="00434D10" w:rsidRDefault="00F033BE" w:rsidP="006E5973">
                  <w:pPr>
                    <w:jc w:val="center"/>
                    <w:rPr>
                      <w:rFonts w:ascii="ITC Avant Garde" w:hAnsi="ITC Avant Garde"/>
                      <w:sz w:val="18"/>
                      <w:szCs w:val="18"/>
                    </w:rPr>
                  </w:pPr>
                  <w:r>
                    <w:rPr>
                      <w:rFonts w:ascii="ITC Avant Garde" w:hAnsi="ITC Avant Garde"/>
                      <w:sz w:val="18"/>
                      <w:szCs w:val="18"/>
                    </w:rPr>
                    <w:t>No aplica</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434D10" w:rsidRDefault="00F033BE" w:rsidP="007A4AE1">
                  <w:pPr>
                    <w:jc w:val="both"/>
                    <w:rPr>
                      <w:rFonts w:ascii="ITC Avant Garde" w:hAnsi="ITC Avant Garde"/>
                      <w:sz w:val="18"/>
                      <w:szCs w:val="18"/>
                    </w:rPr>
                  </w:pPr>
                  <w:r>
                    <w:rPr>
                      <w:rFonts w:ascii="ITC Avant Garde" w:hAnsi="ITC Avant Garde"/>
                      <w:sz w:val="18"/>
                      <w:szCs w:val="18"/>
                    </w:rPr>
                    <w:lastRenderedPageBreak/>
                    <w:t xml:space="preserve">Es necesario el establecimiento de la Firma </w:t>
                  </w:r>
                  <w:r>
                    <w:rPr>
                      <w:rFonts w:ascii="ITC Avant Garde" w:hAnsi="ITC Avant Garde"/>
                      <w:sz w:val="18"/>
                      <w:szCs w:val="18"/>
                    </w:rPr>
                    <w:lastRenderedPageBreak/>
                    <w:t>Electrónica Avanzada como el medio a través pueda comprobarse fehacientemente la expresión de la voluntad de los concesionarios, así como el ejercicio de atribuciones por el servidor público competente, que produzca los mismos efectos que la firma autógrafa</w:t>
                  </w:r>
                  <w:r w:rsidR="007A4AE1">
                    <w:rPr>
                      <w:rFonts w:ascii="ITC Avant Garde" w:hAnsi="ITC Avant Garde"/>
                      <w:sz w:val="18"/>
                      <w:szCs w:val="18"/>
                    </w:rPr>
                    <w:t xml:space="preserve">, </w:t>
                  </w:r>
                  <w:r>
                    <w:rPr>
                      <w:rFonts w:ascii="ITC Avant Garde" w:hAnsi="ITC Avant Garde"/>
                      <w:sz w:val="18"/>
                      <w:szCs w:val="18"/>
                    </w:rPr>
                    <w:t xml:space="preserve">que garantice la integridad del documento y que goce del mismo valor probatorio. </w:t>
                  </w:r>
                </w:p>
              </w:tc>
            </w:tr>
            <w:tr w:rsidR="007A4AE1" w:rsidRPr="00DD06A0" w:rsidTr="007A4AE1">
              <w:trPr>
                <w:jc w:val="center"/>
              </w:trPr>
              <w:tc>
                <w:tcPr>
                  <w:tcW w:w="1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34D10" w:rsidRDefault="00F033BE" w:rsidP="006E5973">
                  <w:pPr>
                    <w:jc w:val="center"/>
                    <w:rPr>
                      <w:rFonts w:ascii="ITC Avant Garde" w:hAnsi="ITC Avant Garde"/>
                      <w:sz w:val="18"/>
                      <w:szCs w:val="18"/>
                    </w:rPr>
                  </w:pPr>
                  <w:r>
                    <w:rPr>
                      <w:rFonts w:ascii="ITC Avant Garde" w:hAnsi="ITC Avant Garde"/>
                      <w:sz w:val="18"/>
                      <w:szCs w:val="18"/>
                    </w:rPr>
                    <w:lastRenderedPageBreak/>
                    <w:t>Obligación</w:t>
                  </w:r>
                </w:p>
              </w:tc>
              <w:tc>
                <w:tcPr>
                  <w:tcW w:w="1472" w:type="dxa"/>
                  <w:tcBorders>
                    <w:left w:val="single" w:sz="4" w:space="0" w:color="auto"/>
                    <w:right w:val="single" w:sz="4" w:space="0" w:color="auto"/>
                  </w:tcBorders>
                  <w:shd w:val="clear" w:color="auto" w:fill="FFFFFF" w:themeFill="background1"/>
                </w:tcPr>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34D10" w:rsidRDefault="00F033BE" w:rsidP="006E5973">
                  <w:pPr>
                    <w:jc w:val="center"/>
                    <w:rPr>
                      <w:rFonts w:ascii="ITC Avant Garde" w:hAnsi="ITC Avant Garde"/>
                      <w:sz w:val="18"/>
                      <w:szCs w:val="18"/>
                    </w:rPr>
                  </w:pPr>
                  <w:r>
                    <w:rPr>
                      <w:rFonts w:ascii="ITC Avant Garde" w:hAnsi="ITC Avant Garde"/>
                      <w:sz w:val="18"/>
                      <w:szCs w:val="18"/>
                    </w:rPr>
                    <w:t>Concesionarios</w:t>
                  </w:r>
                </w:p>
              </w:tc>
              <w:tc>
                <w:tcPr>
                  <w:tcW w:w="1187" w:type="dxa"/>
                  <w:tcBorders>
                    <w:left w:val="single" w:sz="4" w:space="0" w:color="auto"/>
                    <w:right w:val="single" w:sz="4" w:space="0" w:color="auto"/>
                  </w:tcBorders>
                  <w:shd w:val="clear" w:color="auto" w:fill="FFFFFF" w:themeFill="background1"/>
                </w:tcPr>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65898" w:rsidRDefault="00465898" w:rsidP="00F033BE">
                  <w:pPr>
                    <w:jc w:val="center"/>
                    <w:rPr>
                      <w:rFonts w:ascii="ITC Avant Garde" w:hAnsi="ITC Avant Garde"/>
                      <w:sz w:val="18"/>
                      <w:szCs w:val="18"/>
                    </w:rPr>
                  </w:pPr>
                </w:p>
                <w:p w:rsidR="00434D10" w:rsidRDefault="00F033BE" w:rsidP="00F033BE">
                  <w:pPr>
                    <w:jc w:val="center"/>
                    <w:rPr>
                      <w:rFonts w:ascii="ITC Avant Garde" w:hAnsi="ITC Avant Garde"/>
                      <w:sz w:val="18"/>
                      <w:szCs w:val="18"/>
                    </w:rPr>
                  </w:pPr>
                  <w:r>
                    <w:rPr>
                      <w:rFonts w:ascii="ITC Avant Garde" w:hAnsi="ITC Avant Garde"/>
                      <w:sz w:val="18"/>
                      <w:szCs w:val="18"/>
                    </w:rPr>
                    <w:t>Trigésimo Cuarto, párrafo tercero, incisos a), b) y c)</w:t>
                  </w:r>
                </w:p>
              </w:tc>
              <w:tc>
                <w:tcPr>
                  <w:tcW w:w="1431" w:type="dxa"/>
                  <w:tcBorders>
                    <w:left w:val="single" w:sz="4" w:space="0" w:color="auto"/>
                    <w:right w:val="single" w:sz="4" w:space="0" w:color="auto"/>
                  </w:tcBorders>
                  <w:shd w:val="clear" w:color="auto" w:fill="FFFFFF" w:themeFill="background1"/>
                </w:tcPr>
                <w:p w:rsidR="00434D10" w:rsidRDefault="00434D10" w:rsidP="006E5973">
                  <w:pPr>
                    <w:jc w:val="center"/>
                    <w:rPr>
                      <w:rFonts w:ascii="ITC Avant Garde" w:hAnsi="ITC Avant Garde"/>
                      <w:sz w:val="18"/>
                      <w:szCs w:val="18"/>
                    </w:rPr>
                  </w:pPr>
                </w:p>
              </w:tc>
              <w:tc>
                <w:tcPr>
                  <w:tcW w:w="1267" w:type="dxa"/>
                  <w:tcBorders>
                    <w:left w:val="single" w:sz="4" w:space="0" w:color="auto"/>
                    <w:right w:val="single" w:sz="4" w:space="0" w:color="auto"/>
                  </w:tcBorders>
                  <w:shd w:val="clear" w:color="auto" w:fill="FFFFFF" w:themeFill="background1"/>
                </w:tcPr>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65898" w:rsidRDefault="00465898" w:rsidP="006E5973">
                  <w:pPr>
                    <w:jc w:val="center"/>
                    <w:rPr>
                      <w:rFonts w:ascii="ITC Avant Garde" w:hAnsi="ITC Avant Garde"/>
                      <w:sz w:val="18"/>
                      <w:szCs w:val="18"/>
                    </w:rPr>
                  </w:pPr>
                </w:p>
                <w:p w:rsidR="00434D10" w:rsidRDefault="00F033BE" w:rsidP="006E5973">
                  <w:pPr>
                    <w:jc w:val="center"/>
                    <w:rPr>
                      <w:rFonts w:ascii="ITC Avant Garde" w:hAnsi="ITC Avant Garde"/>
                      <w:sz w:val="18"/>
                      <w:szCs w:val="18"/>
                    </w:rPr>
                  </w:pPr>
                  <w:r>
                    <w:rPr>
                      <w:rFonts w:ascii="ITC Avant Garde" w:hAnsi="ITC Avant Garde"/>
                      <w:sz w:val="18"/>
                      <w:szCs w:val="18"/>
                    </w:rPr>
                    <w:t>No aplica</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434D10" w:rsidRDefault="00F033BE" w:rsidP="007A4AE1">
                  <w:pPr>
                    <w:jc w:val="both"/>
                    <w:rPr>
                      <w:rFonts w:ascii="ITC Avant Garde" w:hAnsi="ITC Avant Garde"/>
                      <w:sz w:val="18"/>
                      <w:szCs w:val="18"/>
                    </w:rPr>
                  </w:pPr>
                  <w:r>
                    <w:rPr>
                      <w:rFonts w:ascii="ITC Avant Garde" w:hAnsi="ITC Avant Garde"/>
                      <w:sz w:val="18"/>
                      <w:szCs w:val="18"/>
                    </w:rPr>
                    <w:t>Es necesario establecer</w:t>
                  </w:r>
                  <w:r w:rsidR="007A4AE1">
                    <w:rPr>
                      <w:rFonts w:ascii="ITC Avant Garde" w:hAnsi="ITC Avant Garde"/>
                      <w:sz w:val="18"/>
                      <w:szCs w:val="18"/>
                    </w:rPr>
                    <w:t xml:space="preserve"> disposiciones que garanticen que aquellos concesionarios que optaron por sustanciar la Solicitud de resolución de desacuerdo de interconexión, a través de la Ventanilla Electrónica, realicen o presenten las actuaciones correspondientes siempre que hayan verificado el correcto y completo registro de la información, la funcionalidad, integridad, legibilidad y formatos, así como que se encuentren libres de softwares maliciosos, que </w:t>
                  </w:r>
                  <w:r w:rsidR="007A4AE1">
                    <w:rPr>
                      <w:rFonts w:ascii="ITC Avant Garde" w:hAnsi="ITC Avant Garde"/>
                      <w:sz w:val="18"/>
                      <w:szCs w:val="18"/>
                    </w:rPr>
                    <w:lastRenderedPageBreak/>
                    <w:t>puedan comprometer la seguridad de la información.</w:t>
                  </w:r>
                </w:p>
              </w:tc>
            </w:tr>
          </w:tbl>
          <w:p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lastRenderedPageBreak/>
              <w:t xml:space="preserve"> </w:t>
            </w:r>
          </w:p>
        </w:tc>
      </w:tr>
    </w:tbl>
    <w:p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rsidTr="00AD4689">
        <w:trPr>
          <w:trHeight w:val="1793"/>
        </w:trPr>
        <w:tc>
          <w:tcPr>
            <w:tcW w:w="8828" w:type="dxa"/>
          </w:tcPr>
          <w:p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rsidTr="00023BBB">
              <w:trPr>
                <w:jc w:val="center"/>
              </w:trPr>
              <w:tc>
                <w:tcPr>
                  <w:tcW w:w="2150" w:type="dxa"/>
                  <w:tcBorders>
                    <w:bottom w:val="single" w:sz="4" w:space="0" w:color="auto"/>
                  </w:tcBorders>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rsidTr="00CA23D6">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DD06A0" w:rsidRDefault="00383500"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rsidR="005335CF" w:rsidRPr="007F0E3F" w:rsidRDefault="00CA23D6" w:rsidP="00CA23D6">
                  <w:pPr>
                    <w:jc w:val="both"/>
                    <w:rPr>
                      <w:rFonts w:ascii="ITC Avant Garde" w:hAnsi="ITC Avant Garde"/>
                      <w:sz w:val="18"/>
                      <w:szCs w:val="18"/>
                      <w:highlight w:val="yellow"/>
                    </w:rPr>
                  </w:pPr>
                  <w:r w:rsidRPr="00CA23D6">
                    <w:rPr>
                      <w:rFonts w:ascii="ITC Avant Garde" w:hAnsi="ITC Avant Garde"/>
                      <w:sz w:val="18"/>
                      <w:szCs w:val="18"/>
                    </w:rPr>
                    <w:t>En caso que los concesionarios de red pública de telecomunicaciones no lleguen a un acuerdo respecto de las condiciones términos y tarifas en materia de interconexión, el Instituto resolverá el desacuerdo.</w:t>
                  </w:r>
                </w:p>
              </w:tc>
            </w:tr>
          </w:tbl>
          <w:p w:rsidR="002025CB" w:rsidRPr="00DD06A0" w:rsidRDefault="002025CB" w:rsidP="00225DA6">
            <w:pPr>
              <w:jc w:val="both"/>
              <w:rPr>
                <w:rFonts w:ascii="ITC Avant Garde" w:hAnsi="ITC Avant Garde"/>
                <w:sz w:val="18"/>
                <w:szCs w:val="18"/>
                <w:highlight w:val="yellow"/>
              </w:rPr>
            </w:pPr>
          </w:p>
        </w:tc>
      </w:tr>
    </w:tbl>
    <w:p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rsidTr="00A35A74">
        <w:tc>
          <w:tcPr>
            <w:tcW w:w="8828" w:type="dxa"/>
          </w:tcPr>
          <w:p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rsidR="00A35A74" w:rsidRDefault="00A35A74" w:rsidP="00E21B49">
            <w:pPr>
              <w:jc w:val="both"/>
              <w:rPr>
                <w:rFonts w:ascii="ITC Avant Garde" w:hAnsi="ITC Avant Garde"/>
                <w:sz w:val="18"/>
                <w:szCs w:val="18"/>
              </w:rPr>
            </w:pPr>
          </w:p>
          <w:p w:rsidR="004217AB" w:rsidRDefault="004217AB" w:rsidP="004217AB">
            <w:pPr>
              <w:shd w:val="clear" w:color="auto" w:fill="FFFFFF" w:themeFill="background1"/>
              <w:jc w:val="both"/>
              <w:rPr>
                <w:rFonts w:ascii="ITC Avant Garde" w:hAnsi="ITC Avant Garde"/>
                <w:sz w:val="18"/>
                <w:szCs w:val="18"/>
              </w:rPr>
            </w:pPr>
            <w:r w:rsidRPr="004217AB">
              <w:rPr>
                <w:rFonts w:ascii="ITC Avant Garde" w:hAnsi="ITC Avant Garde"/>
                <w:sz w:val="18"/>
                <w:szCs w:val="18"/>
              </w:rPr>
              <w:t xml:space="preserve">La interconexión es un elemento esencial para que los usuarios de una red se puedan comunicar con los usuarios de otra red, es por ello que sus tarifas, términos y condiciones son de orden público e interés social por lo que debe proporcionarse bajo condiciones no discriminatorias, condiciones técnicas adecuadas y con plazos definidos privilegiando las comunicaciones y los derechos de los usuarios. </w:t>
            </w:r>
          </w:p>
          <w:p w:rsidR="004217AB" w:rsidRPr="004217AB" w:rsidRDefault="004217AB" w:rsidP="004217AB">
            <w:pPr>
              <w:shd w:val="clear" w:color="auto" w:fill="FFFFFF" w:themeFill="background1"/>
              <w:jc w:val="both"/>
              <w:rPr>
                <w:rFonts w:ascii="ITC Avant Garde" w:hAnsi="ITC Avant Garde"/>
                <w:sz w:val="18"/>
                <w:szCs w:val="18"/>
              </w:rPr>
            </w:pPr>
          </w:p>
          <w:p w:rsidR="004217AB" w:rsidRDefault="004217AB" w:rsidP="004217AB">
            <w:pPr>
              <w:shd w:val="clear" w:color="auto" w:fill="FFFFFF" w:themeFill="background1"/>
              <w:jc w:val="both"/>
              <w:rPr>
                <w:rFonts w:ascii="ITC Avant Garde" w:hAnsi="ITC Avant Garde"/>
                <w:sz w:val="18"/>
                <w:szCs w:val="18"/>
              </w:rPr>
            </w:pPr>
            <w:r w:rsidRPr="004217AB">
              <w:rPr>
                <w:rFonts w:ascii="ITC Avant Garde" w:hAnsi="ITC Avant Garde"/>
                <w:sz w:val="18"/>
                <w:szCs w:val="18"/>
              </w:rPr>
              <w:t xml:space="preserve">La interconexión ha sido una de las principales barreras a la entrada en el sector que han impuesto los operadores más grandes, ya sea encareciendo el servicio, retardando su provisión, limitando la capacidad para cursar tráfico de sus competidores o bien, proveyendo una mala o deficiente calidad. Su precio es uno de los principales elementos de costos en los que incurren los operadores, particularmente, los más pequeños para la prestación de sus servicios finales al público, por lo tanto, ha existido un incentivo por parte del operador más grande para establecer una tarifa alta por el servicio de interconexión y con ello, limitar la entrada de nuevos competidores y la capacidad de elección de los usuarios, circunstancia que provoca que los operadores más grandes se concentren en cuidar y fomentar sus ingresos por la prestación del servicio de interconexión, en lugar de canalizar sus esfuerzos en la competencia por los usuarios finales. </w:t>
            </w:r>
          </w:p>
          <w:p w:rsidR="004217AB" w:rsidRPr="004217AB" w:rsidRDefault="004217AB" w:rsidP="004217AB">
            <w:pPr>
              <w:shd w:val="clear" w:color="auto" w:fill="FFFFFF" w:themeFill="background1"/>
              <w:jc w:val="both"/>
              <w:rPr>
                <w:rFonts w:ascii="ITC Avant Garde" w:hAnsi="ITC Avant Garde"/>
                <w:sz w:val="18"/>
                <w:szCs w:val="18"/>
              </w:rPr>
            </w:pPr>
          </w:p>
          <w:p w:rsidR="004217AB" w:rsidRDefault="004217AB" w:rsidP="004217AB">
            <w:pPr>
              <w:shd w:val="clear" w:color="auto" w:fill="FFFFFF" w:themeFill="background1"/>
              <w:jc w:val="both"/>
              <w:rPr>
                <w:rFonts w:ascii="ITC Avant Garde" w:hAnsi="ITC Avant Garde"/>
                <w:sz w:val="18"/>
                <w:szCs w:val="18"/>
              </w:rPr>
            </w:pPr>
            <w:r w:rsidRPr="004217AB">
              <w:rPr>
                <w:rFonts w:ascii="ITC Avant Garde" w:hAnsi="ITC Avant Garde"/>
                <w:sz w:val="18"/>
                <w:szCs w:val="18"/>
              </w:rPr>
              <w:t>Los precios de interconexión elevados, implican mayores precios para los usuarios y un obstáculo para que éstos puedan disminuirse como resultado de la dinámica de competencia, así como también implican barreras de entrada a sus competidores, por lo que, ahí radica la importancia para definir una política regulatoria efectiva en la materia.</w:t>
            </w:r>
          </w:p>
          <w:p w:rsidR="004217AB" w:rsidRPr="004217AB" w:rsidRDefault="004217AB" w:rsidP="004217AB">
            <w:pPr>
              <w:shd w:val="clear" w:color="auto" w:fill="FFFFFF" w:themeFill="background1"/>
              <w:jc w:val="both"/>
              <w:rPr>
                <w:rFonts w:ascii="ITC Avant Garde" w:hAnsi="ITC Avant Garde"/>
                <w:sz w:val="18"/>
                <w:szCs w:val="18"/>
              </w:rPr>
            </w:pPr>
          </w:p>
          <w:p w:rsidR="004217AB" w:rsidRDefault="004217AB" w:rsidP="004217AB">
            <w:pPr>
              <w:shd w:val="clear" w:color="auto" w:fill="FFFFFF" w:themeFill="background1"/>
              <w:jc w:val="both"/>
              <w:rPr>
                <w:rFonts w:ascii="ITC Avant Garde" w:hAnsi="ITC Avant Garde"/>
                <w:sz w:val="18"/>
                <w:szCs w:val="18"/>
              </w:rPr>
            </w:pPr>
            <w:r w:rsidRPr="004217AB">
              <w:rPr>
                <w:rFonts w:ascii="ITC Avant Garde" w:hAnsi="ITC Avant Garde"/>
                <w:sz w:val="18"/>
                <w:szCs w:val="18"/>
              </w:rPr>
              <w:t xml:space="preserve">Es así que, la interconexión de las redes y el establecimiento de condiciones no discriminatorias, constituye un elemento clave en el desarrollo de la competencia efectiva del sector. </w:t>
            </w:r>
          </w:p>
          <w:p w:rsidR="004217AB" w:rsidRPr="004217AB" w:rsidRDefault="004217AB" w:rsidP="004217AB">
            <w:pPr>
              <w:shd w:val="clear" w:color="auto" w:fill="FFFFFF" w:themeFill="background1"/>
              <w:jc w:val="both"/>
              <w:rPr>
                <w:rFonts w:ascii="ITC Avant Garde" w:hAnsi="ITC Avant Garde"/>
                <w:sz w:val="18"/>
                <w:szCs w:val="18"/>
              </w:rPr>
            </w:pPr>
          </w:p>
          <w:p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 xml:space="preserve">La legislación en la materia, establece como atribución exclusiva de este Instituto, resolver y establecer los términos, condiciones y tarifas de interconexión que no hayan podido convenir los concesionarios respecto de sus redes públicas de telecomunicaciones conforme a lo previsto en la Ley Federal de Telecomunicaciones y Radiodifusión. </w:t>
            </w:r>
          </w:p>
          <w:p w:rsidR="004217AB" w:rsidRPr="004217AB" w:rsidRDefault="004217AB" w:rsidP="004217AB">
            <w:pPr>
              <w:jc w:val="both"/>
              <w:rPr>
                <w:rFonts w:ascii="ITC Avant Garde" w:hAnsi="ITC Avant Garde"/>
                <w:sz w:val="18"/>
                <w:szCs w:val="18"/>
              </w:rPr>
            </w:pPr>
          </w:p>
          <w:p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 xml:space="preserve">Asimismo, con el objeto de otorgar certeza jurídica a los concesionarios que deseen interconectar sus redes, la LFTR establece un procedimiento que regula con claridad los plazos y supuestos en los </w:t>
            </w:r>
            <w:r w:rsidRPr="004217AB">
              <w:rPr>
                <w:rFonts w:ascii="ITC Avant Garde" w:hAnsi="ITC Avant Garde"/>
                <w:sz w:val="18"/>
                <w:szCs w:val="18"/>
              </w:rPr>
              <w:lastRenderedPageBreak/>
              <w:t>que se deben tramitar los desacuerdos entre concesionarios que no lleguen a convenir los términos, condiciones y tarifas en materia de interconexión.</w:t>
            </w:r>
          </w:p>
          <w:p w:rsidR="004217AB" w:rsidRPr="004217AB" w:rsidRDefault="004217AB" w:rsidP="004217AB">
            <w:pPr>
              <w:jc w:val="both"/>
              <w:rPr>
                <w:rFonts w:ascii="ITC Avant Garde" w:hAnsi="ITC Avant Garde"/>
                <w:sz w:val="18"/>
                <w:szCs w:val="18"/>
              </w:rPr>
            </w:pPr>
          </w:p>
          <w:p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 xml:space="preserve">Como se ha señalado, la interconexión es uno de los principales elementos que permiten que las telecomunicaciones puedan ser eficientes, interoperables y otorguen mayores beneficios a los usuarios para que estén mejor comunicados, por lo que, se estableció, para aquellos casos en los que los concesionarios no logren alcanzar acuerdos, ya sea parcial o totalmente, la facultad para que el Instituto pueda intervenir y un procedimiento específico para resolverlos. </w:t>
            </w:r>
          </w:p>
          <w:p w:rsidR="004217AB" w:rsidRPr="004217AB" w:rsidRDefault="004217AB" w:rsidP="004217AB">
            <w:pPr>
              <w:jc w:val="both"/>
              <w:rPr>
                <w:rFonts w:ascii="ITC Avant Garde" w:hAnsi="ITC Avant Garde"/>
                <w:sz w:val="18"/>
                <w:szCs w:val="18"/>
              </w:rPr>
            </w:pPr>
          </w:p>
          <w:p w:rsidR="004217AB" w:rsidRPr="004217AB" w:rsidRDefault="004217AB" w:rsidP="004217AB">
            <w:pPr>
              <w:shd w:val="clear" w:color="auto" w:fill="FFFFFF" w:themeFill="background1"/>
              <w:jc w:val="both"/>
              <w:rPr>
                <w:rFonts w:ascii="ITC Avant Garde" w:hAnsi="ITC Avant Garde"/>
                <w:sz w:val="18"/>
                <w:szCs w:val="18"/>
                <w:u w:val="single"/>
              </w:rPr>
            </w:pPr>
            <w:r w:rsidRPr="004217AB">
              <w:rPr>
                <w:rFonts w:ascii="ITC Avant Garde" w:hAnsi="ITC Avant Garde"/>
                <w:sz w:val="18"/>
                <w:szCs w:val="18"/>
              </w:rPr>
              <w:t xml:space="preserve">La idea principal, es que los concesionarios logren alcanzar acuerdos de interconexión, por ello, la LFTR establece un periodo de negociación en el cual, los concesionarios interesados en interconectarse, definan los aspectos para la prestación de los servicios, privilegiando con ello la voluntad de las partes en las tarifas, términos y condiciones que acuerden, durante dicho periodo de negociación, este Instituto toma conocimiento del inicio de negociaciones, computa el plazo y </w:t>
            </w:r>
            <w:r w:rsidRPr="004217AB">
              <w:rPr>
                <w:rFonts w:ascii="ITC Avant Garde" w:hAnsi="ITC Avant Garde"/>
                <w:sz w:val="18"/>
                <w:szCs w:val="18"/>
                <w:u w:val="single"/>
              </w:rPr>
              <w:t>asume una posición de vigilancia.</w:t>
            </w:r>
          </w:p>
          <w:p w:rsidR="004217AB" w:rsidRPr="004217AB" w:rsidRDefault="004217AB" w:rsidP="004217AB">
            <w:pPr>
              <w:shd w:val="clear" w:color="auto" w:fill="FFFFFF" w:themeFill="background1"/>
              <w:jc w:val="both"/>
              <w:rPr>
                <w:rFonts w:ascii="ITC Avant Garde" w:hAnsi="ITC Avant Garde"/>
                <w:sz w:val="18"/>
                <w:szCs w:val="18"/>
              </w:rPr>
            </w:pPr>
          </w:p>
          <w:p w:rsidR="004217AB" w:rsidRPr="004217AB" w:rsidRDefault="00F15151" w:rsidP="004217AB">
            <w:pPr>
              <w:shd w:val="clear" w:color="auto" w:fill="FFFFFF" w:themeFill="background1"/>
              <w:jc w:val="both"/>
              <w:rPr>
                <w:rFonts w:ascii="ITC Avant Garde" w:hAnsi="ITC Avant Garde"/>
                <w:sz w:val="18"/>
                <w:szCs w:val="18"/>
              </w:rPr>
            </w:pPr>
            <w:r>
              <w:rPr>
                <w:rFonts w:ascii="ITC Avant Garde" w:hAnsi="ITC Avant Garde"/>
                <w:sz w:val="18"/>
                <w:szCs w:val="18"/>
              </w:rPr>
              <w:t>L</w:t>
            </w:r>
            <w:r w:rsidR="004217AB" w:rsidRPr="004217AB">
              <w:rPr>
                <w:rFonts w:ascii="ITC Avant Garde" w:hAnsi="ITC Avant Garde"/>
                <w:sz w:val="18"/>
                <w:szCs w:val="18"/>
              </w:rPr>
              <w:t xml:space="preserve">a resolución de desacuerdos en materia de interconexión constituye una herramienta bajo la cual se eliminan las barreras a la entrada impuestas por los operadores más grandes, de tal forma que los operadores se encuentran en igualdad de condiciones para acceder a la interconexión y que la misma se realice de forma eficiente en plazos ciertos, privilegiando con ello el acceso de los usuarios a los servicios. </w:t>
            </w:r>
          </w:p>
          <w:p w:rsidR="004217AB" w:rsidRPr="004217AB" w:rsidRDefault="004217AB" w:rsidP="004217AB">
            <w:pPr>
              <w:shd w:val="clear" w:color="auto" w:fill="FFFFFF" w:themeFill="background1"/>
              <w:jc w:val="both"/>
              <w:rPr>
                <w:rFonts w:ascii="ITC Avant Garde" w:hAnsi="ITC Avant Garde"/>
                <w:sz w:val="18"/>
                <w:szCs w:val="18"/>
              </w:rPr>
            </w:pPr>
          </w:p>
          <w:p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Es así que las tarifas, términos y condiciones que el Instituto determina no atienden los intereses de los concesionarios involucrados, sino que se sujetan al marco legal conforme al cual la prestación de los servicios debe realizarse de forma eficiente, sin necesidad de incurrir en gastos o inversiones injustificadas, salvaguardando el interés de los usuarios, el interés de las redes de telecomunicaciones de acceder en igualdad de condiciones y de forma no discriminatoria, y salvaguardando el interés público de la misma privilegiando el interés de los usuarios.</w:t>
            </w:r>
          </w:p>
          <w:p w:rsidR="004217AB" w:rsidRPr="004217AB" w:rsidRDefault="004217AB" w:rsidP="004217AB">
            <w:pPr>
              <w:jc w:val="both"/>
              <w:rPr>
                <w:rFonts w:ascii="ITC Avant Garde" w:hAnsi="ITC Avant Garde"/>
                <w:sz w:val="18"/>
                <w:szCs w:val="18"/>
              </w:rPr>
            </w:pPr>
          </w:p>
          <w:p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La resolución de desacuerdos de interconexión coadyuva a un mercado en competencia al establecer las condiciones de interconexión que evitan asimetrías en la prestación de los servicios, eliminan barreras de acceso a las redes y se garantiza el desarrollo eficiente del mercado,  abarcando todas las cuestiones relacionadas a la interconexión, entre ellas y de las más importantes son las tarifas de interconexión, cuyo monto se traduce en beneficio o perjuicio para los usuarios pues los servicios de telecomunicaciones, son considerados como básicos para el desarrollo del país y, además, coadyuvan a mejorar las condiciones de vida.</w:t>
            </w:r>
          </w:p>
          <w:p w:rsidR="004217AB" w:rsidRPr="004217AB" w:rsidRDefault="004217AB" w:rsidP="004217AB">
            <w:pPr>
              <w:jc w:val="both"/>
              <w:rPr>
                <w:rFonts w:ascii="ITC Avant Garde" w:hAnsi="ITC Avant Garde"/>
                <w:sz w:val="18"/>
                <w:szCs w:val="18"/>
              </w:rPr>
            </w:pPr>
          </w:p>
          <w:p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 xml:space="preserve">Lo anterior permite a los operadores ofrecer los servicios a los usuarios finales a un precio adecuado, beneficiando a los usuarios al obtener un precio competitivo por el servicio contratado. </w:t>
            </w:r>
          </w:p>
          <w:p w:rsidR="004217AB" w:rsidRPr="004217AB" w:rsidRDefault="004217AB" w:rsidP="004217AB">
            <w:pPr>
              <w:jc w:val="both"/>
              <w:rPr>
                <w:rFonts w:ascii="ITC Avant Garde" w:hAnsi="ITC Avant Garde"/>
                <w:sz w:val="18"/>
                <w:szCs w:val="18"/>
              </w:rPr>
            </w:pPr>
          </w:p>
          <w:p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En el mismo sentido, al realizar la interconexión de redes públicas de telecomunicaciones de forma eficiente el concesionario puede ofrecer más y mejores servicios a sus usuarios finales, al estar en mejores condiciones técnicas y económicas para ampliar su oferta comercial.</w:t>
            </w:r>
          </w:p>
          <w:p w:rsidR="004217AB" w:rsidRPr="004217AB" w:rsidRDefault="004217AB" w:rsidP="004217AB">
            <w:pPr>
              <w:jc w:val="both"/>
              <w:rPr>
                <w:rFonts w:ascii="ITC Avant Garde" w:hAnsi="ITC Avant Garde"/>
                <w:sz w:val="18"/>
                <w:szCs w:val="18"/>
              </w:rPr>
            </w:pPr>
          </w:p>
          <w:p w:rsidR="004217AB" w:rsidRPr="004217AB" w:rsidRDefault="004217AB" w:rsidP="004217AB">
            <w:pPr>
              <w:numPr>
                <w:ilvl w:val="0"/>
                <w:numId w:val="23"/>
              </w:numPr>
              <w:jc w:val="both"/>
              <w:rPr>
                <w:rFonts w:ascii="ITC Avant Garde" w:eastAsia="Calibri" w:hAnsi="ITC Avant Garde" w:cs="Times New Roman"/>
                <w:b/>
                <w:sz w:val="18"/>
                <w:szCs w:val="18"/>
              </w:rPr>
            </w:pPr>
            <w:r w:rsidRPr="004217AB">
              <w:rPr>
                <w:rFonts w:ascii="ITC Avant Garde" w:eastAsia="Calibri" w:hAnsi="ITC Avant Garde" w:cs="Times New Roman"/>
                <w:b/>
                <w:sz w:val="18"/>
                <w:szCs w:val="18"/>
              </w:rPr>
              <w:t>Beneficios de tarifas de Interconexión competitivas.</w:t>
            </w:r>
          </w:p>
          <w:p w:rsidR="004217AB" w:rsidRPr="004217AB" w:rsidRDefault="004217AB" w:rsidP="004217AB">
            <w:pPr>
              <w:contextualSpacing/>
              <w:jc w:val="both"/>
              <w:rPr>
                <w:rFonts w:ascii="ITC Avant Garde" w:eastAsia="Calibri" w:hAnsi="ITC Avant Garde" w:cs="Times New Roman"/>
                <w:sz w:val="18"/>
                <w:szCs w:val="18"/>
              </w:rPr>
            </w:pPr>
          </w:p>
          <w:p w:rsidR="004217AB" w:rsidRPr="004217AB" w:rsidRDefault="004217AB" w:rsidP="004217AB">
            <w:pPr>
              <w:tabs>
                <w:tab w:val="left" w:pos="1697"/>
              </w:tabs>
              <w:spacing w:line="276" w:lineRule="auto"/>
              <w:jc w:val="both"/>
              <w:rPr>
                <w:rFonts w:ascii="ITC Avant Garde" w:eastAsia="Calibri" w:hAnsi="ITC Avant Garde" w:cs="Times New Roman"/>
                <w:bCs/>
                <w:sz w:val="18"/>
                <w:szCs w:val="18"/>
                <w:lang w:eastAsia="es-MX"/>
              </w:rPr>
            </w:pPr>
            <w:r w:rsidRPr="004217AB">
              <w:rPr>
                <w:rFonts w:ascii="ITC Avant Garde" w:hAnsi="ITC Avant Garde"/>
                <w:sz w:val="18"/>
                <w:szCs w:val="18"/>
              </w:rPr>
              <w:t xml:space="preserve">En este escenario, tanto la teoría económica como las mejores prácticas internacionales en materia de telecomunicaciones señalan que la competencia es el instrumento más efectivo para elevar la eficiencia de los operadores y equilibrar los mercados, ya que cuando hay competencia </w:t>
            </w:r>
            <w:r w:rsidRPr="004217AB">
              <w:rPr>
                <w:rFonts w:ascii="ITC Avant Garde" w:hAnsi="ITC Avant Garde"/>
                <w:sz w:val="18"/>
                <w:szCs w:val="18"/>
              </w:rPr>
              <w:lastRenderedPageBreak/>
              <w:t>los mercados son abiertos y funcionan sin obstáculos, por lo que la teoría predice que se obtendrán precios eficientes que aumentan al máximo el bienestar social</w:t>
            </w:r>
            <w:r w:rsidRPr="004217AB">
              <w:rPr>
                <w:rFonts w:ascii="ITC Avant Garde" w:eastAsia="Calibri" w:hAnsi="ITC Avant Garde" w:cs="Times New Roman"/>
                <w:bCs/>
                <w:sz w:val="18"/>
                <w:szCs w:val="18"/>
                <w:lang w:eastAsia="es-MX"/>
              </w:rPr>
              <w:t>.</w:t>
            </w:r>
            <w:r w:rsidRPr="004217AB">
              <w:rPr>
                <w:rFonts w:ascii="ITC Avant Garde" w:eastAsia="Calibri" w:hAnsi="ITC Avant Garde" w:cs="Times New Roman"/>
                <w:bCs/>
                <w:sz w:val="18"/>
                <w:szCs w:val="18"/>
                <w:vertAlign w:val="superscript"/>
                <w:lang w:eastAsia="es-MX"/>
              </w:rPr>
              <w:footnoteReference w:id="6"/>
            </w:r>
          </w:p>
          <w:p w:rsidR="004217AB" w:rsidRPr="004217AB" w:rsidRDefault="004217AB" w:rsidP="004217AB">
            <w:pPr>
              <w:tabs>
                <w:tab w:val="left" w:pos="1697"/>
              </w:tabs>
              <w:spacing w:line="276" w:lineRule="auto"/>
              <w:jc w:val="both"/>
              <w:rPr>
                <w:rFonts w:ascii="ITC Avant Garde" w:eastAsia="Calibri" w:hAnsi="ITC Avant Garde" w:cs="Times New Roman"/>
                <w:bCs/>
                <w:sz w:val="18"/>
                <w:szCs w:val="18"/>
                <w:lang w:eastAsia="es-MX"/>
              </w:rPr>
            </w:pPr>
          </w:p>
          <w:p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En relación con lo anterior, la regulación que gestiona tarifas tendientes a los costos de provisión del servicio, tarifas de interconexión competitivas, es una política pública que genera las señales correctas para la entrada de nuevos competidores al mercado, y para que los existentes pueden competir en igualdad de circunstancias. La cual, a su vez, se refleja en una gama de servicios de telecomunicaciones más extensa, que contarán con una calidad superior y se ofrecerán al público usuario a un menor precio. Con ello, desde la lógica de la teoría económica, particularmente de las economías de escala, al disminuir los precios e incrementar la calidad de los servicios finales aumenta la demanda, o penetración social de los servicios de telecomunicaciones, abonando así, en el objetivo de la cobertura universal. Por su parte, los operadores tendrán el estímulo para realizar mayores inversiones en la expansión de su red, en innovación o, en tecnologías de nueva generación, con el objetivo de satisfacer dicha demanda.</w:t>
            </w:r>
          </w:p>
          <w:p w:rsidR="004217AB" w:rsidRPr="004217AB" w:rsidRDefault="004217AB" w:rsidP="004217AB">
            <w:pPr>
              <w:jc w:val="both"/>
              <w:rPr>
                <w:rFonts w:ascii="ITC Avant Garde" w:hAnsi="ITC Avant Garde"/>
                <w:sz w:val="18"/>
                <w:szCs w:val="18"/>
              </w:rPr>
            </w:pPr>
          </w:p>
          <w:p w:rsidR="004217AB" w:rsidRDefault="004217AB" w:rsidP="004217AB">
            <w:pPr>
              <w:jc w:val="both"/>
              <w:rPr>
                <w:rFonts w:ascii="ITC Avant Garde" w:hAnsi="ITC Avant Garde"/>
                <w:sz w:val="18"/>
                <w:szCs w:val="18"/>
              </w:rPr>
            </w:pPr>
            <w:r w:rsidRPr="004217AB">
              <w:rPr>
                <w:rFonts w:ascii="ITC Avant Garde" w:hAnsi="ITC Avant Garde"/>
                <w:sz w:val="18"/>
                <w:szCs w:val="18"/>
              </w:rPr>
              <w:t>Esto es así, porque un mercado competitivo incentiva a las empresas para que utilicen sus recursos de manera productiva, reduciendo sus costos de producción y elevando su eficiencia a efecto de aventajar a sus competidores, de tal forma que cuando este ahorro se traslada al precio final se obtiene un incremento del tráfico de los servicios que a su vez detona la inversión; creando así, un circuito virtuoso que permite aprovechar al máximo las economías de escala distintivas del sector, que son fundamentales para explotar el potencial económico de las empresas que participan en el mercado.</w:t>
            </w:r>
          </w:p>
          <w:p w:rsidR="004217AB" w:rsidRPr="004217AB" w:rsidRDefault="004217AB" w:rsidP="004217AB">
            <w:pPr>
              <w:jc w:val="both"/>
              <w:rPr>
                <w:rFonts w:ascii="ITC Avant Garde" w:hAnsi="ITC Avant Garde"/>
                <w:sz w:val="18"/>
                <w:szCs w:val="18"/>
              </w:rPr>
            </w:pPr>
          </w:p>
          <w:p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En México, a partir de la entrada en vigor de la reforma en telecomunicaciones (2014) la política regulatoria en materia de interconexión instrumentada por el Instituto se ha visto reflejada en una tendencia decreciente de los precios de los servicios de telecomunicaciones en contraste con los precios de resto de la economía nacional, como se muestra en el siguiente gráfico:</w:t>
            </w:r>
          </w:p>
          <w:p w:rsidR="004217AB" w:rsidRPr="004217AB" w:rsidRDefault="004217AB" w:rsidP="004217AB">
            <w:pPr>
              <w:jc w:val="both"/>
              <w:rPr>
                <w:rFonts w:ascii="ITC Avant Garde" w:hAnsi="ITC Avant Garde"/>
                <w:sz w:val="18"/>
                <w:szCs w:val="18"/>
              </w:rPr>
            </w:pPr>
          </w:p>
          <w:p w:rsidR="004217AB" w:rsidRPr="004217AB" w:rsidRDefault="004217AB" w:rsidP="008D7837">
            <w:pPr>
              <w:jc w:val="center"/>
              <w:rPr>
                <w:rFonts w:ascii="ITC Avant Garde" w:hAnsi="ITC Avant Garde"/>
                <w:sz w:val="18"/>
                <w:szCs w:val="18"/>
              </w:rPr>
            </w:pPr>
            <w:r>
              <w:rPr>
                <w:noProof/>
                <w:lang w:eastAsia="es-MX"/>
              </w:rPr>
              <w:lastRenderedPageBreak/>
              <w:drawing>
                <wp:inline distT="0" distB="0" distL="0" distR="0" wp14:anchorId="05BC3F3F" wp14:editId="1AA9EEAD">
                  <wp:extent cx="4919345" cy="3004737"/>
                  <wp:effectExtent l="0" t="0" r="14605"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217AB" w:rsidRDefault="004217AB" w:rsidP="008D7837">
            <w:pPr>
              <w:jc w:val="center"/>
              <w:rPr>
                <w:rFonts w:ascii="ITC Avant Garde" w:hAnsi="ITC Avant Garde"/>
                <w:b/>
                <w:sz w:val="16"/>
                <w:szCs w:val="16"/>
              </w:rPr>
            </w:pPr>
            <w:r w:rsidRPr="009F0AA0">
              <w:rPr>
                <w:rFonts w:ascii="ITC Avant Garde" w:hAnsi="ITC Avant Garde"/>
                <w:b/>
                <w:sz w:val="16"/>
                <w:szCs w:val="16"/>
              </w:rPr>
              <w:t>Fuente: Elaboración propia con base en datos del BIT del IFT.</w:t>
            </w:r>
          </w:p>
          <w:p w:rsidR="004217AB" w:rsidRPr="004217AB" w:rsidRDefault="004217AB" w:rsidP="008D7837">
            <w:pPr>
              <w:jc w:val="center"/>
              <w:rPr>
                <w:rFonts w:ascii="ITC Avant Garde" w:hAnsi="ITC Avant Garde"/>
                <w:sz w:val="18"/>
                <w:szCs w:val="18"/>
              </w:rPr>
            </w:pPr>
          </w:p>
          <w:p w:rsidR="004217AB" w:rsidRPr="004217AB" w:rsidRDefault="004217AB" w:rsidP="00E21B49">
            <w:pPr>
              <w:jc w:val="both"/>
              <w:rPr>
                <w:rFonts w:ascii="ITC Avant Garde" w:hAnsi="ITC Avant Garde"/>
                <w:sz w:val="18"/>
                <w:szCs w:val="18"/>
              </w:rPr>
            </w:pPr>
            <w:r w:rsidRPr="004217AB">
              <w:rPr>
                <w:rFonts w:ascii="ITC Avant Garde" w:hAnsi="ITC Avant Garde"/>
                <w:sz w:val="18"/>
                <w:szCs w:val="18"/>
              </w:rPr>
              <w:t>Como ejemplo, en el caso de los servicios móviles se ha observado una tendencia a la baja de las tarifas de interconexión, es decir la tarifa promedio como costo de producción de la industria, en general, ha disminuido. Lo cual, ha ayudado al impacto a la baja en los precios de los servicios finales de telecomunicaciones, como se observa en el siguiente gráfico:</w:t>
            </w:r>
          </w:p>
          <w:p w:rsidR="004217AB" w:rsidRDefault="004217AB" w:rsidP="00E21B49">
            <w:pPr>
              <w:jc w:val="both"/>
              <w:rPr>
                <w:rFonts w:ascii="ITC Avant Garde" w:hAnsi="ITC Avant Garde"/>
                <w:sz w:val="18"/>
                <w:szCs w:val="18"/>
              </w:rPr>
            </w:pPr>
          </w:p>
          <w:p w:rsidR="004217AB" w:rsidRDefault="008D7837" w:rsidP="008D7837">
            <w:pPr>
              <w:jc w:val="center"/>
              <w:rPr>
                <w:rFonts w:ascii="ITC Avant Garde" w:hAnsi="ITC Avant Garde"/>
                <w:sz w:val="18"/>
                <w:szCs w:val="18"/>
              </w:rPr>
            </w:pPr>
            <w:r>
              <w:rPr>
                <w:noProof/>
                <w:lang w:eastAsia="es-MX"/>
              </w:rPr>
              <w:drawing>
                <wp:inline distT="0" distB="0" distL="0" distR="0" wp14:anchorId="060CDC6C" wp14:editId="64E6B565">
                  <wp:extent cx="4619791" cy="2679589"/>
                  <wp:effectExtent l="0" t="0" r="9525" b="698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D7837" w:rsidRDefault="008D7837" w:rsidP="002C0A15">
            <w:pPr>
              <w:jc w:val="center"/>
              <w:rPr>
                <w:rFonts w:ascii="ITC Avant Garde" w:hAnsi="ITC Avant Garde"/>
                <w:b/>
                <w:sz w:val="16"/>
                <w:szCs w:val="16"/>
              </w:rPr>
            </w:pPr>
            <w:r w:rsidRPr="009F0AA0">
              <w:rPr>
                <w:rFonts w:ascii="ITC Avant Garde" w:hAnsi="ITC Avant Garde"/>
                <w:b/>
                <w:sz w:val="16"/>
                <w:szCs w:val="16"/>
              </w:rPr>
              <w:t>Fuente: Elaboración propia con base en datos del IFT.</w:t>
            </w:r>
          </w:p>
          <w:p w:rsidR="004217AB" w:rsidRDefault="004217AB" w:rsidP="00E21B49">
            <w:pPr>
              <w:jc w:val="both"/>
              <w:rPr>
                <w:rFonts w:ascii="ITC Avant Garde" w:hAnsi="ITC Avant Garde"/>
                <w:sz w:val="18"/>
                <w:szCs w:val="18"/>
              </w:rPr>
            </w:pPr>
          </w:p>
          <w:p w:rsidR="008D7837" w:rsidRDefault="008D7837" w:rsidP="00E21B49">
            <w:pPr>
              <w:jc w:val="both"/>
              <w:rPr>
                <w:rFonts w:ascii="ITC Avant Garde" w:hAnsi="ITC Avant Garde"/>
                <w:sz w:val="18"/>
                <w:szCs w:val="18"/>
              </w:rPr>
            </w:pPr>
            <w:r w:rsidRPr="008D7837">
              <w:rPr>
                <w:rFonts w:ascii="ITC Avant Garde" w:hAnsi="ITC Avant Garde"/>
                <w:sz w:val="18"/>
                <w:szCs w:val="18"/>
              </w:rPr>
              <w:t xml:space="preserve">De tal forma, se puede concluir que la política regulatoria instrumentada por el Instituto en materia de interconexión a través de la resolución de desacuerdos, ha sido convergente con las mejores prácticas internacionales, en el sentido de que se ha procurado establecer tarifas de interconexión tendientes a los costos provisión del servicio, que han incentivado la eficiencia de los operadores y han impulsado una mayor competencia en el sector, lo cual, se ha visto reflejado en una </w:t>
            </w:r>
            <w:r w:rsidRPr="008D7837">
              <w:rPr>
                <w:rFonts w:ascii="ITC Avant Garde" w:hAnsi="ITC Avant Garde"/>
                <w:sz w:val="18"/>
                <w:szCs w:val="18"/>
              </w:rPr>
              <w:lastRenderedPageBreak/>
              <w:t>disminución de los precios de los servicios de telecomunicaciones que se comercializan a los consumidores finales.</w:t>
            </w:r>
          </w:p>
          <w:p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 </w:t>
            </w:r>
          </w:p>
        </w:tc>
      </w:tr>
    </w:tbl>
    <w:p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rsidTr="00D500A9">
        <w:tc>
          <w:tcPr>
            <w:tcW w:w="8828" w:type="dxa"/>
          </w:tcPr>
          <w:p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7"/>
            </w:r>
            <w:r w:rsidRPr="00DD06A0">
              <w:rPr>
                <w:rFonts w:ascii="ITC Avant Garde" w:hAnsi="ITC Avant Garde"/>
                <w:b/>
                <w:sz w:val="18"/>
                <w:szCs w:val="18"/>
              </w:rPr>
              <w:t xml:space="preserve"> y los beneficios más significativos derivados de la propuesta de regulación. </w:t>
            </w:r>
          </w:p>
          <w:p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rsidTr="003C5C6B">
              <w:trPr>
                <w:jc w:val="center"/>
              </w:trPr>
              <w:tc>
                <w:tcPr>
                  <w:tcW w:w="8602" w:type="dxa"/>
                  <w:gridSpan w:val="5"/>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r w:rsidR="003C0A14">
                    <w:rPr>
                      <w:rStyle w:val="Refdenotaalpie"/>
                      <w:rFonts w:ascii="ITC Avant Garde" w:hAnsi="ITC Avant Garde"/>
                      <w:b/>
                      <w:sz w:val="18"/>
                      <w:szCs w:val="18"/>
                    </w:rPr>
                    <w:footnoteReference w:id="8"/>
                  </w:r>
                </w:p>
              </w:tc>
            </w:tr>
            <w:tr w:rsidR="005665BE" w:rsidRPr="00DD06A0" w:rsidTr="003C5C6B">
              <w:trPr>
                <w:jc w:val="center"/>
              </w:trPr>
              <w:tc>
                <w:tcPr>
                  <w:tcW w:w="1558" w:type="dxa"/>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p>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r w:rsidR="00CF6087">
                    <w:rPr>
                      <w:rStyle w:val="Refdenotaalpie"/>
                      <w:rFonts w:ascii="ITC Avant Garde" w:hAnsi="ITC Avant Garde"/>
                      <w:b/>
                      <w:sz w:val="18"/>
                      <w:szCs w:val="18"/>
                    </w:rPr>
                    <w:footnoteReference w:id="9"/>
                  </w:r>
                </w:p>
              </w:tc>
              <w:tc>
                <w:tcPr>
                  <w:tcW w:w="1536" w:type="dxa"/>
                  <w:tcBorders>
                    <w:bottom w:val="single" w:sz="2"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r w:rsidR="00CF6087">
                    <w:rPr>
                      <w:rStyle w:val="Refdenotaalpie"/>
                      <w:rFonts w:ascii="ITC Avant Garde" w:hAnsi="ITC Avant Garde"/>
                      <w:b/>
                      <w:sz w:val="18"/>
                      <w:szCs w:val="18"/>
                    </w:rPr>
                    <w:footnoteReference w:id="10"/>
                  </w:r>
                </w:p>
              </w:tc>
              <w:tc>
                <w:tcPr>
                  <w:tcW w:w="1463" w:type="dxa"/>
                  <w:shd w:val="clear" w:color="auto" w:fill="A8D08D" w:themeFill="accent6" w:themeFillTint="99"/>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rsidTr="003C5C6B">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rsidR="00D500A9" w:rsidRPr="00DD06A0" w:rsidRDefault="00BE0DA7"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rsidR="00D500A9" w:rsidRPr="00DD06A0" w:rsidRDefault="00E436E1" w:rsidP="00144C0C">
                  <w:pPr>
                    <w:jc w:val="both"/>
                    <w:rPr>
                      <w:rFonts w:ascii="ITC Avant Garde" w:hAnsi="ITC Avant Garde"/>
                      <w:sz w:val="18"/>
                      <w:szCs w:val="18"/>
                    </w:rPr>
                  </w:pPr>
                  <w:r>
                    <w:rPr>
                      <w:rFonts w:ascii="ITC Avant Garde" w:hAnsi="ITC Avant Garde"/>
                      <w:sz w:val="18"/>
                      <w:szCs w:val="18"/>
                    </w:rPr>
                    <w:t>Realización de actuaciones</w:t>
                  </w:r>
                  <w:r w:rsidR="00144C0C">
                    <w:rPr>
                      <w:rFonts w:ascii="ITC Avant Garde" w:hAnsi="ITC Avant Garde"/>
                      <w:sz w:val="18"/>
                      <w:szCs w:val="18"/>
                    </w:rPr>
                    <w:t xml:space="preserve"> de forma electrónica</w:t>
                  </w:r>
                  <w:r>
                    <w:rPr>
                      <w:rFonts w:ascii="ITC Avant Garde" w:hAnsi="ITC Avant Garde"/>
                      <w:sz w:val="18"/>
                      <w:szCs w:val="18"/>
                    </w:rPr>
                    <w:t>.</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D500A9" w:rsidRPr="00DD06A0" w:rsidRDefault="00144C0C" w:rsidP="00144C0C">
                  <w:pPr>
                    <w:jc w:val="center"/>
                    <w:rPr>
                      <w:rFonts w:ascii="ITC Avant Garde" w:hAnsi="ITC Avant Garde"/>
                      <w:sz w:val="18"/>
                      <w:szCs w:val="18"/>
                    </w:rPr>
                  </w:pPr>
                  <w:r>
                    <w:rPr>
                      <w:rFonts w:ascii="ITC Avant Garde" w:hAnsi="ITC Avant Garde"/>
                      <w:sz w:val="18"/>
                      <w:szCs w:val="18"/>
                    </w:rPr>
                    <w:t>NA</w:t>
                  </w:r>
                </w:p>
              </w:tc>
              <w:tc>
                <w:tcPr>
                  <w:tcW w:w="1536" w:type="dxa"/>
                  <w:tcBorders>
                    <w:left w:val="single" w:sz="4" w:space="0" w:color="auto"/>
                    <w:right w:val="single" w:sz="4" w:space="0" w:color="auto"/>
                  </w:tcBorders>
                  <w:shd w:val="clear" w:color="auto" w:fill="FFFFFF" w:themeFill="background1"/>
                </w:tcPr>
                <w:p w:rsidR="00D500A9" w:rsidRPr="00DD06A0" w:rsidRDefault="00380AA8" w:rsidP="00DC6377">
                  <w:pPr>
                    <w:jc w:val="center"/>
                    <w:rPr>
                      <w:rFonts w:ascii="ITC Avant Garde" w:hAnsi="ITC Avant Garde"/>
                      <w:sz w:val="18"/>
                      <w:szCs w:val="18"/>
                    </w:rPr>
                  </w:pPr>
                  <w:r>
                    <w:rPr>
                      <w:rFonts w:ascii="ITC Avant Garde" w:hAnsi="ITC Avant Garde"/>
                      <w:sz w:val="18"/>
                      <w:szCs w:val="18"/>
                    </w:rPr>
                    <w:t>$</w:t>
                  </w:r>
                  <w:r w:rsidR="00144C0C">
                    <w:rPr>
                      <w:rFonts w:ascii="ITC Avant Garde" w:hAnsi="ITC Avant Garde"/>
                      <w:sz w:val="18"/>
                      <w:szCs w:val="18"/>
                    </w:rPr>
                    <w:t>512,040</w:t>
                  </w:r>
                  <w:r w:rsidR="00CF6087">
                    <w:rPr>
                      <w:rStyle w:val="Refdenotaalpie"/>
                      <w:rFonts w:ascii="ITC Avant Garde" w:hAnsi="ITC Avant Garde"/>
                      <w:sz w:val="18"/>
                      <w:szCs w:val="18"/>
                    </w:rPr>
                    <w:footnoteReference w:id="11"/>
                  </w:r>
                </w:p>
              </w:tc>
              <w:tc>
                <w:tcPr>
                  <w:tcW w:w="1463" w:type="dxa"/>
                  <w:tcBorders>
                    <w:left w:val="single" w:sz="4" w:space="0" w:color="auto"/>
                    <w:right w:val="single" w:sz="4" w:space="0" w:color="auto"/>
                  </w:tcBorders>
                  <w:shd w:val="clear" w:color="auto" w:fill="FFFFFF" w:themeFill="background1"/>
                </w:tcPr>
                <w:p w:rsidR="00D500A9" w:rsidRPr="00DD06A0" w:rsidRDefault="00144C0C" w:rsidP="00225DA6">
                  <w:pPr>
                    <w:jc w:val="center"/>
                    <w:rPr>
                      <w:rFonts w:ascii="ITC Avant Garde" w:hAnsi="ITC Avant Garde"/>
                      <w:sz w:val="18"/>
                      <w:szCs w:val="18"/>
                    </w:rPr>
                  </w:pPr>
                  <w:r>
                    <w:rPr>
                      <w:rFonts w:ascii="ITC Avant Garde" w:hAnsi="ITC Avant Garde"/>
                      <w:sz w:val="18"/>
                      <w:szCs w:val="18"/>
                    </w:rPr>
                    <w:t>$512,040</w:t>
                  </w:r>
                </w:p>
              </w:tc>
            </w:tr>
            <w:tr w:rsidR="005665BE" w:rsidRPr="00DD06A0" w:rsidTr="003C5C6B">
              <w:trPr>
                <w:jc w:val="center"/>
              </w:trPr>
              <w:sdt>
                <w:sdtPr>
                  <w:rPr>
                    <w:rFonts w:ascii="ITC Avant Garde" w:hAnsi="ITC Avant Garde"/>
                    <w:sz w:val="18"/>
                    <w:szCs w:val="18"/>
                  </w:rPr>
                  <w:alias w:val="Población"/>
                  <w:tag w:val="Población"/>
                  <w:id w:val="1111937587"/>
                  <w:placeholder>
                    <w:docPart w:val="9FC0FF2DF2CA4A68B51ECA2834781E8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rsidR="00D500A9" w:rsidRPr="00DD06A0" w:rsidRDefault="00641720" w:rsidP="001432F7">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rsidR="00D500A9" w:rsidRPr="00DD06A0" w:rsidRDefault="00144C0C" w:rsidP="00144C0C">
                  <w:pPr>
                    <w:rPr>
                      <w:rFonts w:ascii="ITC Avant Garde" w:hAnsi="ITC Avant Garde"/>
                      <w:sz w:val="18"/>
                      <w:szCs w:val="18"/>
                    </w:rPr>
                  </w:pPr>
                  <w:r>
                    <w:rPr>
                      <w:rFonts w:ascii="ITC Avant Garde" w:hAnsi="ITC Avant Garde"/>
                      <w:sz w:val="18"/>
                      <w:szCs w:val="18"/>
                    </w:rPr>
                    <w:t>Realización de las notificaciones electrónicas de los actos administrativos .</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D500A9" w:rsidRPr="00DD06A0" w:rsidRDefault="00144C0C" w:rsidP="00225DA6">
                  <w:pPr>
                    <w:jc w:val="center"/>
                    <w:rPr>
                      <w:rFonts w:ascii="ITC Avant Garde" w:hAnsi="ITC Avant Garde"/>
                      <w:sz w:val="18"/>
                      <w:szCs w:val="18"/>
                    </w:rPr>
                  </w:pPr>
                  <w:r>
                    <w:rPr>
                      <w:rFonts w:ascii="ITC Avant Garde" w:hAnsi="ITC Avant Garde"/>
                      <w:sz w:val="18"/>
                      <w:szCs w:val="18"/>
                    </w:rPr>
                    <w:t>NA</w:t>
                  </w:r>
                  <w:r w:rsidR="00C039A0">
                    <w:rPr>
                      <w:rStyle w:val="Refdenotaalpie"/>
                      <w:rFonts w:ascii="ITC Avant Garde" w:hAnsi="ITC Avant Garde"/>
                      <w:sz w:val="18"/>
                      <w:szCs w:val="18"/>
                    </w:rPr>
                    <w:footnoteReference w:id="12"/>
                  </w:r>
                </w:p>
              </w:tc>
              <w:tc>
                <w:tcPr>
                  <w:tcW w:w="1536" w:type="dxa"/>
                  <w:tcBorders>
                    <w:left w:val="single" w:sz="4" w:space="0" w:color="auto"/>
                    <w:bottom w:val="single" w:sz="4" w:space="0" w:color="auto"/>
                    <w:right w:val="single" w:sz="4" w:space="0" w:color="auto"/>
                  </w:tcBorders>
                  <w:shd w:val="clear" w:color="auto" w:fill="FFFFFF" w:themeFill="background1"/>
                </w:tcPr>
                <w:p w:rsidR="00D500A9" w:rsidRPr="00DD06A0" w:rsidRDefault="00144C0C" w:rsidP="003C5C6B">
                  <w:pPr>
                    <w:jc w:val="center"/>
                    <w:rPr>
                      <w:rFonts w:ascii="ITC Avant Garde" w:hAnsi="ITC Avant Garde"/>
                      <w:sz w:val="18"/>
                      <w:szCs w:val="18"/>
                    </w:rPr>
                  </w:pPr>
                  <w:r>
                    <w:rPr>
                      <w:rFonts w:ascii="ITC Avant Garde" w:hAnsi="ITC Avant Garde"/>
                      <w:sz w:val="18"/>
                      <w:szCs w:val="18"/>
                    </w:rPr>
                    <w:t>$940,600</w:t>
                  </w:r>
                  <w:r w:rsidR="003C5C6B">
                    <w:rPr>
                      <w:rStyle w:val="Refdenotaalpie"/>
                      <w:rFonts w:ascii="ITC Avant Garde" w:hAnsi="ITC Avant Garde"/>
                      <w:sz w:val="18"/>
                      <w:szCs w:val="18"/>
                    </w:rPr>
                    <w:footnoteReference w:id="13"/>
                  </w:r>
                </w:p>
              </w:tc>
              <w:tc>
                <w:tcPr>
                  <w:tcW w:w="1463" w:type="dxa"/>
                  <w:tcBorders>
                    <w:left w:val="single" w:sz="4" w:space="0" w:color="auto"/>
                    <w:bottom w:val="single" w:sz="4" w:space="0" w:color="auto"/>
                    <w:right w:val="single" w:sz="4" w:space="0" w:color="auto"/>
                  </w:tcBorders>
                  <w:shd w:val="clear" w:color="auto" w:fill="FFFFFF" w:themeFill="background1"/>
                </w:tcPr>
                <w:p w:rsidR="00D500A9" w:rsidRPr="00DD06A0" w:rsidRDefault="00144C0C" w:rsidP="00225DA6">
                  <w:pPr>
                    <w:jc w:val="center"/>
                    <w:rPr>
                      <w:rFonts w:ascii="ITC Avant Garde" w:hAnsi="ITC Avant Garde"/>
                      <w:sz w:val="18"/>
                      <w:szCs w:val="18"/>
                    </w:rPr>
                  </w:pPr>
                  <w:r>
                    <w:rPr>
                      <w:rFonts w:ascii="ITC Avant Garde" w:hAnsi="ITC Avant Garde"/>
                      <w:sz w:val="18"/>
                      <w:szCs w:val="18"/>
                    </w:rPr>
                    <w:t>$940,600</w:t>
                  </w:r>
                </w:p>
              </w:tc>
            </w:tr>
            <w:tr w:rsidR="005665BE" w:rsidRPr="00DD06A0" w:rsidTr="003C5C6B">
              <w:trPr>
                <w:trHeight w:val="99"/>
                <w:jc w:val="center"/>
              </w:trPr>
              <w:tc>
                <w:tcPr>
                  <w:tcW w:w="1558" w:type="dxa"/>
                  <w:tcBorders>
                    <w:top w:val="single" w:sz="4" w:space="0" w:color="auto"/>
                    <w:left w:val="nil"/>
                    <w:bottom w:val="nil"/>
                    <w:right w:val="nil"/>
                  </w:tcBorders>
                  <w:shd w:val="clear" w:color="auto" w:fill="FFFFFF" w:themeFill="background1"/>
                </w:tcPr>
                <w:p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rsidTr="003C5C6B">
              <w:trPr>
                <w:jc w:val="center"/>
              </w:trPr>
              <w:tc>
                <w:tcPr>
                  <w:tcW w:w="1558" w:type="dxa"/>
                  <w:tcBorders>
                    <w:top w:val="nil"/>
                    <w:left w:val="nil"/>
                    <w:bottom w:val="nil"/>
                    <w:right w:val="nil"/>
                  </w:tcBorders>
                  <w:shd w:val="clear" w:color="auto" w:fill="FFFFFF" w:themeFill="background1"/>
                </w:tcPr>
                <w:p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rsidR="00853EFB" w:rsidRPr="00DD06A0" w:rsidRDefault="00853EFB" w:rsidP="00853EFB">
                  <w:pPr>
                    <w:jc w:val="center"/>
                    <w:rPr>
                      <w:rFonts w:ascii="ITC Avant Garde" w:hAnsi="ITC Avant Garde"/>
                      <w:sz w:val="18"/>
                      <w:szCs w:val="18"/>
                    </w:rPr>
                  </w:pPr>
                </w:p>
              </w:tc>
              <w:tc>
                <w:tcPr>
                  <w:tcW w:w="1536" w:type="dxa"/>
                  <w:tcBorders>
                    <w:left w:val="single" w:sz="4" w:space="0" w:color="auto"/>
                    <w:right w:val="single" w:sz="4" w:space="0" w:color="auto"/>
                  </w:tcBorders>
                  <w:shd w:val="clear" w:color="auto" w:fill="auto"/>
                </w:tcPr>
                <w:p w:rsidR="00853EFB" w:rsidRPr="00DD06A0" w:rsidRDefault="00144C0C" w:rsidP="00DC6377">
                  <w:pPr>
                    <w:jc w:val="center"/>
                    <w:rPr>
                      <w:rFonts w:ascii="ITC Avant Garde" w:hAnsi="ITC Avant Garde"/>
                      <w:sz w:val="18"/>
                      <w:szCs w:val="18"/>
                    </w:rPr>
                  </w:pPr>
                  <w:r>
                    <w:rPr>
                      <w:rFonts w:ascii="ITC Avant Garde" w:hAnsi="ITC Avant Garde"/>
                      <w:sz w:val="18"/>
                      <w:szCs w:val="18"/>
                    </w:rPr>
                    <w:t>$1,452,640</w:t>
                  </w:r>
                </w:p>
              </w:tc>
              <w:tc>
                <w:tcPr>
                  <w:tcW w:w="1463" w:type="dxa"/>
                  <w:tcBorders>
                    <w:left w:val="single" w:sz="4" w:space="0" w:color="auto"/>
                    <w:right w:val="single" w:sz="4" w:space="0" w:color="auto"/>
                  </w:tcBorders>
                  <w:shd w:val="clear" w:color="auto" w:fill="auto"/>
                </w:tcPr>
                <w:p w:rsidR="00853EFB" w:rsidRPr="00DD06A0" w:rsidRDefault="00144C0C" w:rsidP="00853EFB">
                  <w:pPr>
                    <w:jc w:val="center"/>
                    <w:rPr>
                      <w:rFonts w:ascii="ITC Avant Garde" w:hAnsi="ITC Avant Garde"/>
                      <w:b/>
                      <w:sz w:val="18"/>
                      <w:szCs w:val="18"/>
                    </w:rPr>
                  </w:pPr>
                  <w:r>
                    <w:rPr>
                      <w:rFonts w:ascii="ITC Avant Garde" w:hAnsi="ITC Avant Garde"/>
                      <w:sz w:val="18"/>
                      <w:szCs w:val="18"/>
                    </w:rPr>
                    <w:t>$1,452,640</w:t>
                  </w:r>
                </w:p>
              </w:tc>
            </w:tr>
          </w:tbl>
          <w:p w:rsidR="00D500A9" w:rsidRPr="00DD06A0" w:rsidRDefault="00D500A9" w:rsidP="00225DA6">
            <w:pPr>
              <w:jc w:val="both"/>
              <w:rPr>
                <w:rFonts w:ascii="ITC Avant Garde" w:hAnsi="ITC Avant Garde"/>
                <w:sz w:val="18"/>
                <w:szCs w:val="18"/>
                <w:highlight w:val="yellow"/>
              </w:rPr>
            </w:pPr>
          </w:p>
          <w:p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rsidTr="005665BE">
              <w:trPr>
                <w:jc w:val="center"/>
              </w:trPr>
              <w:tc>
                <w:tcPr>
                  <w:tcW w:w="8246" w:type="dxa"/>
                  <w:gridSpan w:val="3"/>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rsidTr="005665BE">
              <w:trPr>
                <w:jc w:val="center"/>
              </w:trPr>
              <w:tc>
                <w:tcPr>
                  <w:tcW w:w="2009" w:type="dxa"/>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p>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277797" w:rsidRPr="00547497" w:rsidRDefault="00547497" w:rsidP="00547497">
                  <w:pPr>
                    <w:rPr>
                      <w:rFonts w:ascii="ITC Avant Garde" w:hAnsi="ITC Avant Garde"/>
                      <w:sz w:val="18"/>
                      <w:szCs w:val="18"/>
                    </w:rPr>
                  </w:pPr>
                  <w:r>
                    <w:rPr>
                      <w:rFonts w:ascii="ITC Avant Garde" w:hAnsi="ITC Avant Garde"/>
                      <w:sz w:val="18"/>
                      <w:szCs w:val="18"/>
                    </w:rPr>
                    <w:t>La capacitación y aprendizaje del personal de los concesionarios encargados de llevar a cabo la solicitud de desacuerdos de interconexión y su sustanciación a través de la Ventanilla Electrónica.</w:t>
                  </w:r>
                </w:p>
              </w:tc>
              <w:tc>
                <w:tcPr>
                  <w:tcW w:w="3119" w:type="dxa"/>
                  <w:tcBorders>
                    <w:left w:val="single" w:sz="4" w:space="0" w:color="auto"/>
                    <w:right w:val="single" w:sz="4" w:space="0" w:color="auto"/>
                  </w:tcBorders>
                  <w:shd w:val="clear" w:color="auto" w:fill="FFFFFF" w:themeFill="background1"/>
                </w:tcPr>
                <w:p w:rsidR="00D93344" w:rsidRDefault="00D93344" w:rsidP="00090C98">
                  <w:pPr>
                    <w:jc w:val="both"/>
                    <w:rPr>
                      <w:rFonts w:ascii="ITC Avant Garde" w:hAnsi="ITC Avant Garde"/>
                      <w:sz w:val="18"/>
                      <w:szCs w:val="18"/>
                    </w:rPr>
                  </w:pPr>
                  <w:r>
                    <w:rPr>
                      <w:rFonts w:ascii="ITC Avant Garde" w:hAnsi="ITC Avant Garde"/>
                      <w:sz w:val="18"/>
                      <w:szCs w:val="18"/>
                    </w:rPr>
                    <w:t xml:space="preserve">Reducción de cargas administrativas en las que incurren los concesionarios y con ello </w:t>
                  </w:r>
                  <w:r w:rsidR="00547497">
                    <w:rPr>
                      <w:rFonts w:ascii="ITC Avant Garde" w:hAnsi="ITC Avant Garde"/>
                      <w:sz w:val="18"/>
                      <w:szCs w:val="18"/>
                    </w:rPr>
                    <w:t>eliminar</w:t>
                  </w:r>
                  <w:r>
                    <w:rPr>
                      <w:rFonts w:ascii="ITC Avant Garde" w:hAnsi="ITC Avant Garde"/>
                      <w:sz w:val="18"/>
                      <w:szCs w:val="18"/>
                    </w:rPr>
                    <w:t xml:space="preserve"> </w:t>
                  </w:r>
                  <w:r w:rsidR="00547497">
                    <w:rPr>
                      <w:rFonts w:ascii="ITC Avant Garde" w:hAnsi="ITC Avant Garde"/>
                      <w:sz w:val="18"/>
                      <w:szCs w:val="18"/>
                    </w:rPr>
                    <w:t>los</w:t>
                  </w:r>
                  <w:r>
                    <w:rPr>
                      <w:rFonts w:ascii="ITC Avant Garde" w:hAnsi="ITC Avant Garde"/>
                      <w:sz w:val="18"/>
                      <w:szCs w:val="18"/>
                    </w:rPr>
                    <w:t xml:space="preserve"> costos (operativos y materiales) que derivan de </w:t>
                  </w:r>
                  <w:r w:rsidR="00547497">
                    <w:rPr>
                      <w:rFonts w:ascii="ITC Avant Garde" w:hAnsi="ITC Avant Garde"/>
                      <w:sz w:val="18"/>
                      <w:szCs w:val="18"/>
                    </w:rPr>
                    <w:t>llevar a cabo la solicitud y sustanciación de los desacuerdos de interconexión de manera tradicional</w:t>
                  </w:r>
                  <w:r>
                    <w:rPr>
                      <w:rFonts w:ascii="ITC Avant Garde" w:hAnsi="ITC Avant Garde"/>
                      <w:sz w:val="18"/>
                      <w:szCs w:val="18"/>
                    </w:rPr>
                    <w:t xml:space="preserve">. </w:t>
                  </w:r>
                </w:p>
                <w:p w:rsidR="00277797" w:rsidRPr="00090C98" w:rsidRDefault="00277797" w:rsidP="00090C98">
                  <w:pPr>
                    <w:jc w:val="both"/>
                    <w:rPr>
                      <w:rFonts w:ascii="ITC Avant Garde" w:hAnsi="ITC Avant Garde"/>
                      <w:sz w:val="18"/>
                      <w:szCs w:val="18"/>
                    </w:rPr>
                  </w:pPr>
                </w:p>
              </w:tc>
            </w:tr>
            <w:tr w:rsidR="00A73B0C" w:rsidRPr="00090C98" w:rsidTr="005665BE">
              <w:trPr>
                <w:jc w:val="center"/>
              </w:trPr>
              <w:tc>
                <w:tcPr>
                  <w:tcW w:w="2009" w:type="dxa"/>
                  <w:tcBorders>
                    <w:top w:val="single" w:sz="4" w:space="0" w:color="auto"/>
                    <w:left w:val="single" w:sz="4" w:space="0" w:color="auto"/>
                    <w:bottom w:val="single" w:sz="4" w:space="0" w:color="auto"/>
                    <w:right w:val="single" w:sz="4" w:space="0" w:color="auto"/>
                  </w:tcBorders>
                </w:tcPr>
                <w:p w:rsidR="00A73B0C" w:rsidRPr="00090C98" w:rsidRDefault="005403B4" w:rsidP="005403B4">
                  <w:pPr>
                    <w:jc w:val="center"/>
                    <w:rPr>
                      <w:rFonts w:ascii="ITC Avant Garde" w:hAnsi="ITC Avant Garde"/>
                      <w:sz w:val="18"/>
                      <w:szCs w:val="18"/>
                    </w:rPr>
                  </w:pPr>
                  <w:r>
                    <w:rPr>
                      <w:rFonts w:ascii="ITC Avant Garde" w:hAnsi="ITC Avant Garde"/>
                      <w:sz w:val="18"/>
                      <w:szCs w:val="18"/>
                    </w:rPr>
                    <w:t>Instituto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73B0C" w:rsidRPr="00090C98" w:rsidRDefault="00B504AA" w:rsidP="00547497">
                  <w:pPr>
                    <w:jc w:val="both"/>
                    <w:rPr>
                      <w:rFonts w:ascii="ITC Avant Garde" w:hAnsi="ITC Avant Garde"/>
                      <w:sz w:val="18"/>
                      <w:szCs w:val="18"/>
                    </w:rPr>
                  </w:pPr>
                  <w:r>
                    <w:rPr>
                      <w:rFonts w:ascii="ITC Avant Garde" w:hAnsi="ITC Avant Garde"/>
                      <w:sz w:val="18"/>
                      <w:szCs w:val="18"/>
                    </w:rPr>
                    <w:t xml:space="preserve">La adecuación de la herramienta o plataforma electrónica a través de la cual se </w:t>
                  </w:r>
                  <w:r w:rsidR="00547497">
                    <w:rPr>
                      <w:rFonts w:ascii="ITC Avant Garde" w:hAnsi="ITC Avant Garde"/>
                      <w:sz w:val="18"/>
                      <w:szCs w:val="18"/>
                    </w:rPr>
                    <w:t>lleve a cabo la sustanciación de los desacuerdos de interconexión</w:t>
                  </w:r>
                  <w:r>
                    <w:rPr>
                      <w:rFonts w:ascii="ITC Avant Garde" w:hAnsi="ITC Avant Garde"/>
                      <w:sz w:val="18"/>
                      <w:szCs w:val="18"/>
                    </w:rPr>
                    <w:t>, la capacitación y aprendizaje de los servidores públicos encargados de implementar y ejecutar dicha herramienta tecnológica para la sustanciación de la solicitud de resolución de los desacuerdos de interconexión a través de la Ventanilla Electrónica.</w:t>
                  </w:r>
                </w:p>
              </w:tc>
              <w:tc>
                <w:tcPr>
                  <w:tcW w:w="3119" w:type="dxa"/>
                  <w:tcBorders>
                    <w:left w:val="single" w:sz="4" w:space="0" w:color="auto"/>
                    <w:right w:val="single" w:sz="4" w:space="0" w:color="auto"/>
                  </w:tcBorders>
                  <w:shd w:val="clear" w:color="auto" w:fill="FFFFFF" w:themeFill="background1"/>
                </w:tcPr>
                <w:p w:rsidR="00A73B0C" w:rsidRPr="00090C98" w:rsidRDefault="005403B4" w:rsidP="006B2898">
                  <w:pPr>
                    <w:jc w:val="both"/>
                    <w:rPr>
                      <w:rFonts w:ascii="ITC Avant Garde" w:hAnsi="ITC Avant Garde"/>
                      <w:sz w:val="18"/>
                      <w:szCs w:val="18"/>
                    </w:rPr>
                  </w:pPr>
                  <w:r>
                    <w:rPr>
                      <w:rFonts w:ascii="ITC Avant Garde" w:hAnsi="ITC Avant Garde"/>
                      <w:sz w:val="18"/>
                      <w:szCs w:val="18"/>
                    </w:rPr>
                    <w:t>Reducir cargas y tareas administrativas, que se traduce en la posibilidad para que los servidores públicos  del Instituto inviertan mayor tiempo a la realización de funciones sustantivas.</w:t>
                  </w:r>
                </w:p>
              </w:tc>
            </w:tr>
          </w:tbl>
          <w:p w:rsidR="00673EAE" w:rsidRPr="00DD06A0" w:rsidRDefault="00673EAE" w:rsidP="00225DA6">
            <w:pPr>
              <w:jc w:val="both"/>
              <w:rPr>
                <w:rFonts w:ascii="ITC Avant Garde" w:hAnsi="ITC Avant Garde"/>
                <w:sz w:val="18"/>
                <w:szCs w:val="18"/>
              </w:rPr>
            </w:pPr>
          </w:p>
          <w:p w:rsidR="00376614" w:rsidRPr="00DD06A0" w:rsidRDefault="00376614" w:rsidP="00225DA6">
            <w:pPr>
              <w:jc w:val="both"/>
              <w:rPr>
                <w:rFonts w:ascii="ITC Avant Garde" w:hAnsi="ITC Avant Garde"/>
                <w:sz w:val="18"/>
                <w:szCs w:val="18"/>
              </w:rPr>
            </w:pPr>
          </w:p>
        </w:tc>
      </w:tr>
    </w:tbl>
    <w:p w:rsidR="009C21D6" w:rsidRPr="00DD06A0" w:rsidRDefault="009C21D6" w:rsidP="00E21B49">
      <w:pPr>
        <w:jc w:val="both"/>
        <w:rPr>
          <w:rFonts w:ascii="ITC Avant Garde" w:hAnsi="ITC Avant Garde"/>
          <w:sz w:val="18"/>
          <w:szCs w:val="18"/>
        </w:rPr>
      </w:pPr>
    </w:p>
    <w:p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rsidTr="00023BBB">
              <w:trPr>
                <w:jc w:val="center"/>
              </w:trPr>
              <w:tc>
                <w:tcPr>
                  <w:tcW w:w="1368" w:type="dxa"/>
                  <w:tcBorders>
                    <w:bottom w:val="single" w:sz="4" w:space="0" w:color="auto"/>
                  </w:tcBorders>
                  <w:shd w:val="clear" w:color="auto" w:fill="A8D08D" w:themeFill="accent6" w:themeFillTint="99"/>
                </w:tcPr>
                <w:p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DD06A0" w:rsidRDefault="0019415B"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rsidR="001432F7" w:rsidRPr="00DD06A0" w:rsidRDefault="0019415B" w:rsidP="0019415B">
                  <w:pPr>
                    <w:jc w:val="both"/>
                    <w:rPr>
                      <w:rFonts w:ascii="ITC Avant Garde" w:hAnsi="ITC Avant Garde"/>
                      <w:sz w:val="18"/>
                      <w:szCs w:val="18"/>
                    </w:rPr>
                  </w:pPr>
                  <w:r>
                    <w:rPr>
                      <w:rFonts w:ascii="ITC Avant Garde" w:hAnsi="ITC Avant Garde"/>
                      <w:sz w:val="18"/>
                      <w:szCs w:val="18"/>
                    </w:rPr>
                    <w:t xml:space="preserve">Personal adscrito a instituto que se encargará de atender, a través de la Ventanilla Electrónica, la sustanciación de las Solicitudes de resolución de desacuerdos de interconexión que ingresen al Instituto mediante dicha plataforma. </w:t>
                  </w:r>
                </w:p>
              </w:tc>
              <w:tc>
                <w:tcPr>
                  <w:tcW w:w="1632" w:type="dxa"/>
                  <w:tcBorders>
                    <w:left w:val="single" w:sz="4" w:space="0" w:color="auto"/>
                  </w:tcBorders>
                  <w:shd w:val="clear" w:color="auto" w:fill="FFFFFF" w:themeFill="background1"/>
                </w:tcPr>
                <w:p w:rsidR="001432F7" w:rsidRPr="00DD06A0" w:rsidRDefault="0019415B" w:rsidP="0019415B">
                  <w:pPr>
                    <w:jc w:val="center"/>
                    <w:rPr>
                      <w:rFonts w:ascii="ITC Avant Garde" w:hAnsi="ITC Avant Garde"/>
                      <w:sz w:val="18"/>
                      <w:szCs w:val="18"/>
                    </w:rPr>
                  </w:pPr>
                  <w:r>
                    <w:rPr>
                      <w:rFonts w:ascii="ITC Avant Garde" w:hAnsi="ITC Avant Garde"/>
                      <w:sz w:val="18"/>
                      <w:szCs w:val="18"/>
                    </w:rPr>
                    <w:t>12</w:t>
                  </w:r>
                  <w:r w:rsidR="00090C98">
                    <w:rPr>
                      <w:rFonts w:ascii="ITC Avant Garde" w:hAnsi="ITC Avant Garde"/>
                      <w:sz w:val="18"/>
                      <w:szCs w:val="18"/>
                    </w:rPr>
                    <w:t xml:space="preserve"> personas</w:t>
                  </w:r>
                </w:p>
              </w:tc>
            </w:tr>
            <w:tr w:rsidR="001576FA" w:rsidRPr="00DD06A0"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76FA" w:rsidRPr="00DD06A0" w:rsidRDefault="0019415B"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rsidR="001576FA" w:rsidRPr="00DD06A0" w:rsidRDefault="0019415B" w:rsidP="0019415B">
                  <w:pPr>
                    <w:jc w:val="both"/>
                    <w:rPr>
                      <w:rFonts w:ascii="ITC Avant Garde" w:hAnsi="ITC Avant Garde"/>
                      <w:sz w:val="18"/>
                      <w:szCs w:val="18"/>
                    </w:rPr>
                  </w:pPr>
                  <w:r>
                    <w:rPr>
                      <w:rFonts w:ascii="ITC Avant Garde" w:hAnsi="ITC Avant Garde"/>
                      <w:sz w:val="18"/>
                      <w:szCs w:val="18"/>
                    </w:rPr>
                    <w:t>La Ventanilla Electrónica disponible en el Portal de Internet del Instituto, a través de la cual los concesionarios de red pública de telecomunicaciones podrán Solicitar la resolución de desacuerdos de interconexión.</w:t>
                  </w:r>
                </w:p>
              </w:tc>
              <w:tc>
                <w:tcPr>
                  <w:tcW w:w="1632" w:type="dxa"/>
                  <w:tcBorders>
                    <w:left w:val="single" w:sz="4" w:space="0" w:color="auto"/>
                  </w:tcBorders>
                  <w:shd w:val="clear" w:color="auto" w:fill="FFFFFF" w:themeFill="background1"/>
                </w:tcPr>
                <w:p w:rsidR="001576FA" w:rsidRPr="00DD06A0" w:rsidRDefault="0019415B" w:rsidP="001432F7">
                  <w:pPr>
                    <w:jc w:val="center"/>
                    <w:rPr>
                      <w:rFonts w:ascii="ITC Avant Garde" w:hAnsi="ITC Avant Garde"/>
                      <w:sz w:val="18"/>
                      <w:szCs w:val="18"/>
                    </w:rPr>
                  </w:pPr>
                  <w:r>
                    <w:rPr>
                      <w:rFonts w:ascii="ITC Avant Garde" w:hAnsi="ITC Avant Garde"/>
                      <w:sz w:val="18"/>
                      <w:szCs w:val="18"/>
                    </w:rPr>
                    <w:t>1</w:t>
                  </w:r>
                </w:p>
              </w:tc>
            </w:tr>
            <w:tr w:rsidR="001576FA" w:rsidRPr="00DD06A0"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76FA" w:rsidRPr="00DD06A0" w:rsidRDefault="0019415B" w:rsidP="001432F7">
                      <w:pPr>
                        <w:rPr>
                          <w:rFonts w:ascii="ITC Avant Garde" w:hAnsi="ITC Avant Garde"/>
                          <w:sz w:val="18"/>
                          <w:szCs w:val="18"/>
                          <w:highlight w:val="yellow"/>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rsidR="001576FA" w:rsidRPr="00DD06A0" w:rsidRDefault="0019415B" w:rsidP="00BB2876">
                  <w:pPr>
                    <w:jc w:val="both"/>
                    <w:rPr>
                      <w:rFonts w:ascii="ITC Avant Garde" w:hAnsi="ITC Avant Garde"/>
                      <w:sz w:val="18"/>
                      <w:szCs w:val="18"/>
                    </w:rPr>
                  </w:pPr>
                  <w:r>
                    <w:rPr>
                      <w:rFonts w:ascii="ITC Avant Garde" w:hAnsi="ITC Avant Garde"/>
                      <w:sz w:val="18"/>
                      <w:szCs w:val="18"/>
                    </w:rPr>
                    <w:t>Equipo de cómputo</w:t>
                  </w:r>
                </w:p>
              </w:tc>
              <w:tc>
                <w:tcPr>
                  <w:tcW w:w="1632" w:type="dxa"/>
                  <w:tcBorders>
                    <w:left w:val="single" w:sz="4" w:space="0" w:color="auto"/>
                  </w:tcBorders>
                  <w:shd w:val="clear" w:color="auto" w:fill="FFFFFF" w:themeFill="background1"/>
                </w:tcPr>
                <w:p w:rsidR="001576FA" w:rsidRPr="00DD06A0" w:rsidRDefault="00BB2876" w:rsidP="001432F7">
                  <w:pPr>
                    <w:jc w:val="center"/>
                    <w:rPr>
                      <w:rFonts w:ascii="ITC Avant Garde" w:hAnsi="ITC Avant Garde"/>
                      <w:sz w:val="18"/>
                      <w:szCs w:val="18"/>
                    </w:rPr>
                  </w:pPr>
                  <w:r>
                    <w:rPr>
                      <w:rFonts w:ascii="ITC Avant Garde" w:hAnsi="ITC Avant Garde"/>
                      <w:sz w:val="18"/>
                      <w:szCs w:val="18"/>
                    </w:rPr>
                    <w:t>12</w:t>
                  </w:r>
                </w:p>
              </w:tc>
            </w:tr>
          </w:tbl>
          <w:p w:rsidR="001432F7" w:rsidRPr="00DD06A0" w:rsidRDefault="001432F7" w:rsidP="00225DA6">
            <w:pPr>
              <w:jc w:val="both"/>
              <w:rPr>
                <w:rFonts w:ascii="ITC Avant Garde" w:hAnsi="ITC Avant Garde"/>
                <w:b/>
                <w:sz w:val="18"/>
                <w:szCs w:val="18"/>
              </w:rPr>
            </w:pPr>
          </w:p>
          <w:p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rsidTr="00023BBB">
              <w:trPr>
                <w:jc w:val="center"/>
              </w:trPr>
              <w:tc>
                <w:tcPr>
                  <w:tcW w:w="1368"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lastRenderedPageBreak/>
                    <w:t>Tipo</w:t>
                  </w:r>
                </w:p>
              </w:tc>
              <w:tc>
                <w:tcPr>
                  <w:tcW w:w="3870"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2025CB" w:rsidRPr="00DD06A0" w:rsidRDefault="00942178" w:rsidP="003B48D4">
                  <w:pPr>
                    <w:jc w:val="both"/>
                    <w:rPr>
                      <w:rFonts w:ascii="ITC Avant Garde" w:hAnsi="ITC Avant Garde"/>
                      <w:sz w:val="18"/>
                      <w:szCs w:val="18"/>
                    </w:rPr>
                  </w:pPr>
                  <w:r>
                    <w:rPr>
                      <w:rFonts w:ascii="ITC Avant Garde" w:hAnsi="ITC Avant Garde"/>
                      <w:sz w:val="18"/>
                      <w:szCs w:val="18"/>
                    </w:rPr>
                    <w:t xml:space="preserve">El proyecto de regulación no plantea esquemas de verificación y vigilancia de forma directa. Sin embargo, </w:t>
                  </w:r>
                  <w:r w:rsidR="003B48D4">
                    <w:rPr>
                      <w:rFonts w:ascii="ITC Avant Garde" w:hAnsi="ITC Avant Garde"/>
                      <w:sz w:val="18"/>
                      <w:szCs w:val="18"/>
                    </w:rPr>
                    <w:t>en la medida que se desarrolle la sustanciación de cada desacuerdo de interconexión a través de la Ventanilla Electrónica, se v</w:t>
                  </w:r>
                  <w:r w:rsidR="00626C55">
                    <w:rPr>
                      <w:rFonts w:ascii="ITC Avant Garde" w:hAnsi="ITC Avant Garde"/>
                      <w:sz w:val="18"/>
                      <w:szCs w:val="18"/>
                    </w:rPr>
                    <w:t>igilará y verificará</w:t>
                  </w:r>
                  <w:r w:rsidR="003B48D4">
                    <w:rPr>
                      <w:rFonts w:ascii="ITC Avant Garde" w:hAnsi="ITC Avant Garde"/>
                      <w:sz w:val="18"/>
                      <w:szCs w:val="18"/>
                    </w:rPr>
                    <w:t xml:space="preserve"> que las actuaciones de los concesionarios involucrados, así como la emisión de los actos administrativos se realice</w:t>
                  </w:r>
                  <w:r w:rsidR="00547497">
                    <w:rPr>
                      <w:rFonts w:ascii="ITC Avant Garde" w:hAnsi="ITC Avant Garde"/>
                      <w:sz w:val="18"/>
                      <w:szCs w:val="18"/>
                    </w:rPr>
                    <w:t>n sea</w:t>
                  </w:r>
                  <w:r w:rsidR="003B48D4">
                    <w:rPr>
                      <w:rFonts w:ascii="ITC Avant Garde" w:hAnsi="ITC Avant Garde"/>
                      <w:sz w:val="18"/>
                      <w:szCs w:val="18"/>
                    </w:rPr>
                    <w:t xml:space="preserve"> en estricto apego </w:t>
                  </w:r>
                  <w:r w:rsidR="007A33D0">
                    <w:rPr>
                      <w:rFonts w:ascii="ITC Avant Garde" w:hAnsi="ITC Avant Garde"/>
                      <w:sz w:val="18"/>
                      <w:szCs w:val="18"/>
                    </w:rPr>
                    <w:t xml:space="preserve">a la normatividad aplicable y, por ende, </w:t>
                  </w:r>
                  <w:r w:rsidR="003B48D4">
                    <w:rPr>
                      <w:rFonts w:ascii="ITC Avant Garde" w:hAnsi="ITC Avant Garde"/>
                      <w:sz w:val="18"/>
                      <w:szCs w:val="18"/>
                    </w:rPr>
                    <w:t xml:space="preserve">a los Lineamientos propuestos. </w:t>
                  </w: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bl>
          <w:p w:rsidR="002025CB" w:rsidRPr="00DD06A0" w:rsidRDefault="002025CB" w:rsidP="00225DA6">
            <w:pPr>
              <w:jc w:val="both"/>
              <w:rPr>
                <w:rFonts w:ascii="ITC Avant Garde" w:hAnsi="ITC Avant Garde"/>
                <w:sz w:val="18"/>
                <w:szCs w:val="18"/>
              </w:rPr>
            </w:pPr>
          </w:p>
          <w:p w:rsidR="00B91D01" w:rsidRPr="00DD06A0" w:rsidRDefault="00B91D01" w:rsidP="00225DA6">
            <w:pPr>
              <w:jc w:val="both"/>
              <w:rPr>
                <w:rFonts w:ascii="ITC Avant Garde" w:hAnsi="ITC Avant Garde"/>
                <w:b/>
                <w:sz w:val="18"/>
                <w:szCs w:val="18"/>
              </w:rPr>
            </w:pPr>
          </w:p>
        </w:tc>
      </w:tr>
    </w:tbl>
    <w:p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370EF5" w:rsidRPr="00DD06A0" w:rsidTr="00023BBB">
              <w:trPr>
                <w:jc w:val="center"/>
              </w:trPr>
              <w:tc>
                <w:tcPr>
                  <w:tcW w:w="2302"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370EF5" w:rsidRPr="00DD06A0"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91D01" w:rsidRPr="00DD06A0" w:rsidRDefault="00370EF5"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rsidR="00B91D01" w:rsidRPr="00DD06A0" w:rsidRDefault="0003224D" w:rsidP="00370EF5">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w:t>
                  </w:r>
                  <w:r w:rsidR="00547497">
                    <w:rPr>
                      <w:rFonts w:ascii="ITC Avant Garde" w:hAnsi="ITC Avant Garde"/>
                      <w:sz w:val="18"/>
                      <w:szCs w:val="18"/>
                    </w:rPr>
                    <w:t>s</w:t>
                  </w:r>
                  <w:r w:rsidR="00370EF5">
                    <w:rPr>
                      <w:rFonts w:ascii="ITC Avant Garde" w:hAnsi="ITC Avant Garde"/>
                      <w:sz w:val="18"/>
                      <w:szCs w:val="18"/>
                    </w:rPr>
                    <w:t>olicitudes de resolución de desacuerdos de interconexión que se presenten anualmente ante el Instituto</w:t>
                  </w:r>
                  <w:r w:rsidR="00825715">
                    <w:rPr>
                      <w:rFonts w:ascii="ITC Avant Garde" w:hAnsi="ITC Avant Garde"/>
                      <w:sz w:val="18"/>
                      <w:szCs w:val="18"/>
                    </w:rPr>
                    <w:t xml:space="preserve">, </w:t>
                  </w:r>
                  <w:r w:rsidR="00370EF5">
                    <w:rPr>
                      <w:rFonts w:ascii="ITC Avant Garde" w:hAnsi="ITC Avant Garde"/>
                      <w:sz w:val="18"/>
                      <w:szCs w:val="18"/>
                    </w:rPr>
                    <w:t xml:space="preserve">a través de la Ventanilla Electrónica. </w:t>
                  </w:r>
                </w:p>
              </w:tc>
            </w:tr>
          </w:tbl>
          <w:p w:rsidR="00B91D01" w:rsidRPr="00DD06A0" w:rsidRDefault="00B91D01" w:rsidP="00225DA6">
            <w:pPr>
              <w:jc w:val="both"/>
              <w:rPr>
                <w:rFonts w:ascii="ITC Avant Garde" w:hAnsi="ITC Avant Garde"/>
                <w:b/>
                <w:sz w:val="18"/>
                <w:szCs w:val="18"/>
                <w:highlight w:val="yellow"/>
              </w:rPr>
            </w:pPr>
          </w:p>
          <w:p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4"/>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rsidTr="00B91D01">
              <w:trPr>
                <w:jc w:val="center"/>
              </w:trPr>
              <w:tc>
                <w:tcPr>
                  <w:tcW w:w="1867"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825715" w:rsidP="00825715">
                  <w:pPr>
                    <w:jc w:val="both"/>
                    <w:rPr>
                      <w:rFonts w:ascii="ITC Avant Garde" w:hAnsi="ITC Avant Garde"/>
                      <w:sz w:val="18"/>
                      <w:szCs w:val="18"/>
                    </w:rPr>
                  </w:pPr>
                  <w:r>
                    <w:rPr>
                      <w:rFonts w:ascii="ITC Avant Garde" w:hAnsi="ITC Avant Garde"/>
                      <w:sz w:val="18"/>
                      <w:szCs w:val="18"/>
                    </w:rPr>
                    <w:t xml:space="preserve">% de Solicitudes de resolución de </w:t>
                  </w:r>
                  <w:r>
                    <w:rPr>
                      <w:rFonts w:ascii="ITC Avant Garde" w:hAnsi="ITC Avant Garde"/>
                      <w:sz w:val="18"/>
                      <w:szCs w:val="18"/>
                    </w:rPr>
                    <w:lastRenderedPageBreak/>
                    <w:t>desacuerdos de interconexión que se sustanciaron y resolvieron de conformidad con los Lineamientos.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825715" w:rsidP="00225DA6">
                  <w:pPr>
                    <w:jc w:val="center"/>
                    <w:rPr>
                      <w:rFonts w:ascii="ITC Avant Garde" w:hAnsi="ITC Avant Garde"/>
                      <w:sz w:val="18"/>
                      <w:szCs w:val="18"/>
                    </w:rPr>
                  </w:pPr>
                  <w:r>
                    <w:rPr>
                      <w:rFonts w:ascii="ITC Avant Garde" w:hAnsi="ITC Avant Garde"/>
                      <w:sz w:val="18"/>
                      <w:szCs w:val="18"/>
                    </w:rPr>
                    <w:lastRenderedPageBreak/>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825715" w:rsidP="00825715">
                  <w:pPr>
                    <w:jc w:val="both"/>
                    <w:rPr>
                      <w:rFonts w:ascii="ITC Avant Garde" w:hAnsi="ITC Avant Garde"/>
                      <w:sz w:val="18"/>
                      <w:szCs w:val="18"/>
                    </w:rPr>
                  </w:pPr>
                  <w:r>
                    <w:rPr>
                      <w:rFonts w:ascii="ITC Avant Garde" w:hAnsi="ITC Avant Garde"/>
                      <w:sz w:val="18"/>
                      <w:szCs w:val="18"/>
                    </w:rPr>
                    <w:t xml:space="preserve">El indicador señalará el porcentaje de Solicitudes de resolución de desacuerdos de interconexión </w:t>
                  </w:r>
                  <w:r>
                    <w:rPr>
                      <w:rFonts w:ascii="ITC Avant Garde" w:hAnsi="ITC Avant Garde"/>
                      <w:sz w:val="18"/>
                      <w:szCs w:val="18"/>
                    </w:rPr>
                    <w:lastRenderedPageBreak/>
                    <w:t>que fueron sustanciadas y resueltas a través de la Ventanilla Electrónica.</w:t>
                  </w:r>
                </w:p>
              </w:tc>
            </w:tr>
          </w:tbl>
          <w:p w:rsidR="00B91D01" w:rsidRPr="00DD06A0" w:rsidRDefault="00B91D01" w:rsidP="00225DA6">
            <w:pPr>
              <w:jc w:val="both"/>
              <w:rPr>
                <w:rFonts w:ascii="ITC Avant Garde" w:hAnsi="ITC Avant Garde"/>
                <w:sz w:val="18"/>
                <w:szCs w:val="18"/>
              </w:rPr>
            </w:pPr>
          </w:p>
        </w:tc>
      </w:tr>
    </w:tbl>
    <w:p w:rsidR="002025CB" w:rsidRPr="00DD06A0" w:rsidRDefault="002025CB"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Pr>
          <w:p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5"/>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rsidTr="00225DA6">
              <w:trPr>
                <w:trHeight w:val="265"/>
              </w:trPr>
              <w:tc>
                <w:tcPr>
                  <w:tcW w:w="3137" w:type="dxa"/>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rsidR="00242CD9" w:rsidRPr="00DD06A0" w:rsidRDefault="00626C55" w:rsidP="00225DA6">
                      <w:pPr>
                        <w:jc w:val="both"/>
                        <w:rPr>
                          <w:rFonts w:ascii="ITC Avant Garde" w:hAnsi="ITC Avant Garde"/>
                          <w:sz w:val="18"/>
                          <w:szCs w:val="18"/>
                        </w:rPr>
                      </w:pPr>
                      <w:r w:rsidRPr="00F23B5B">
                        <w:rPr>
                          <w:rStyle w:val="Textodelmarcadordeposicin"/>
                        </w:rPr>
                        <w:t>Elija un elemento.</w:t>
                      </w:r>
                    </w:p>
                  </w:tc>
                </w:sdtContent>
              </w:sdt>
            </w:tr>
          </w:tbl>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rsidTr="007F0E3F">
              <w:tc>
                <w:tcPr>
                  <w:tcW w:w="2002"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rsidR="00242CD9" w:rsidRPr="00C447D9" w:rsidRDefault="00242CD9" w:rsidP="00225DA6">
                  <w:pPr>
                    <w:rPr>
                      <w:rFonts w:ascii="ITC Avant Garde" w:hAnsi="ITC Avant Garde"/>
                      <w:sz w:val="18"/>
                      <w:szCs w:val="18"/>
                      <w:highlight w:val="yellow"/>
                    </w:rPr>
                  </w:pPr>
                </w:p>
              </w:tc>
            </w:tr>
          </w:tbl>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r>
          </w:tbl>
          <w:p w:rsidR="00242CD9" w:rsidRPr="00DD06A0" w:rsidRDefault="00242CD9" w:rsidP="00225DA6">
            <w:pPr>
              <w:jc w:val="both"/>
              <w:rPr>
                <w:rFonts w:ascii="ITC Avant Garde" w:hAnsi="ITC Avant Garde"/>
                <w:sz w:val="18"/>
                <w:szCs w:val="18"/>
              </w:rPr>
            </w:pPr>
          </w:p>
          <w:p w:rsidR="00673EAE" w:rsidRPr="00DD06A0" w:rsidRDefault="00673EAE" w:rsidP="00225DA6">
            <w:pPr>
              <w:jc w:val="both"/>
              <w:rPr>
                <w:rFonts w:ascii="ITC Avant Garde" w:hAnsi="ITC Avant Garde"/>
                <w:sz w:val="18"/>
                <w:szCs w:val="18"/>
              </w:rPr>
            </w:pPr>
          </w:p>
        </w:tc>
      </w:tr>
    </w:tbl>
    <w:p w:rsidR="00242CD9" w:rsidRPr="00DD06A0" w:rsidRDefault="00242CD9"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Borders>
              <w:bottom w:val="single" w:sz="4" w:space="0" w:color="auto"/>
            </w:tcBorders>
          </w:tcPr>
          <w:p w:rsidR="00242CD9"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rsidR="00A1296A" w:rsidRDefault="00A1296A" w:rsidP="00CA6005">
            <w:pPr>
              <w:jc w:val="both"/>
              <w:rPr>
                <w:rFonts w:ascii="ITC Avant Garde" w:hAnsi="ITC Avant Garde"/>
                <w:b/>
                <w:sz w:val="18"/>
                <w:szCs w:val="18"/>
              </w:rPr>
            </w:pPr>
          </w:p>
          <w:p w:rsidR="00CA6005" w:rsidRPr="00A1296A" w:rsidRDefault="003721A6" w:rsidP="00A1296A">
            <w:pPr>
              <w:pStyle w:val="Prrafodelista"/>
              <w:numPr>
                <w:ilvl w:val="0"/>
                <w:numId w:val="24"/>
              </w:numPr>
              <w:jc w:val="both"/>
              <w:rPr>
                <w:rFonts w:ascii="ITC Avant Garde" w:hAnsi="ITC Avant Garde"/>
                <w:color w:val="000000"/>
                <w:sz w:val="18"/>
                <w:szCs w:val="18"/>
                <w:shd w:val="clear" w:color="auto" w:fill="FFFFFF"/>
              </w:rPr>
            </w:pPr>
            <w:hyperlink r:id="rId27" w:history="1">
              <w:r w:rsidR="00CA6005" w:rsidRPr="00A1296A">
                <w:rPr>
                  <w:rFonts w:ascii="ITC Avant Garde" w:hAnsi="ITC Avant Garde"/>
                  <w:color w:val="000000"/>
                  <w:sz w:val="18"/>
                  <w:szCs w:val="18"/>
                  <w:shd w:val="clear" w:color="auto" w:fill="FFFFFF"/>
                </w:rPr>
                <w:t>https://sede.cnmc.gob.es/tramites/telecomunicaciones/procedimientos-especiales-de-telecomunicaciones</w:t>
              </w:r>
            </w:hyperlink>
            <w:r w:rsidR="00A1296A" w:rsidRPr="00A1296A">
              <w:rPr>
                <w:rFonts w:ascii="ITC Avant Garde" w:hAnsi="ITC Avant Garde"/>
                <w:color w:val="000000"/>
                <w:sz w:val="18"/>
                <w:szCs w:val="18"/>
                <w:shd w:val="clear" w:color="auto" w:fill="FFFFFF"/>
              </w:rPr>
              <w:t xml:space="preserve"> </w:t>
            </w:r>
          </w:p>
          <w:p w:rsidR="00CA6005" w:rsidRPr="00177421" w:rsidRDefault="00CA6005" w:rsidP="00CA6005">
            <w:pPr>
              <w:jc w:val="both"/>
              <w:rPr>
                <w:rFonts w:ascii="ITC Avant Garde" w:hAnsi="ITC Avant Garde"/>
                <w:color w:val="000000"/>
                <w:sz w:val="18"/>
                <w:szCs w:val="18"/>
                <w:shd w:val="clear" w:color="auto" w:fill="FFFFFF"/>
              </w:rPr>
            </w:pPr>
          </w:p>
          <w:p w:rsidR="00A1296A" w:rsidRPr="00A1296A" w:rsidRDefault="003721A6" w:rsidP="00A1296A">
            <w:pPr>
              <w:pStyle w:val="Prrafodelista"/>
              <w:numPr>
                <w:ilvl w:val="0"/>
                <w:numId w:val="24"/>
              </w:numPr>
              <w:jc w:val="both"/>
              <w:rPr>
                <w:rFonts w:ascii="ITC Avant Garde" w:hAnsi="ITC Avant Garde"/>
                <w:color w:val="000000"/>
                <w:sz w:val="18"/>
                <w:szCs w:val="18"/>
                <w:shd w:val="clear" w:color="auto" w:fill="FFFFFF"/>
              </w:rPr>
            </w:pPr>
            <w:hyperlink r:id="rId28" w:history="1">
              <w:r w:rsidR="00CA6005" w:rsidRPr="00A1296A">
                <w:rPr>
                  <w:rFonts w:ascii="ITC Avant Garde" w:hAnsi="ITC Avant Garde"/>
                  <w:color w:val="000000"/>
                  <w:sz w:val="18"/>
                  <w:szCs w:val="18"/>
                  <w:shd w:val="clear" w:color="auto" w:fill="FFFFFF"/>
                </w:rPr>
                <w:t>https://sede.cnmc.gob.es/informacion-y-normativa</w:t>
              </w:r>
            </w:hyperlink>
            <w:r w:rsidR="00A1296A" w:rsidRPr="00A1296A">
              <w:rPr>
                <w:rFonts w:ascii="ITC Avant Garde" w:hAnsi="ITC Avant Garde"/>
                <w:color w:val="000000"/>
                <w:sz w:val="18"/>
                <w:szCs w:val="18"/>
                <w:shd w:val="clear" w:color="auto" w:fill="FFFFFF"/>
              </w:rPr>
              <w:t xml:space="preserve">  </w:t>
            </w:r>
          </w:p>
          <w:p w:rsidR="00CA6005" w:rsidRPr="00177421" w:rsidRDefault="00CA6005" w:rsidP="00CA6005">
            <w:pPr>
              <w:jc w:val="both"/>
              <w:rPr>
                <w:rFonts w:ascii="ITC Avant Garde" w:hAnsi="ITC Avant Garde"/>
                <w:color w:val="000000"/>
                <w:sz w:val="18"/>
                <w:szCs w:val="18"/>
                <w:shd w:val="clear" w:color="auto" w:fill="FFFFFF"/>
              </w:rPr>
            </w:pPr>
          </w:p>
          <w:p w:rsidR="00CA6005" w:rsidRPr="00A1296A" w:rsidRDefault="003721A6" w:rsidP="00A1296A">
            <w:pPr>
              <w:pStyle w:val="Prrafodelista"/>
              <w:numPr>
                <w:ilvl w:val="0"/>
                <w:numId w:val="24"/>
              </w:numPr>
              <w:jc w:val="both"/>
              <w:rPr>
                <w:rFonts w:ascii="ITC Avant Garde" w:hAnsi="ITC Avant Garde"/>
                <w:color w:val="000000"/>
                <w:sz w:val="18"/>
                <w:szCs w:val="18"/>
                <w:shd w:val="clear" w:color="auto" w:fill="FFFFFF"/>
              </w:rPr>
            </w:pPr>
            <w:hyperlink r:id="rId29" w:history="1">
              <w:r w:rsidR="00CA6005" w:rsidRPr="00A1296A">
                <w:rPr>
                  <w:rStyle w:val="Hipervnculo"/>
                  <w:rFonts w:ascii="ITC Avant Garde" w:hAnsi="ITC Avant Garde"/>
                  <w:sz w:val="18"/>
                  <w:szCs w:val="18"/>
                  <w:shd w:val="clear" w:color="auto" w:fill="FFFFFF"/>
                </w:rPr>
                <w:t>https://sede.cnmc.gob.es/sites/default/files/2017-12/20171004%20Resoluci%C3%B3n%20REGISTRO.PDF</w:t>
              </w:r>
            </w:hyperlink>
          </w:p>
          <w:p w:rsidR="00CA6005" w:rsidRPr="00177421" w:rsidRDefault="00CA6005" w:rsidP="00CA6005">
            <w:pPr>
              <w:jc w:val="both"/>
              <w:rPr>
                <w:rFonts w:ascii="ITC Avant Garde" w:hAnsi="ITC Avant Garde"/>
                <w:color w:val="000000"/>
                <w:sz w:val="18"/>
                <w:szCs w:val="18"/>
                <w:shd w:val="clear" w:color="auto" w:fill="FFFFFF"/>
              </w:rPr>
            </w:pPr>
          </w:p>
          <w:p w:rsidR="00CA6005" w:rsidRPr="00A1296A" w:rsidRDefault="003721A6" w:rsidP="00A1296A">
            <w:pPr>
              <w:pStyle w:val="Prrafodelista"/>
              <w:numPr>
                <w:ilvl w:val="0"/>
                <w:numId w:val="24"/>
              </w:numPr>
              <w:jc w:val="both"/>
              <w:rPr>
                <w:rFonts w:ascii="ITC Avant Garde" w:hAnsi="ITC Avant Garde"/>
                <w:color w:val="000000"/>
                <w:sz w:val="18"/>
                <w:szCs w:val="18"/>
                <w:shd w:val="clear" w:color="auto" w:fill="FFFFFF"/>
              </w:rPr>
            </w:pPr>
            <w:hyperlink r:id="rId30" w:history="1">
              <w:r w:rsidR="00CA6005" w:rsidRPr="00A1296A">
                <w:rPr>
                  <w:rFonts w:ascii="ITC Avant Garde" w:hAnsi="ITC Avant Garde"/>
                  <w:color w:val="000000"/>
                  <w:sz w:val="18"/>
                  <w:szCs w:val="18"/>
                  <w:shd w:val="clear" w:color="auto" w:fill="FFFFFF"/>
                </w:rPr>
                <w:t>https://www.boe.es/buscar/pdf/2014/BOE-A-2014-4950-consolidado.pdf</w:t>
              </w:r>
            </w:hyperlink>
          </w:p>
          <w:p w:rsidR="00CA6005" w:rsidRPr="00177421" w:rsidRDefault="00CA6005" w:rsidP="00CA6005">
            <w:pPr>
              <w:jc w:val="both"/>
              <w:rPr>
                <w:rFonts w:ascii="ITC Avant Garde" w:hAnsi="ITC Avant Garde"/>
                <w:color w:val="000000"/>
                <w:sz w:val="18"/>
                <w:szCs w:val="18"/>
                <w:shd w:val="clear" w:color="auto" w:fill="FFFFFF"/>
              </w:rPr>
            </w:pPr>
          </w:p>
          <w:p w:rsidR="00CA6005" w:rsidRPr="00A1296A" w:rsidRDefault="003721A6" w:rsidP="00A1296A">
            <w:pPr>
              <w:pStyle w:val="Prrafodelista"/>
              <w:numPr>
                <w:ilvl w:val="0"/>
                <w:numId w:val="24"/>
              </w:numPr>
              <w:jc w:val="both"/>
              <w:rPr>
                <w:rFonts w:ascii="ITC Avant Garde" w:hAnsi="ITC Avant Garde"/>
                <w:color w:val="000000"/>
                <w:sz w:val="18"/>
                <w:szCs w:val="18"/>
                <w:shd w:val="clear" w:color="auto" w:fill="FFFFFF"/>
              </w:rPr>
            </w:pPr>
            <w:hyperlink r:id="rId31" w:history="1">
              <w:r w:rsidR="00CA6005" w:rsidRPr="00A1296A">
                <w:rPr>
                  <w:rFonts w:ascii="ITC Avant Garde" w:hAnsi="ITC Avant Garde"/>
                  <w:color w:val="000000"/>
                  <w:sz w:val="18"/>
                  <w:szCs w:val="18"/>
                  <w:shd w:val="clear" w:color="auto" w:fill="FFFFFF"/>
                </w:rPr>
                <w:t>https://www.boe.es/diario_boe/txt.php?id=BOE-A-2016-9126</w:t>
              </w:r>
            </w:hyperlink>
          </w:p>
          <w:p w:rsidR="00CA6005" w:rsidRPr="00177421" w:rsidRDefault="00CA6005" w:rsidP="00CA6005">
            <w:pPr>
              <w:jc w:val="both"/>
              <w:rPr>
                <w:rFonts w:ascii="ITC Avant Garde" w:hAnsi="ITC Avant Garde"/>
                <w:color w:val="000000"/>
                <w:sz w:val="18"/>
                <w:szCs w:val="18"/>
                <w:shd w:val="clear" w:color="auto" w:fill="FFFFFF"/>
              </w:rPr>
            </w:pPr>
          </w:p>
          <w:p w:rsidR="00CA6005" w:rsidRPr="00A1296A" w:rsidRDefault="003721A6" w:rsidP="00A1296A">
            <w:pPr>
              <w:pStyle w:val="Prrafodelista"/>
              <w:numPr>
                <w:ilvl w:val="0"/>
                <w:numId w:val="24"/>
              </w:numPr>
              <w:jc w:val="both"/>
              <w:rPr>
                <w:rFonts w:ascii="ITC Avant Garde" w:hAnsi="ITC Avant Garde"/>
                <w:color w:val="000000"/>
                <w:sz w:val="18"/>
                <w:szCs w:val="18"/>
                <w:shd w:val="clear" w:color="auto" w:fill="FFFFFF"/>
              </w:rPr>
            </w:pPr>
            <w:hyperlink r:id="rId32" w:history="1">
              <w:r w:rsidR="00CA6005" w:rsidRPr="00A1296A">
                <w:rPr>
                  <w:rFonts w:ascii="ITC Avant Garde" w:hAnsi="ITC Avant Garde"/>
                  <w:color w:val="000000"/>
                  <w:sz w:val="18"/>
                  <w:szCs w:val="18"/>
                  <w:shd w:val="clear" w:color="auto" w:fill="FFFFFF"/>
                </w:rPr>
                <w:t>https://www.boe.es/eli/es/res/2013/11/08/(2)</w:t>
              </w:r>
            </w:hyperlink>
          </w:p>
          <w:p w:rsidR="00CA6005" w:rsidRPr="00177421" w:rsidRDefault="00CA6005" w:rsidP="00CA6005">
            <w:pPr>
              <w:jc w:val="both"/>
              <w:rPr>
                <w:rFonts w:ascii="ITC Avant Garde" w:hAnsi="ITC Avant Garde"/>
                <w:color w:val="000000"/>
                <w:sz w:val="18"/>
                <w:szCs w:val="18"/>
                <w:shd w:val="clear" w:color="auto" w:fill="FFFFFF"/>
              </w:rPr>
            </w:pPr>
          </w:p>
          <w:p w:rsidR="00CA6005" w:rsidRPr="00A1296A" w:rsidRDefault="003721A6" w:rsidP="00A1296A">
            <w:pPr>
              <w:pStyle w:val="Prrafodelista"/>
              <w:numPr>
                <w:ilvl w:val="0"/>
                <w:numId w:val="24"/>
              </w:numPr>
              <w:jc w:val="both"/>
              <w:rPr>
                <w:rFonts w:ascii="ITC Avant Garde" w:hAnsi="ITC Avant Garde"/>
                <w:color w:val="000000"/>
                <w:sz w:val="18"/>
                <w:szCs w:val="18"/>
                <w:shd w:val="clear" w:color="auto" w:fill="FFFFFF"/>
              </w:rPr>
            </w:pPr>
            <w:hyperlink r:id="rId33" w:history="1">
              <w:r w:rsidR="00CA6005" w:rsidRPr="00A1296A">
                <w:rPr>
                  <w:rFonts w:ascii="ITC Avant Garde" w:hAnsi="ITC Avant Garde"/>
                  <w:color w:val="000000"/>
                  <w:sz w:val="18"/>
                  <w:szCs w:val="18"/>
                  <w:shd w:val="clear" w:color="auto" w:fill="FFFFFF"/>
                </w:rPr>
                <w:t>https://www.boe.es/boe/dias/2009/02/05/pdfs/BOE-A-2009-1962.pdf</w:t>
              </w:r>
            </w:hyperlink>
          </w:p>
          <w:p w:rsidR="00CA6005" w:rsidRPr="00177421" w:rsidRDefault="00CA6005" w:rsidP="00CA6005">
            <w:pPr>
              <w:jc w:val="both"/>
              <w:rPr>
                <w:rFonts w:ascii="ITC Avant Garde" w:hAnsi="ITC Avant Garde"/>
                <w:color w:val="000000"/>
                <w:sz w:val="18"/>
                <w:szCs w:val="18"/>
                <w:shd w:val="clear" w:color="auto" w:fill="FFFFFF"/>
              </w:rPr>
            </w:pPr>
          </w:p>
          <w:p w:rsidR="00CA6005" w:rsidRPr="00A1296A" w:rsidRDefault="003721A6" w:rsidP="00A1296A">
            <w:pPr>
              <w:pStyle w:val="Prrafodelista"/>
              <w:numPr>
                <w:ilvl w:val="0"/>
                <w:numId w:val="24"/>
              </w:numPr>
              <w:jc w:val="both"/>
              <w:rPr>
                <w:rFonts w:ascii="ITC Avant Garde" w:hAnsi="ITC Avant Garde"/>
                <w:color w:val="000000"/>
                <w:sz w:val="18"/>
                <w:szCs w:val="18"/>
                <w:shd w:val="clear" w:color="auto" w:fill="FFFFFF"/>
              </w:rPr>
            </w:pPr>
            <w:hyperlink r:id="rId34" w:history="1">
              <w:r w:rsidR="00CA6005" w:rsidRPr="00A1296A">
                <w:rPr>
                  <w:rFonts w:ascii="ITC Avant Garde" w:hAnsi="ITC Avant Garde"/>
                  <w:color w:val="000000"/>
                  <w:sz w:val="18"/>
                  <w:szCs w:val="18"/>
                  <w:shd w:val="clear" w:color="auto" w:fill="FFFFFF"/>
                </w:rPr>
                <w:t>https://boe.es/buscar/act.php?id=BOE-A-2015-10565</w:t>
              </w:r>
            </w:hyperlink>
          </w:p>
          <w:p w:rsidR="00CA6005" w:rsidRPr="00177421" w:rsidRDefault="00CA6005" w:rsidP="00CA6005">
            <w:pPr>
              <w:jc w:val="both"/>
              <w:rPr>
                <w:rFonts w:ascii="ITC Avant Garde" w:hAnsi="ITC Avant Garde"/>
                <w:color w:val="000000"/>
                <w:sz w:val="18"/>
                <w:szCs w:val="18"/>
                <w:shd w:val="clear" w:color="auto" w:fill="FFFFFF"/>
              </w:rPr>
            </w:pPr>
          </w:p>
          <w:p w:rsidR="00CA6005" w:rsidRPr="00A1296A" w:rsidRDefault="003721A6" w:rsidP="00A1296A">
            <w:pPr>
              <w:pStyle w:val="Prrafodelista"/>
              <w:numPr>
                <w:ilvl w:val="0"/>
                <w:numId w:val="24"/>
              </w:numPr>
              <w:jc w:val="both"/>
              <w:rPr>
                <w:rFonts w:ascii="ITC Avant Garde" w:hAnsi="ITC Avant Garde"/>
                <w:color w:val="000000"/>
                <w:sz w:val="18"/>
                <w:szCs w:val="18"/>
                <w:shd w:val="clear" w:color="auto" w:fill="FFFFFF"/>
              </w:rPr>
            </w:pPr>
            <w:hyperlink r:id="rId35" w:history="1">
              <w:r w:rsidR="00CA6005" w:rsidRPr="00A1296A">
                <w:rPr>
                  <w:rFonts w:ascii="ITC Avant Garde" w:hAnsi="ITC Avant Garde"/>
                  <w:color w:val="000000"/>
                  <w:sz w:val="18"/>
                  <w:szCs w:val="18"/>
                  <w:shd w:val="clear" w:color="auto" w:fill="FFFFFF"/>
                </w:rPr>
                <w:t>https://www.boe.es/buscar/act.php?id=BOE-A-2010-1331</w:t>
              </w:r>
            </w:hyperlink>
          </w:p>
          <w:p w:rsidR="00CA6005" w:rsidRPr="00177421" w:rsidRDefault="00CA6005" w:rsidP="00CA6005">
            <w:pPr>
              <w:jc w:val="both"/>
              <w:rPr>
                <w:rFonts w:ascii="ITC Avant Garde" w:hAnsi="ITC Avant Garde"/>
                <w:color w:val="000000"/>
                <w:sz w:val="18"/>
                <w:szCs w:val="18"/>
                <w:shd w:val="clear" w:color="auto" w:fill="FFFFFF"/>
              </w:rPr>
            </w:pPr>
          </w:p>
          <w:p w:rsidR="00CA6005" w:rsidRPr="00A1296A" w:rsidRDefault="003721A6" w:rsidP="00A1296A">
            <w:pPr>
              <w:pStyle w:val="Prrafodelista"/>
              <w:numPr>
                <w:ilvl w:val="0"/>
                <w:numId w:val="24"/>
              </w:numPr>
              <w:jc w:val="both"/>
              <w:rPr>
                <w:rFonts w:ascii="ITC Avant Garde" w:hAnsi="ITC Avant Garde"/>
                <w:color w:val="000000"/>
                <w:sz w:val="18"/>
                <w:szCs w:val="18"/>
                <w:shd w:val="clear" w:color="auto" w:fill="FFFFFF"/>
              </w:rPr>
            </w:pPr>
            <w:hyperlink r:id="rId36" w:history="1">
              <w:r w:rsidR="00CA6005" w:rsidRPr="00A1296A">
                <w:rPr>
                  <w:rFonts w:ascii="ITC Avant Garde" w:hAnsi="ITC Avant Garde"/>
                  <w:color w:val="000000"/>
                  <w:sz w:val="18"/>
                  <w:szCs w:val="18"/>
                  <w:shd w:val="clear" w:color="auto" w:fill="FFFFFF"/>
                </w:rPr>
                <w:t>https://www.boe.es/buscar/act.php?id=BOE-A-2010-1330</w:t>
              </w:r>
            </w:hyperlink>
          </w:p>
          <w:p w:rsidR="00CA6005" w:rsidRPr="00177421" w:rsidRDefault="00CA6005" w:rsidP="00CA6005">
            <w:pPr>
              <w:jc w:val="both"/>
              <w:rPr>
                <w:rFonts w:ascii="ITC Avant Garde" w:hAnsi="ITC Avant Garde"/>
                <w:color w:val="000000"/>
                <w:sz w:val="18"/>
                <w:szCs w:val="18"/>
                <w:shd w:val="clear" w:color="auto" w:fill="FFFFFF"/>
              </w:rPr>
            </w:pPr>
          </w:p>
          <w:p w:rsidR="00CA6005" w:rsidRPr="00A1296A" w:rsidRDefault="003721A6" w:rsidP="00A1296A">
            <w:pPr>
              <w:pStyle w:val="Prrafodelista"/>
              <w:numPr>
                <w:ilvl w:val="0"/>
                <w:numId w:val="24"/>
              </w:numPr>
              <w:jc w:val="both"/>
              <w:rPr>
                <w:rFonts w:ascii="ITC Avant Garde" w:hAnsi="ITC Avant Garde"/>
                <w:color w:val="000000"/>
                <w:sz w:val="18"/>
                <w:szCs w:val="18"/>
                <w:shd w:val="clear" w:color="auto" w:fill="FFFFFF"/>
              </w:rPr>
            </w:pPr>
            <w:hyperlink r:id="rId37" w:history="1">
              <w:r w:rsidR="00CA6005" w:rsidRPr="00A1296A">
                <w:rPr>
                  <w:rFonts w:ascii="ITC Avant Garde" w:hAnsi="ITC Avant Garde"/>
                  <w:color w:val="000000"/>
                  <w:sz w:val="18"/>
                  <w:szCs w:val="18"/>
                  <w:shd w:val="clear" w:color="auto" w:fill="FFFFFF"/>
                </w:rPr>
                <w:t>https://www.boe.es/buscar/act.php?id=BOE-A-2009-18358</w:t>
              </w:r>
            </w:hyperlink>
          </w:p>
          <w:p w:rsidR="00CA6005" w:rsidRPr="00177421" w:rsidRDefault="00CA6005" w:rsidP="00CA6005">
            <w:pPr>
              <w:jc w:val="both"/>
              <w:rPr>
                <w:rFonts w:ascii="ITC Avant Garde" w:hAnsi="ITC Avant Garde"/>
                <w:color w:val="000000"/>
                <w:sz w:val="18"/>
                <w:szCs w:val="18"/>
                <w:shd w:val="clear" w:color="auto" w:fill="FFFFFF"/>
              </w:rPr>
            </w:pPr>
          </w:p>
          <w:p w:rsidR="00CA6005" w:rsidRPr="00A1296A" w:rsidRDefault="003721A6" w:rsidP="00A1296A">
            <w:pPr>
              <w:pStyle w:val="Prrafodelista"/>
              <w:numPr>
                <w:ilvl w:val="0"/>
                <w:numId w:val="24"/>
              </w:numPr>
              <w:rPr>
                <w:rFonts w:ascii="ITC Avant Garde" w:hAnsi="ITC Avant Garde"/>
                <w:color w:val="000000"/>
                <w:sz w:val="18"/>
                <w:szCs w:val="18"/>
                <w:shd w:val="clear" w:color="auto" w:fill="FFFFFF"/>
              </w:rPr>
            </w:pPr>
            <w:hyperlink r:id="rId38" w:history="1">
              <w:r w:rsidR="00CA6005" w:rsidRPr="00A1296A">
                <w:rPr>
                  <w:rFonts w:ascii="ITC Avant Garde" w:hAnsi="ITC Avant Garde"/>
                  <w:color w:val="000000"/>
                  <w:sz w:val="18"/>
                  <w:szCs w:val="18"/>
                  <w:shd w:val="clear" w:color="auto" w:fill="FFFFFF"/>
                </w:rPr>
                <w:t>https://www.cnmc.es/sites/default/files/2018-06-18_Resolucion_Pol%C3%ADtica_de_Seguridad_de_la_Informaci%C3%B3n.pdf</w:t>
              </w:r>
            </w:hyperlink>
          </w:p>
          <w:p w:rsidR="00A1296A" w:rsidRDefault="00A1296A" w:rsidP="00CA6005">
            <w:pPr>
              <w:ind w:left="-21"/>
              <w:rPr>
                <w:rFonts w:ascii="ITC Avant Garde" w:hAnsi="ITC Avant Garde"/>
                <w:color w:val="000000"/>
                <w:sz w:val="18"/>
                <w:szCs w:val="18"/>
                <w:shd w:val="clear" w:color="auto" w:fill="FFFFFF"/>
              </w:rPr>
            </w:pPr>
          </w:p>
          <w:p w:rsidR="00A1296A" w:rsidRPr="00A1296A" w:rsidRDefault="00A1296A" w:rsidP="00A1296A">
            <w:pPr>
              <w:pStyle w:val="Prrafodelista"/>
              <w:numPr>
                <w:ilvl w:val="0"/>
                <w:numId w:val="24"/>
              </w:numPr>
              <w:rPr>
                <w:rFonts w:ascii="ITC Avant Garde" w:hAnsi="ITC Avant Garde"/>
                <w:bCs/>
                <w:sz w:val="18"/>
                <w:szCs w:val="18"/>
              </w:rPr>
            </w:pPr>
            <w:r w:rsidRPr="00A1296A">
              <w:rPr>
                <w:rFonts w:ascii="ITC Avant Garde" w:hAnsi="ITC Avant Garde"/>
                <w:bCs/>
                <w:sz w:val="18"/>
                <w:szCs w:val="18"/>
              </w:rPr>
              <w:t>Resolución 226/15 / CONS</w:t>
            </w:r>
          </w:p>
          <w:p w:rsidR="00A1296A" w:rsidRDefault="00A1296A" w:rsidP="00CA6005">
            <w:pPr>
              <w:ind w:left="-21"/>
              <w:rPr>
                <w:rFonts w:ascii="ITC Avant Garde" w:hAnsi="ITC Avant Garde"/>
                <w:bCs/>
                <w:sz w:val="18"/>
                <w:szCs w:val="18"/>
              </w:rPr>
            </w:pPr>
          </w:p>
          <w:p w:rsidR="00A1296A" w:rsidRDefault="003721A6" w:rsidP="00A1296A">
            <w:pPr>
              <w:ind w:left="740"/>
              <w:rPr>
                <w:rFonts w:ascii="ITC Avant Garde" w:hAnsi="ITC Avant Garde"/>
                <w:bCs/>
                <w:sz w:val="18"/>
                <w:szCs w:val="18"/>
              </w:rPr>
            </w:pPr>
            <w:hyperlink r:id="rId39" w:history="1">
              <w:r w:rsidR="00A1296A" w:rsidRPr="00A677FD">
                <w:rPr>
                  <w:rStyle w:val="Hipervnculo"/>
                  <w:rFonts w:ascii="ITC Avant Garde" w:hAnsi="ITC Avant Garde"/>
                  <w:bCs/>
                  <w:sz w:val="18"/>
                  <w:szCs w:val="18"/>
                </w:rPr>
                <w:t>https://www.agcom.it/documents/10179/1767948/Allegato+12-8-2015/94a518e6-c380-44a9-a9cb-e6a2f3adc642?version=1.0</w:t>
              </w:r>
            </w:hyperlink>
          </w:p>
          <w:p w:rsidR="00DD346C" w:rsidRDefault="00DD346C" w:rsidP="00DD346C">
            <w:pPr>
              <w:jc w:val="both"/>
              <w:rPr>
                <w:rFonts w:ascii="ITC Avant Garde" w:hAnsi="ITC Avant Garde"/>
                <w:sz w:val="18"/>
                <w:szCs w:val="18"/>
              </w:rPr>
            </w:pPr>
          </w:p>
          <w:p w:rsidR="00DD346C" w:rsidRPr="00A1296A" w:rsidRDefault="00DD346C" w:rsidP="00A1296A">
            <w:pPr>
              <w:pStyle w:val="Prrafodelista"/>
              <w:numPr>
                <w:ilvl w:val="0"/>
                <w:numId w:val="25"/>
              </w:numPr>
              <w:jc w:val="both"/>
              <w:rPr>
                <w:rFonts w:ascii="ITC Avant Garde" w:hAnsi="ITC Avant Garde"/>
                <w:sz w:val="18"/>
                <w:szCs w:val="18"/>
              </w:rPr>
            </w:pPr>
            <w:r w:rsidRPr="005C4A39">
              <w:rPr>
                <w:rFonts w:ascii="ITC Avant Garde" w:hAnsi="ITC Avant Garde"/>
                <w:sz w:val="18"/>
                <w:szCs w:val="18"/>
                <w:lang w:val="en-US"/>
              </w:rPr>
              <w:t xml:space="preserve">Motta Massimo. (2004). “Competition Policy: Theory and Practice”. </w:t>
            </w:r>
            <w:r w:rsidRPr="00A1296A">
              <w:rPr>
                <w:rFonts w:ascii="ITC Avant Garde" w:hAnsi="ITC Avant Garde"/>
                <w:sz w:val="18"/>
                <w:szCs w:val="18"/>
              </w:rPr>
              <w:t xml:space="preserve">Edt. Cambridge press. </w:t>
            </w:r>
          </w:p>
          <w:p w:rsidR="00DD346C" w:rsidRDefault="00DD346C" w:rsidP="00DD346C">
            <w:pPr>
              <w:jc w:val="both"/>
              <w:rPr>
                <w:rFonts w:ascii="ITC Avant Garde" w:hAnsi="ITC Avant Garde"/>
                <w:sz w:val="18"/>
                <w:szCs w:val="18"/>
              </w:rPr>
            </w:pPr>
          </w:p>
          <w:p w:rsidR="00DD346C" w:rsidRPr="005C4A39" w:rsidRDefault="00DD346C" w:rsidP="00A1296A">
            <w:pPr>
              <w:pStyle w:val="Prrafodelista"/>
              <w:numPr>
                <w:ilvl w:val="0"/>
                <w:numId w:val="25"/>
              </w:numPr>
              <w:jc w:val="both"/>
              <w:rPr>
                <w:rFonts w:ascii="ITC Avant Garde" w:hAnsi="ITC Avant Garde"/>
                <w:sz w:val="18"/>
                <w:szCs w:val="18"/>
                <w:lang w:val="en-US"/>
              </w:rPr>
            </w:pPr>
            <w:r w:rsidRPr="005C4A39">
              <w:rPr>
                <w:rFonts w:ascii="ITC Avant Garde" w:hAnsi="ITC Avant Garde"/>
                <w:sz w:val="18"/>
                <w:szCs w:val="18"/>
                <w:lang w:val="en-US"/>
              </w:rPr>
              <w:t>Laffont Jean and Tirole Jean. (2001). “Competition in Telecommunications”. Edt. MIT press.</w:t>
            </w:r>
          </w:p>
          <w:p w:rsidR="00DD346C" w:rsidRPr="005C4A39" w:rsidRDefault="00DD346C" w:rsidP="00DD346C">
            <w:pPr>
              <w:jc w:val="both"/>
              <w:rPr>
                <w:rFonts w:ascii="ITC Avant Garde" w:hAnsi="ITC Avant Garde"/>
                <w:sz w:val="18"/>
                <w:szCs w:val="18"/>
                <w:lang w:val="en-US"/>
              </w:rPr>
            </w:pPr>
          </w:p>
          <w:p w:rsidR="0055683D" w:rsidRPr="00A1296A" w:rsidRDefault="00DD346C" w:rsidP="00A1296A">
            <w:pPr>
              <w:pStyle w:val="Prrafodelista"/>
              <w:numPr>
                <w:ilvl w:val="0"/>
                <w:numId w:val="25"/>
              </w:numPr>
              <w:jc w:val="both"/>
              <w:rPr>
                <w:rFonts w:ascii="ITC Avant Garde" w:hAnsi="ITC Avant Garde"/>
                <w:sz w:val="18"/>
                <w:szCs w:val="18"/>
              </w:rPr>
            </w:pPr>
            <w:r w:rsidRPr="00A1296A">
              <w:rPr>
                <w:rFonts w:ascii="ITC Avant Garde" w:hAnsi="ITC Avant Garde"/>
                <w:sz w:val="18"/>
                <w:szCs w:val="18"/>
              </w:rPr>
              <w:t>UIT, Grupo del Banco Mundial, (2000) “Manual de Reglamentación de la Telecomunicaciones”. Primera edición</w:t>
            </w:r>
          </w:p>
          <w:p w:rsidR="00242CD9" w:rsidRPr="00DD06A0" w:rsidRDefault="00242CD9" w:rsidP="0055683D">
            <w:pPr>
              <w:jc w:val="both"/>
              <w:rPr>
                <w:rFonts w:ascii="ITC Avant Garde" w:hAnsi="ITC Avant Garde"/>
                <w:sz w:val="18"/>
                <w:szCs w:val="18"/>
              </w:rPr>
            </w:pPr>
          </w:p>
        </w:tc>
      </w:tr>
      <w:tr w:rsidR="00242CD9" w:rsidRPr="00DD06A0" w:rsidTr="00225DA6">
        <w:tc>
          <w:tcPr>
            <w:tcW w:w="8828" w:type="dxa"/>
            <w:tcBorders>
              <w:top w:val="single" w:sz="4" w:space="0" w:color="auto"/>
              <w:left w:val="nil"/>
              <w:bottom w:val="nil"/>
              <w:right w:val="nil"/>
            </w:tcBorders>
          </w:tcPr>
          <w:p w:rsidR="00242CD9" w:rsidRPr="00DD06A0" w:rsidRDefault="00242CD9" w:rsidP="00225DA6">
            <w:pPr>
              <w:rPr>
                <w:rFonts w:ascii="ITC Avant Garde" w:hAnsi="ITC Avant Garde"/>
                <w:sz w:val="18"/>
                <w:szCs w:val="18"/>
              </w:rPr>
            </w:pPr>
          </w:p>
          <w:p w:rsidR="00242CD9" w:rsidRPr="00DD06A0" w:rsidRDefault="00242CD9" w:rsidP="00225DA6">
            <w:pPr>
              <w:rPr>
                <w:rFonts w:ascii="ITC Avant Garde" w:hAnsi="ITC Avant Garde"/>
                <w:sz w:val="18"/>
                <w:szCs w:val="18"/>
              </w:rPr>
            </w:pPr>
          </w:p>
        </w:tc>
      </w:tr>
    </w:tbl>
    <w:p w:rsidR="00242CD9" w:rsidRPr="00DD06A0" w:rsidRDefault="00242CD9">
      <w:pPr>
        <w:jc w:val="both"/>
        <w:rPr>
          <w:rFonts w:ascii="ITC Avant Garde" w:hAnsi="ITC Avant Garde"/>
          <w:sz w:val="18"/>
          <w:szCs w:val="18"/>
        </w:rPr>
      </w:pPr>
    </w:p>
    <w:sectPr w:rsidR="00242CD9" w:rsidRPr="00DD06A0">
      <w:headerReference w:type="default" r:id="rId40"/>
      <w:foot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A6" w:rsidRDefault="003721A6" w:rsidP="00501ADF">
      <w:pPr>
        <w:spacing w:after="0" w:line="240" w:lineRule="auto"/>
      </w:pPr>
      <w:r>
        <w:separator/>
      </w:r>
    </w:p>
  </w:endnote>
  <w:endnote w:type="continuationSeparator" w:id="0">
    <w:p w:rsidR="003721A6" w:rsidRDefault="003721A6" w:rsidP="00501ADF">
      <w:pPr>
        <w:spacing w:after="0" w:line="240" w:lineRule="auto"/>
      </w:pPr>
      <w:r>
        <w:continuationSeparator/>
      </w:r>
    </w:p>
  </w:endnote>
  <w:endnote w:type="continuationNotice" w:id="1">
    <w:p w:rsidR="003721A6" w:rsidRDefault="00372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144C0C" w:rsidRPr="00CD4362" w:rsidRDefault="00144C0C"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B16C4B">
              <w:rPr>
                <w:rFonts w:asciiTheme="majorHAnsi" w:hAnsiTheme="majorHAnsi"/>
                <w:b/>
                <w:bCs/>
                <w:noProof/>
                <w:sz w:val="18"/>
                <w:szCs w:val="18"/>
              </w:rPr>
              <w:t>22</w:t>
            </w:r>
            <w:r w:rsidRPr="003466D4">
              <w:rPr>
                <w:rFonts w:asciiTheme="majorHAnsi" w:hAnsiTheme="majorHAnsi"/>
                <w:b/>
                <w:bCs/>
                <w:sz w:val="18"/>
                <w:szCs w:val="18"/>
              </w:rPr>
              <w:fldChar w:fldCharType="end"/>
            </w:r>
          </w:p>
        </w:sdtContent>
      </w:sdt>
    </w:sdtContent>
  </w:sdt>
  <w:p w:rsidR="00144C0C" w:rsidRDefault="00144C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A6" w:rsidRDefault="003721A6" w:rsidP="00501ADF">
      <w:pPr>
        <w:spacing w:after="0" w:line="240" w:lineRule="auto"/>
      </w:pPr>
      <w:r>
        <w:separator/>
      </w:r>
    </w:p>
  </w:footnote>
  <w:footnote w:type="continuationSeparator" w:id="0">
    <w:p w:rsidR="003721A6" w:rsidRDefault="003721A6" w:rsidP="00501ADF">
      <w:pPr>
        <w:spacing w:after="0" w:line="240" w:lineRule="auto"/>
      </w:pPr>
      <w:r>
        <w:continuationSeparator/>
      </w:r>
    </w:p>
  </w:footnote>
  <w:footnote w:type="continuationNotice" w:id="1">
    <w:p w:rsidR="003721A6" w:rsidRDefault="003721A6">
      <w:pPr>
        <w:spacing w:after="0" w:line="240" w:lineRule="auto"/>
      </w:pPr>
    </w:p>
  </w:footnote>
  <w:footnote w:id="2">
    <w:p w:rsidR="00144C0C" w:rsidRPr="00DD06A0" w:rsidRDefault="00144C0C"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rsidR="00144C0C" w:rsidRPr="00DD06A0" w:rsidRDefault="00144C0C"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rsidR="00144C0C" w:rsidRPr="00C13B8E" w:rsidRDefault="00144C0C"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5">
    <w:p w:rsidR="00144C0C" w:rsidRPr="00C13B8E" w:rsidRDefault="00144C0C"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6">
    <w:p w:rsidR="00144C0C" w:rsidRPr="00A56905" w:rsidRDefault="00144C0C" w:rsidP="004217AB">
      <w:pPr>
        <w:pStyle w:val="Textonotapie"/>
        <w:jc w:val="both"/>
        <w:rPr>
          <w:rFonts w:ascii="ITC Avant Garde" w:hAnsi="ITC Avant Garde"/>
          <w:sz w:val="16"/>
          <w:szCs w:val="16"/>
        </w:rPr>
      </w:pPr>
      <w:r>
        <w:rPr>
          <w:rStyle w:val="Refdenotaalpie"/>
        </w:rPr>
        <w:footnoteRef/>
      </w:r>
      <w:r>
        <w:t xml:space="preserve"> </w:t>
      </w:r>
      <w:r w:rsidRPr="00A56905">
        <w:rPr>
          <w:rFonts w:ascii="ITC Avant Garde" w:hAnsi="ITC Avant Garde"/>
          <w:sz w:val="16"/>
          <w:szCs w:val="16"/>
        </w:rPr>
        <w:t>Para un análisis</w:t>
      </w:r>
      <w:r>
        <w:rPr>
          <w:rFonts w:ascii="ITC Avant Garde" w:hAnsi="ITC Avant Garde"/>
          <w:sz w:val="16"/>
          <w:szCs w:val="16"/>
        </w:rPr>
        <w:t xml:space="preserve"> más profundo</w:t>
      </w:r>
      <w:r w:rsidRPr="00A56905">
        <w:rPr>
          <w:rFonts w:ascii="ITC Avant Garde" w:hAnsi="ITC Avant Garde"/>
          <w:sz w:val="16"/>
          <w:szCs w:val="16"/>
        </w:rPr>
        <w:t xml:space="preserve"> de los efectos de la regulación y la competencia en los mercado</w:t>
      </w:r>
      <w:r>
        <w:rPr>
          <w:rFonts w:ascii="ITC Avant Garde" w:hAnsi="ITC Avant Garde"/>
          <w:sz w:val="16"/>
          <w:szCs w:val="16"/>
        </w:rPr>
        <w:t>s</w:t>
      </w:r>
      <w:r w:rsidRPr="00A56905">
        <w:rPr>
          <w:rFonts w:ascii="ITC Avant Garde" w:hAnsi="ITC Avant Garde"/>
          <w:sz w:val="16"/>
          <w:szCs w:val="16"/>
        </w:rPr>
        <w:t xml:space="preserve"> de telecomunicaciones puede consultarse:</w:t>
      </w:r>
    </w:p>
    <w:p w:rsidR="00144C0C" w:rsidRPr="00DD32FE" w:rsidRDefault="00144C0C" w:rsidP="004217AB">
      <w:pPr>
        <w:pStyle w:val="Textonotapie"/>
        <w:numPr>
          <w:ilvl w:val="0"/>
          <w:numId w:val="22"/>
        </w:numPr>
        <w:ind w:left="567"/>
        <w:jc w:val="both"/>
        <w:rPr>
          <w:rFonts w:ascii="ITC Avant Garde" w:hAnsi="ITC Avant Garde"/>
          <w:sz w:val="16"/>
          <w:szCs w:val="16"/>
        </w:rPr>
      </w:pPr>
      <w:r w:rsidRPr="001C7FEC">
        <w:rPr>
          <w:rFonts w:ascii="ITC Avant Garde" w:hAnsi="ITC Avant Garde"/>
          <w:sz w:val="16"/>
          <w:szCs w:val="16"/>
          <w:lang w:val="en-GB"/>
        </w:rPr>
        <w:t xml:space="preserve">Motta Massimo. (2004). “Competition Policy: Theory and Practice”. </w:t>
      </w:r>
      <w:r w:rsidRPr="00DD32FE">
        <w:rPr>
          <w:rFonts w:ascii="ITC Avant Garde" w:hAnsi="ITC Avant Garde"/>
          <w:sz w:val="16"/>
          <w:szCs w:val="16"/>
        </w:rPr>
        <w:t xml:space="preserve">Edt. Cambridge press. </w:t>
      </w:r>
    </w:p>
    <w:p w:rsidR="00144C0C" w:rsidRPr="001C7FEC" w:rsidRDefault="00144C0C" w:rsidP="004217AB">
      <w:pPr>
        <w:pStyle w:val="Textonotapie"/>
        <w:numPr>
          <w:ilvl w:val="0"/>
          <w:numId w:val="22"/>
        </w:numPr>
        <w:ind w:left="567"/>
        <w:jc w:val="both"/>
        <w:rPr>
          <w:rFonts w:ascii="ITC Avant Garde" w:hAnsi="ITC Avant Garde"/>
          <w:sz w:val="16"/>
          <w:szCs w:val="16"/>
          <w:lang w:val="en-GB"/>
        </w:rPr>
      </w:pPr>
      <w:r w:rsidRPr="001C7FEC">
        <w:rPr>
          <w:rFonts w:ascii="ITC Avant Garde" w:hAnsi="ITC Avant Garde"/>
          <w:sz w:val="16"/>
          <w:szCs w:val="16"/>
          <w:lang w:val="en-GB"/>
        </w:rPr>
        <w:t>Laffont Jean and Tirole Jean. (2001). “Competition in Telecommunications”. Edt. MIT press.</w:t>
      </w:r>
    </w:p>
    <w:p w:rsidR="00144C0C" w:rsidRPr="00977D7D" w:rsidRDefault="00144C0C" w:rsidP="004217AB">
      <w:pPr>
        <w:pStyle w:val="Textonotapie"/>
        <w:numPr>
          <w:ilvl w:val="0"/>
          <w:numId w:val="22"/>
        </w:numPr>
        <w:ind w:left="567"/>
        <w:jc w:val="both"/>
        <w:rPr>
          <w:rFonts w:ascii="ITC Avant Garde" w:hAnsi="ITC Avant Garde"/>
          <w:sz w:val="16"/>
          <w:szCs w:val="16"/>
        </w:rPr>
      </w:pPr>
      <w:r w:rsidRPr="00977D7D">
        <w:rPr>
          <w:rFonts w:ascii="ITC Avant Garde" w:hAnsi="ITC Avant Garde"/>
          <w:sz w:val="16"/>
          <w:szCs w:val="16"/>
        </w:rPr>
        <w:t>UIT, Grupo del Banco Mundial, (2000) “Manual de Reglamentación de la Telecomunicaciones”. Primera edición.</w:t>
      </w:r>
    </w:p>
  </w:footnote>
  <w:footnote w:id="7">
    <w:p w:rsidR="00144C0C" w:rsidRPr="00DD06A0" w:rsidRDefault="00144C0C">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144C0C" w:rsidRPr="00DD06A0" w:rsidRDefault="00144C0C">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144C0C" w:rsidRPr="00DD06A0" w:rsidRDefault="00144C0C">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144C0C" w:rsidRPr="00DD06A0" w:rsidRDefault="00144C0C">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144C0C" w:rsidRPr="00DD06A0" w:rsidRDefault="00144C0C"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rsidR="00144C0C" w:rsidRPr="00BD55E1" w:rsidRDefault="00144C0C" w:rsidP="00BD55E1">
      <w:pPr>
        <w:pStyle w:val="Textonotapie"/>
        <w:jc w:val="both"/>
        <w:rPr>
          <w:rFonts w:ascii="ITC Avant Garde" w:hAnsi="ITC Avant Garde"/>
          <w:sz w:val="16"/>
          <w:szCs w:val="16"/>
        </w:rPr>
      </w:pPr>
      <w:r>
        <w:rPr>
          <w:rStyle w:val="Refdenotaalpie"/>
        </w:rPr>
        <w:footnoteRef/>
      </w:r>
      <w:r>
        <w:t xml:space="preserve"> </w:t>
      </w:r>
      <w:r w:rsidRPr="00BD55E1">
        <w:rPr>
          <w:rFonts w:ascii="ITC Avant Garde" w:hAnsi="ITC Avant Garde"/>
          <w:sz w:val="16"/>
          <w:szCs w:val="16"/>
        </w:rPr>
        <w:t>Los cálculos corresponden a estimaciones realizadas con base en la información existente en los archivos del Instituto, por lo tanto, dichos costos son aproximados.</w:t>
      </w:r>
    </w:p>
  </w:footnote>
  <w:footnote w:id="9">
    <w:p w:rsidR="00144C0C" w:rsidRPr="00CF6087" w:rsidRDefault="00144C0C" w:rsidP="00CF6087">
      <w:pPr>
        <w:pStyle w:val="Textonotapie"/>
        <w:jc w:val="both"/>
        <w:rPr>
          <w:rFonts w:ascii="ITC Avant Garde" w:hAnsi="ITC Avant Garde"/>
          <w:sz w:val="16"/>
          <w:szCs w:val="16"/>
        </w:rPr>
      </w:pPr>
      <w:r>
        <w:rPr>
          <w:rStyle w:val="Refdenotaalpie"/>
        </w:rPr>
        <w:footnoteRef/>
      </w:r>
      <w:r>
        <w:t xml:space="preserve"> </w:t>
      </w:r>
      <w:r w:rsidRPr="00CF6087">
        <w:rPr>
          <w:rFonts w:ascii="ITC Avant Garde" w:hAnsi="ITC Avant Garde"/>
          <w:sz w:val="16"/>
          <w:szCs w:val="16"/>
        </w:rPr>
        <w:t xml:space="preserve">Se realiza la estimación de costos </w:t>
      </w:r>
      <w:r>
        <w:rPr>
          <w:rFonts w:ascii="ITC Avant Garde" w:hAnsi="ITC Avant Garde"/>
          <w:sz w:val="16"/>
          <w:szCs w:val="16"/>
        </w:rPr>
        <w:t xml:space="preserve">únicamente, </w:t>
      </w:r>
      <w:r w:rsidRPr="00CF6087">
        <w:rPr>
          <w:rFonts w:ascii="ITC Avant Garde" w:hAnsi="ITC Avant Garde"/>
          <w:sz w:val="16"/>
          <w:szCs w:val="16"/>
        </w:rPr>
        <w:t>respecto a la presentación de las Solicitudes de Desacuerdos de Interconexión por la vía tradicional, es decir, ante la Oficialía de partes del Instituto de manera física y/o presencial, asumiendo una totalidad de 304 solicitudes, calculadas con base en las presentadas en el año 2019.</w:t>
      </w:r>
    </w:p>
  </w:footnote>
  <w:footnote w:id="10">
    <w:p w:rsidR="00144C0C" w:rsidRPr="00CF6087" w:rsidRDefault="00144C0C" w:rsidP="00834965">
      <w:pPr>
        <w:pStyle w:val="Textonotapie"/>
        <w:jc w:val="both"/>
        <w:rPr>
          <w:rFonts w:ascii="ITC Avant Garde" w:hAnsi="ITC Avant Garde"/>
          <w:sz w:val="16"/>
          <w:szCs w:val="16"/>
        </w:rPr>
      </w:pPr>
      <w:r>
        <w:rPr>
          <w:rStyle w:val="Refdenotaalpie"/>
        </w:rPr>
        <w:footnoteRef/>
      </w:r>
      <w:r>
        <w:t xml:space="preserve"> </w:t>
      </w:r>
      <w:r w:rsidRPr="00CF6087">
        <w:rPr>
          <w:rFonts w:ascii="ITC Avant Garde" w:hAnsi="ITC Avant Garde"/>
          <w:sz w:val="16"/>
          <w:szCs w:val="16"/>
        </w:rPr>
        <w:t>Se estima el costo beneficio con la implementación del proyecto de regulación, esto es, a través de la utilización de medios electrónicos.</w:t>
      </w:r>
    </w:p>
  </w:footnote>
  <w:footnote w:id="11">
    <w:p w:rsidR="00144C0C" w:rsidRPr="00CF6087" w:rsidRDefault="00144C0C">
      <w:pPr>
        <w:pStyle w:val="Textonotapie"/>
        <w:rPr>
          <w:rFonts w:ascii="ITC Avant Garde" w:hAnsi="ITC Avant Garde"/>
          <w:sz w:val="16"/>
          <w:szCs w:val="16"/>
        </w:rPr>
      </w:pPr>
      <w:r>
        <w:rPr>
          <w:rStyle w:val="Refdenotaalpie"/>
        </w:rPr>
        <w:footnoteRef/>
      </w:r>
      <w:r>
        <w:t xml:space="preserve"> </w:t>
      </w:r>
      <w:r w:rsidRPr="00CF6087">
        <w:rPr>
          <w:rFonts w:ascii="ITC Avant Garde" w:hAnsi="ITC Avant Garde"/>
          <w:sz w:val="16"/>
          <w:szCs w:val="16"/>
        </w:rPr>
        <w:t>Se realiza al cálculo, considerando que, se presentan 304 solicitudes vía electrónica, en donde: i) se estima que la persona que ingresará la solicitud a través de la ventanilla electrónica invertirá una hora, a razón de $187.50 por concepto de salario.</w:t>
      </w:r>
    </w:p>
  </w:footnote>
  <w:footnote w:id="12">
    <w:p w:rsidR="00144C0C" w:rsidRPr="003C0A14" w:rsidRDefault="00144C0C" w:rsidP="003C0A14">
      <w:pPr>
        <w:pStyle w:val="Textonotapie"/>
        <w:jc w:val="both"/>
        <w:rPr>
          <w:rFonts w:ascii="ITC Avant Garde" w:hAnsi="ITC Avant Garde"/>
          <w:sz w:val="16"/>
          <w:szCs w:val="16"/>
        </w:rPr>
      </w:pPr>
      <w:r>
        <w:rPr>
          <w:rStyle w:val="Refdenotaalpie"/>
        </w:rPr>
        <w:footnoteRef/>
      </w:r>
      <w:r>
        <w:t xml:space="preserve"> </w:t>
      </w:r>
      <w:r w:rsidRPr="003C0A14">
        <w:rPr>
          <w:rFonts w:ascii="ITC Avant Garde" w:hAnsi="ITC Avant Garde"/>
          <w:sz w:val="16"/>
          <w:szCs w:val="16"/>
        </w:rPr>
        <w:t>Se realiza la estimación de costos considerando: i) el tiempo que invierte cada uno de los servidores públicos involucrados en el proceso, en función de su nivel jerárquico (Subdirector de área, Director de área</w:t>
      </w:r>
      <w:r>
        <w:t xml:space="preserve"> </w:t>
      </w:r>
      <w:r w:rsidRPr="003C0A14">
        <w:rPr>
          <w:rFonts w:ascii="ITC Avant Garde" w:hAnsi="ITC Avant Garde"/>
          <w:sz w:val="16"/>
          <w:szCs w:val="16"/>
        </w:rPr>
        <w:t>y Director</w:t>
      </w:r>
      <w:r>
        <w:t xml:space="preserve"> </w:t>
      </w:r>
      <w:r w:rsidRPr="003C0A14">
        <w:rPr>
          <w:rFonts w:ascii="ITC Avant Garde" w:hAnsi="ITC Avant Garde"/>
          <w:sz w:val="16"/>
          <w:szCs w:val="16"/>
        </w:rPr>
        <w:t xml:space="preserve">General) a razón del costo por hora de trabajo, ii) el costo por insumos de papelería calculado a razón de $10.00 pesos M.N por la totalidad de acuerdos emitidos, incluyendo lo necesario para la notificación correspondiente (3644 actuaciones, considerando las 304 solicitudes ingresadas en 2019) y, iii)  el costo por cada una de las notificaciones realizadas durante toda la sustanciación de las 304 solicitudes ingresadas en el 2019,  que incluye, el costo que invierte el servidor público que realiza la notificación a razón del costo que implica tres horas de trabajo (que incluye trayecto de ida, notificación per sé, y regreso), más el costo de gasolina, en función de 2,328 notificaciones realizadas en 2019. </w:t>
      </w:r>
    </w:p>
  </w:footnote>
  <w:footnote w:id="13">
    <w:p w:rsidR="00144C0C" w:rsidRDefault="00144C0C" w:rsidP="003C5C6B">
      <w:pPr>
        <w:pStyle w:val="Textonotapie"/>
        <w:jc w:val="both"/>
      </w:pPr>
      <w:r>
        <w:rPr>
          <w:rStyle w:val="Refdenotaalpie"/>
        </w:rPr>
        <w:footnoteRef/>
      </w:r>
      <w:r>
        <w:t xml:space="preserve"> </w:t>
      </w:r>
      <w:r w:rsidRPr="003C5C6B">
        <w:rPr>
          <w:rFonts w:ascii="ITC Avant Garde" w:hAnsi="ITC Avant Garde"/>
          <w:sz w:val="16"/>
          <w:szCs w:val="16"/>
        </w:rPr>
        <w:t>Dicha estimación únicamente corresponde al cálculo realizado considerando</w:t>
      </w:r>
      <w:r>
        <w:t xml:space="preserve"> </w:t>
      </w:r>
      <w:r w:rsidRPr="003C0A14">
        <w:rPr>
          <w:rFonts w:ascii="ITC Avant Garde" w:hAnsi="ITC Avant Garde"/>
          <w:sz w:val="16"/>
          <w:szCs w:val="16"/>
        </w:rPr>
        <w:t>el tiempo que invierte cada uno de los servidores públicos involucrados en el proceso, en función de su nivel jerárquico (Subdirector de área, Director de área</w:t>
      </w:r>
      <w:r>
        <w:t xml:space="preserve"> </w:t>
      </w:r>
      <w:r w:rsidRPr="003C0A14">
        <w:rPr>
          <w:rFonts w:ascii="ITC Avant Garde" w:hAnsi="ITC Avant Garde"/>
          <w:sz w:val="16"/>
          <w:szCs w:val="16"/>
        </w:rPr>
        <w:t>y Director</w:t>
      </w:r>
      <w:r>
        <w:t xml:space="preserve"> </w:t>
      </w:r>
      <w:r w:rsidRPr="003C0A14">
        <w:rPr>
          <w:rFonts w:ascii="ITC Avant Garde" w:hAnsi="ITC Avant Garde"/>
          <w:sz w:val="16"/>
          <w:szCs w:val="16"/>
        </w:rPr>
        <w:t>General) a razón del costo por hora de trabajo</w:t>
      </w:r>
      <w:r>
        <w:rPr>
          <w:rFonts w:ascii="ITC Avant Garde" w:hAnsi="ITC Avant Garde"/>
          <w:sz w:val="16"/>
          <w:szCs w:val="16"/>
        </w:rPr>
        <w:t>, por la totalidad de las 304 solicitudes ingresadas en 2019.</w:t>
      </w:r>
    </w:p>
  </w:footnote>
  <w:footnote w:id="14">
    <w:p w:rsidR="00144C0C" w:rsidRPr="00DD06A0" w:rsidRDefault="00144C0C"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5">
    <w:p w:rsidR="00144C0C" w:rsidRPr="00C447D9" w:rsidRDefault="00144C0C"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0C" w:rsidRPr="00501ADF" w:rsidRDefault="00144C0C"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144C0C" w:rsidRPr="00DD06A0" w:rsidRDefault="00144C0C"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144C0C" w:rsidRPr="00DD06A0" w:rsidRDefault="00144C0C"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144C0C" w:rsidRDefault="00144C0C">
    <w:pPr>
      <w:pStyle w:val="Encabezado"/>
    </w:pPr>
  </w:p>
  <w:p w:rsidR="00144C0C" w:rsidRDefault="00144C0C">
    <w:pPr>
      <w:pStyle w:val="Encabezado"/>
    </w:pPr>
  </w:p>
  <w:p w:rsidR="00144C0C" w:rsidRDefault="00144C0C">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EC26D21"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144C0C" w:rsidRDefault="00144C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63CB"/>
    <w:multiLevelType w:val="hybridMultilevel"/>
    <w:tmpl w:val="3FC4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D2606C"/>
    <w:multiLevelType w:val="hybridMultilevel"/>
    <w:tmpl w:val="260611E0"/>
    <w:lvl w:ilvl="0" w:tplc="080A0013">
      <w:start w:val="1"/>
      <w:numFmt w:val="upperRoman"/>
      <w:lvlText w:val="%1."/>
      <w:lvlJc w:val="right"/>
      <w:pPr>
        <w:ind w:left="1316" w:hanging="360"/>
      </w:p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9"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6900D3"/>
    <w:multiLevelType w:val="hybridMultilevel"/>
    <w:tmpl w:val="A3602412"/>
    <w:lvl w:ilvl="0" w:tplc="56BA94B6">
      <w:start w:val="1"/>
      <w:numFmt w:val="upperRoman"/>
      <w:lvlText w:val="%1."/>
      <w:lvlJc w:val="left"/>
      <w:pPr>
        <w:ind w:left="1316" w:hanging="720"/>
      </w:pPr>
      <w:rPr>
        <w:rFonts w:hint="default"/>
      </w:rPr>
    </w:lvl>
    <w:lvl w:ilvl="1" w:tplc="080A0019" w:tentative="1">
      <w:start w:val="1"/>
      <w:numFmt w:val="lowerLetter"/>
      <w:lvlText w:val="%2."/>
      <w:lvlJc w:val="left"/>
      <w:pPr>
        <w:ind w:left="1676" w:hanging="360"/>
      </w:pPr>
    </w:lvl>
    <w:lvl w:ilvl="2" w:tplc="080A001B" w:tentative="1">
      <w:start w:val="1"/>
      <w:numFmt w:val="lowerRoman"/>
      <w:lvlText w:val="%3."/>
      <w:lvlJc w:val="right"/>
      <w:pPr>
        <w:ind w:left="2396" w:hanging="180"/>
      </w:pPr>
    </w:lvl>
    <w:lvl w:ilvl="3" w:tplc="080A000F" w:tentative="1">
      <w:start w:val="1"/>
      <w:numFmt w:val="decimal"/>
      <w:lvlText w:val="%4."/>
      <w:lvlJc w:val="left"/>
      <w:pPr>
        <w:ind w:left="3116" w:hanging="360"/>
      </w:pPr>
    </w:lvl>
    <w:lvl w:ilvl="4" w:tplc="080A0019" w:tentative="1">
      <w:start w:val="1"/>
      <w:numFmt w:val="lowerLetter"/>
      <w:lvlText w:val="%5."/>
      <w:lvlJc w:val="left"/>
      <w:pPr>
        <w:ind w:left="3836" w:hanging="360"/>
      </w:pPr>
    </w:lvl>
    <w:lvl w:ilvl="5" w:tplc="080A001B" w:tentative="1">
      <w:start w:val="1"/>
      <w:numFmt w:val="lowerRoman"/>
      <w:lvlText w:val="%6."/>
      <w:lvlJc w:val="right"/>
      <w:pPr>
        <w:ind w:left="4556" w:hanging="180"/>
      </w:pPr>
    </w:lvl>
    <w:lvl w:ilvl="6" w:tplc="080A000F" w:tentative="1">
      <w:start w:val="1"/>
      <w:numFmt w:val="decimal"/>
      <w:lvlText w:val="%7."/>
      <w:lvlJc w:val="left"/>
      <w:pPr>
        <w:ind w:left="5276" w:hanging="360"/>
      </w:pPr>
    </w:lvl>
    <w:lvl w:ilvl="7" w:tplc="080A0019" w:tentative="1">
      <w:start w:val="1"/>
      <w:numFmt w:val="lowerLetter"/>
      <w:lvlText w:val="%8."/>
      <w:lvlJc w:val="left"/>
      <w:pPr>
        <w:ind w:left="5996" w:hanging="360"/>
      </w:pPr>
    </w:lvl>
    <w:lvl w:ilvl="8" w:tplc="080A001B" w:tentative="1">
      <w:start w:val="1"/>
      <w:numFmt w:val="lowerRoman"/>
      <w:lvlText w:val="%9."/>
      <w:lvlJc w:val="right"/>
      <w:pPr>
        <w:ind w:left="6716" w:hanging="180"/>
      </w:pPr>
    </w:lvl>
  </w:abstractNum>
  <w:abstractNum w:abstractNumId="19"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3D726A"/>
    <w:multiLevelType w:val="hybridMultilevel"/>
    <w:tmpl w:val="19B69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E04E62"/>
    <w:multiLevelType w:val="hybridMultilevel"/>
    <w:tmpl w:val="7FEE66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B14045C"/>
    <w:multiLevelType w:val="hybridMultilevel"/>
    <w:tmpl w:val="225A2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4"/>
  </w:num>
  <w:num w:numId="4">
    <w:abstractNumId w:val="24"/>
  </w:num>
  <w:num w:numId="5">
    <w:abstractNumId w:val="9"/>
  </w:num>
  <w:num w:numId="6">
    <w:abstractNumId w:val="20"/>
  </w:num>
  <w:num w:numId="7">
    <w:abstractNumId w:val="15"/>
  </w:num>
  <w:num w:numId="8">
    <w:abstractNumId w:val="1"/>
  </w:num>
  <w:num w:numId="9">
    <w:abstractNumId w:val="13"/>
  </w:num>
  <w:num w:numId="10">
    <w:abstractNumId w:val="11"/>
  </w:num>
  <w:num w:numId="11">
    <w:abstractNumId w:val="19"/>
  </w:num>
  <w:num w:numId="12">
    <w:abstractNumId w:val="17"/>
  </w:num>
  <w:num w:numId="13">
    <w:abstractNumId w:val="3"/>
  </w:num>
  <w:num w:numId="14">
    <w:abstractNumId w:val="7"/>
  </w:num>
  <w:num w:numId="15">
    <w:abstractNumId w:val="16"/>
  </w:num>
  <w:num w:numId="16">
    <w:abstractNumId w:val="2"/>
  </w:num>
  <w:num w:numId="17">
    <w:abstractNumId w:val="12"/>
  </w:num>
  <w:num w:numId="18">
    <w:abstractNumId w:val="10"/>
  </w:num>
  <w:num w:numId="19">
    <w:abstractNumId w:val="6"/>
  </w:num>
  <w:num w:numId="20">
    <w:abstractNumId w:val="8"/>
  </w:num>
  <w:num w:numId="21">
    <w:abstractNumId w:val="18"/>
  </w:num>
  <w:num w:numId="22">
    <w:abstractNumId w:val="21"/>
  </w:num>
  <w:num w:numId="23">
    <w:abstractNumId w:val="22"/>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067E0"/>
    <w:rsid w:val="00016C61"/>
    <w:rsid w:val="00021824"/>
    <w:rsid w:val="00021921"/>
    <w:rsid w:val="00023BBB"/>
    <w:rsid w:val="000271CF"/>
    <w:rsid w:val="0003021E"/>
    <w:rsid w:val="0003224D"/>
    <w:rsid w:val="0003274F"/>
    <w:rsid w:val="000350B5"/>
    <w:rsid w:val="00036391"/>
    <w:rsid w:val="00040B9F"/>
    <w:rsid w:val="00040C98"/>
    <w:rsid w:val="00044D30"/>
    <w:rsid w:val="000525CE"/>
    <w:rsid w:val="00053ED6"/>
    <w:rsid w:val="00054F32"/>
    <w:rsid w:val="00056852"/>
    <w:rsid w:val="0005707C"/>
    <w:rsid w:val="00063915"/>
    <w:rsid w:val="0006478F"/>
    <w:rsid w:val="00072473"/>
    <w:rsid w:val="00073F30"/>
    <w:rsid w:val="000741FE"/>
    <w:rsid w:val="000812AF"/>
    <w:rsid w:val="00081B87"/>
    <w:rsid w:val="0008388F"/>
    <w:rsid w:val="00084481"/>
    <w:rsid w:val="0008479B"/>
    <w:rsid w:val="000864CA"/>
    <w:rsid w:val="00090C98"/>
    <w:rsid w:val="00092976"/>
    <w:rsid w:val="000943A8"/>
    <w:rsid w:val="00097C5D"/>
    <w:rsid w:val="000A02C8"/>
    <w:rsid w:val="000A6113"/>
    <w:rsid w:val="000A730F"/>
    <w:rsid w:val="000B1D99"/>
    <w:rsid w:val="000B28DC"/>
    <w:rsid w:val="000B625B"/>
    <w:rsid w:val="000B74F7"/>
    <w:rsid w:val="000C1C42"/>
    <w:rsid w:val="000C4BF1"/>
    <w:rsid w:val="000C5D24"/>
    <w:rsid w:val="000C70B9"/>
    <w:rsid w:val="000D0181"/>
    <w:rsid w:val="000D1A71"/>
    <w:rsid w:val="000D3B7A"/>
    <w:rsid w:val="000E4310"/>
    <w:rsid w:val="000F0E0B"/>
    <w:rsid w:val="000F0E38"/>
    <w:rsid w:val="000F1068"/>
    <w:rsid w:val="000F152A"/>
    <w:rsid w:val="000F48E5"/>
    <w:rsid w:val="00110844"/>
    <w:rsid w:val="00114B24"/>
    <w:rsid w:val="001179D9"/>
    <w:rsid w:val="00126284"/>
    <w:rsid w:val="0013160A"/>
    <w:rsid w:val="001325D9"/>
    <w:rsid w:val="001334A3"/>
    <w:rsid w:val="00133F02"/>
    <w:rsid w:val="00135251"/>
    <w:rsid w:val="00136258"/>
    <w:rsid w:val="00136319"/>
    <w:rsid w:val="00141468"/>
    <w:rsid w:val="001420EF"/>
    <w:rsid w:val="0014321A"/>
    <w:rsid w:val="001432F7"/>
    <w:rsid w:val="00144C0C"/>
    <w:rsid w:val="001576FA"/>
    <w:rsid w:val="00161F94"/>
    <w:rsid w:val="001627EA"/>
    <w:rsid w:val="00163A35"/>
    <w:rsid w:val="00165E2B"/>
    <w:rsid w:val="00172194"/>
    <w:rsid w:val="00177421"/>
    <w:rsid w:val="00180257"/>
    <w:rsid w:val="00182D8E"/>
    <w:rsid w:val="0018683D"/>
    <w:rsid w:val="00192BB7"/>
    <w:rsid w:val="001932FC"/>
    <w:rsid w:val="0019415B"/>
    <w:rsid w:val="00194A29"/>
    <w:rsid w:val="001A6216"/>
    <w:rsid w:val="001A695F"/>
    <w:rsid w:val="001B2C4E"/>
    <w:rsid w:val="001B4EC7"/>
    <w:rsid w:val="001B63C2"/>
    <w:rsid w:val="001B690D"/>
    <w:rsid w:val="001C3FDF"/>
    <w:rsid w:val="001C5415"/>
    <w:rsid w:val="001D1583"/>
    <w:rsid w:val="001D50AB"/>
    <w:rsid w:val="001F4091"/>
    <w:rsid w:val="001F47CE"/>
    <w:rsid w:val="001F631F"/>
    <w:rsid w:val="002025CB"/>
    <w:rsid w:val="002120CB"/>
    <w:rsid w:val="00212AC4"/>
    <w:rsid w:val="00213FB6"/>
    <w:rsid w:val="00221DE7"/>
    <w:rsid w:val="002220C2"/>
    <w:rsid w:val="00225DA6"/>
    <w:rsid w:val="0022741B"/>
    <w:rsid w:val="00242CD9"/>
    <w:rsid w:val="002510EA"/>
    <w:rsid w:val="00252E28"/>
    <w:rsid w:val="00253423"/>
    <w:rsid w:val="0025635A"/>
    <w:rsid w:val="00260074"/>
    <w:rsid w:val="0026442A"/>
    <w:rsid w:val="00266011"/>
    <w:rsid w:val="0026633D"/>
    <w:rsid w:val="002700A3"/>
    <w:rsid w:val="002747A5"/>
    <w:rsid w:val="00275351"/>
    <w:rsid w:val="00275D93"/>
    <w:rsid w:val="00277797"/>
    <w:rsid w:val="00280985"/>
    <w:rsid w:val="00286496"/>
    <w:rsid w:val="00287E65"/>
    <w:rsid w:val="002903CD"/>
    <w:rsid w:val="00295E97"/>
    <w:rsid w:val="00296F51"/>
    <w:rsid w:val="0029705B"/>
    <w:rsid w:val="002A3F03"/>
    <w:rsid w:val="002A555F"/>
    <w:rsid w:val="002B142B"/>
    <w:rsid w:val="002B670F"/>
    <w:rsid w:val="002C0A15"/>
    <w:rsid w:val="002C0D86"/>
    <w:rsid w:val="002C2362"/>
    <w:rsid w:val="002D2CEE"/>
    <w:rsid w:val="002D611A"/>
    <w:rsid w:val="002E12CB"/>
    <w:rsid w:val="002E46D1"/>
    <w:rsid w:val="002E72C5"/>
    <w:rsid w:val="0030055F"/>
    <w:rsid w:val="00301DD2"/>
    <w:rsid w:val="003039BF"/>
    <w:rsid w:val="00305A61"/>
    <w:rsid w:val="0030788E"/>
    <w:rsid w:val="0031086E"/>
    <w:rsid w:val="00310F8E"/>
    <w:rsid w:val="0031234F"/>
    <w:rsid w:val="00321446"/>
    <w:rsid w:val="00323D08"/>
    <w:rsid w:val="00326797"/>
    <w:rsid w:val="003273CA"/>
    <w:rsid w:val="00334A8D"/>
    <w:rsid w:val="00341560"/>
    <w:rsid w:val="00342CBF"/>
    <w:rsid w:val="00344D0C"/>
    <w:rsid w:val="00345D60"/>
    <w:rsid w:val="003461A6"/>
    <w:rsid w:val="003466D4"/>
    <w:rsid w:val="003523C1"/>
    <w:rsid w:val="00355A43"/>
    <w:rsid w:val="00356E5F"/>
    <w:rsid w:val="0036062D"/>
    <w:rsid w:val="00360CF6"/>
    <w:rsid w:val="003645F6"/>
    <w:rsid w:val="0036632D"/>
    <w:rsid w:val="00366881"/>
    <w:rsid w:val="00370EF5"/>
    <w:rsid w:val="003721A6"/>
    <w:rsid w:val="003725CE"/>
    <w:rsid w:val="00376614"/>
    <w:rsid w:val="00376BB2"/>
    <w:rsid w:val="00377DFE"/>
    <w:rsid w:val="00380AA8"/>
    <w:rsid w:val="003825CF"/>
    <w:rsid w:val="00382ACD"/>
    <w:rsid w:val="00383500"/>
    <w:rsid w:val="003840A8"/>
    <w:rsid w:val="003852AB"/>
    <w:rsid w:val="0039105F"/>
    <w:rsid w:val="0039184E"/>
    <w:rsid w:val="00392E9C"/>
    <w:rsid w:val="00392F91"/>
    <w:rsid w:val="003A2FA3"/>
    <w:rsid w:val="003A3E18"/>
    <w:rsid w:val="003A524A"/>
    <w:rsid w:val="003B0133"/>
    <w:rsid w:val="003B48D4"/>
    <w:rsid w:val="003B7FF3"/>
    <w:rsid w:val="003C0A14"/>
    <w:rsid w:val="003C3084"/>
    <w:rsid w:val="003C40F9"/>
    <w:rsid w:val="003C5C6B"/>
    <w:rsid w:val="003C6FEE"/>
    <w:rsid w:val="003F05E7"/>
    <w:rsid w:val="003F12D0"/>
    <w:rsid w:val="004027F3"/>
    <w:rsid w:val="00402B8F"/>
    <w:rsid w:val="00411B5B"/>
    <w:rsid w:val="00413E89"/>
    <w:rsid w:val="00420223"/>
    <w:rsid w:val="004217AB"/>
    <w:rsid w:val="0042321F"/>
    <w:rsid w:val="00427F29"/>
    <w:rsid w:val="0043031F"/>
    <w:rsid w:val="00434D10"/>
    <w:rsid w:val="00435A5D"/>
    <w:rsid w:val="004376AC"/>
    <w:rsid w:val="00444E63"/>
    <w:rsid w:val="00450175"/>
    <w:rsid w:val="00450FD2"/>
    <w:rsid w:val="00452599"/>
    <w:rsid w:val="00452F0E"/>
    <w:rsid w:val="004533A7"/>
    <w:rsid w:val="0045409C"/>
    <w:rsid w:val="00457E37"/>
    <w:rsid w:val="00461FCE"/>
    <w:rsid w:val="00465898"/>
    <w:rsid w:val="00477EE2"/>
    <w:rsid w:val="004836BF"/>
    <w:rsid w:val="00484EEE"/>
    <w:rsid w:val="004A6C57"/>
    <w:rsid w:val="004B6836"/>
    <w:rsid w:val="004C6D77"/>
    <w:rsid w:val="004C7782"/>
    <w:rsid w:val="004D2C81"/>
    <w:rsid w:val="004D5B4A"/>
    <w:rsid w:val="004D75C7"/>
    <w:rsid w:val="004E0DA9"/>
    <w:rsid w:val="004E331D"/>
    <w:rsid w:val="004E61FD"/>
    <w:rsid w:val="004E7170"/>
    <w:rsid w:val="004F049A"/>
    <w:rsid w:val="004F6ABE"/>
    <w:rsid w:val="004F6C44"/>
    <w:rsid w:val="004F76A1"/>
    <w:rsid w:val="00501ADF"/>
    <w:rsid w:val="00503ECB"/>
    <w:rsid w:val="00505B08"/>
    <w:rsid w:val="00510390"/>
    <w:rsid w:val="00511573"/>
    <w:rsid w:val="005264F5"/>
    <w:rsid w:val="00530DA4"/>
    <w:rsid w:val="005335CF"/>
    <w:rsid w:val="00533F9A"/>
    <w:rsid w:val="005370A8"/>
    <w:rsid w:val="00540129"/>
    <w:rsid w:val="005403B4"/>
    <w:rsid w:val="00542979"/>
    <w:rsid w:val="005465C4"/>
    <w:rsid w:val="00547497"/>
    <w:rsid w:val="005500E4"/>
    <w:rsid w:val="0055086C"/>
    <w:rsid w:val="005510EF"/>
    <w:rsid w:val="005527AA"/>
    <w:rsid w:val="00552C62"/>
    <w:rsid w:val="00552E7C"/>
    <w:rsid w:val="00553A7C"/>
    <w:rsid w:val="00554B7D"/>
    <w:rsid w:val="0055683D"/>
    <w:rsid w:val="00557F8B"/>
    <w:rsid w:val="00560409"/>
    <w:rsid w:val="0056472E"/>
    <w:rsid w:val="005665BE"/>
    <w:rsid w:val="005707DC"/>
    <w:rsid w:val="00573284"/>
    <w:rsid w:val="00574EAE"/>
    <w:rsid w:val="005754DD"/>
    <w:rsid w:val="00575914"/>
    <w:rsid w:val="00575929"/>
    <w:rsid w:val="0058034D"/>
    <w:rsid w:val="005818F0"/>
    <w:rsid w:val="00585FE8"/>
    <w:rsid w:val="00587662"/>
    <w:rsid w:val="0059421D"/>
    <w:rsid w:val="00596FDE"/>
    <w:rsid w:val="00597456"/>
    <w:rsid w:val="005A40FB"/>
    <w:rsid w:val="005A43C3"/>
    <w:rsid w:val="005A6B82"/>
    <w:rsid w:val="005B077D"/>
    <w:rsid w:val="005B2F3E"/>
    <w:rsid w:val="005B52E5"/>
    <w:rsid w:val="005B5418"/>
    <w:rsid w:val="005B5D65"/>
    <w:rsid w:val="005C16D0"/>
    <w:rsid w:val="005C4A39"/>
    <w:rsid w:val="005D5D9B"/>
    <w:rsid w:val="005E3717"/>
    <w:rsid w:val="005E5EF9"/>
    <w:rsid w:val="005F0B4F"/>
    <w:rsid w:val="005F1307"/>
    <w:rsid w:val="005F1F0C"/>
    <w:rsid w:val="005F2477"/>
    <w:rsid w:val="005F360B"/>
    <w:rsid w:val="005F3874"/>
    <w:rsid w:val="00605CCB"/>
    <w:rsid w:val="00607562"/>
    <w:rsid w:val="00616FA4"/>
    <w:rsid w:val="00623290"/>
    <w:rsid w:val="00625F27"/>
    <w:rsid w:val="00626C55"/>
    <w:rsid w:val="00630BFD"/>
    <w:rsid w:val="00630D8E"/>
    <w:rsid w:val="00631478"/>
    <w:rsid w:val="006318A8"/>
    <w:rsid w:val="00632E8D"/>
    <w:rsid w:val="006335BC"/>
    <w:rsid w:val="0064006F"/>
    <w:rsid w:val="00641720"/>
    <w:rsid w:val="00643588"/>
    <w:rsid w:val="00643C18"/>
    <w:rsid w:val="00656E4D"/>
    <w:rsid w:val="0066091C"/>
    <w:rsid w:val="0066264C"/>
    <w:rsid w:val="006662E2"/>
    <w:rsid w:val="006717D5"/>
    <w:rsid w:val="006731F0"/>
    <w:rsid w:val="00673EAE"/>
    <w:rsid w:val="00676250"/>
    <w:rsid w:val="00681EF4"/>
    <w:rsid w:val="0068307E"/>
    <w:rsid w:val="006831CA"/>
    <w:rsid w:val="0068643E"/>
    <w:rsid w:val="00687964"/>
    <w:rsid w:val="006A2765"/>
    <w:rsid w:val="006A58CB"/>
    <w:rsid w:val="006A5AAE"/>
    <w:rsid w:val="006B0FA0"/>
    <w:rsid w:val="006B142A"/>
    <w:rsid w:val="006B1E65"/>
    <w:rsid w:val="006B2898"/>
    <w:rsid w:val="006B3DF6"/>
    <w:rsid w:val="006B4D9B"/>
    <w:rsid w:val="006C104B"/>
    <w:rsid w:val="006C395A"/>
    <w:rsid w:val="006C593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34559"/>
    <w:rsid w:val="007415AF"/>
    <w:rsid w:val="007434CD"/>
    <w:rsid w:val="007440FC"/>
    <w:rsid w:val="00750809"/>
    <w:rsid w:val="00752E09"/>
    <w:rsid w:val="00760C47"/>
    <w:rsid w:val="00766B0D"/>
    <w:rsid w:val="00767BB5"/>
    <w:rsid w:val="0077220A"/>
    <w:rsid w:val="0077372B"/>
    <w:rsid w:val="00773730"/>
    <w:rsid w:val="007752B1"/>
    <w:rsid w:val="00775E63"/>
    <w:rsid w:val="0077609B"/>
    <w:rsid w:val="0078556A"/>
    <w:rsid w:val="00785813"/>
    <w:rsid w:val="00790373"/>
    <w:rsid w:val="0079133E"/>
    <w:rsid w:val="0079137D"/>
    <w:rsid w:val="007969D8"/>
    <w:rsid w:val="00797BBB"/>
    <w:rsid w:val="007A0AC3"/>
    <w:rsid w:val="007A1501"/>
    <w:rsid w:val="007A33D0"/>
    <w:rsid w:val="007A4AE1"/>
    <w:rsid w:val="007A65D7"/>
    <w:rsid w:val="007B22B3"/>
    <w:rsid w:val="007B6476"/>
    <w:rsid w:val="007B64B4"/>
    <w:rsid w:val="007B6B06"/>
    <w:rsid w:val="007C088B"/>
    <w:rsid w:val="007C0CE3"/>
    <w:rsid w:val="007C319D"/>
    <w:rsid w:val="007D4E5B"/>
    <w:rsid w:val="007D723A"/>
    <w:rsid w:val="007E232F"/>
    <w:rsid w:val="007E580B"/>
    <w:rsid w:val="007F0E3F"/>
    <w:rsid w:val="007F6DDF"/>
    <w:rsid w:val="00800501"/>
    <w:rsid w:val="00801FED"/>
    <w:rsid w:val="008047F9"/>
    <w:rsid w:val="00804F49"/>
    <w:rsid w:val="00806D72"/>
    <w:rsid w:val="008079AB"/>
    <w:rsid w:val="00815730"/>
    <w:rsid w:val="0082151C"/>
    <w:rsid w:val="0082308D"/>
    <w:rsid w:val="00825642"/>
    <w:rsid w:val="00825715"/>
    <w:rsid w:val="00826696"/>
    <w:rsid w:val="00831ADD"/>
    <w:rsid w:val="00834965"/>
    <w:rsid w:val="00836E59"/>
    <w:rsid w:val="00841C4C"/>
    <w:rsid w:val="00851884"/>
    <w:rsid w:val="00853EFB"/>
    <w:rsid w:val="00863073"/>
    <w:rsid w:val="00865FAE"/>
    <w:rsid w:val="0086684A"/>
    <w:rsid w:val="00870931"/>
    <w:rsid w:val="008724EF"/>
    <w:rsid w:val="00874784"/>
    <w:rsid w:val="008765D1"/>
    <w:rsid w:val="00876D05"/>
    <w:rsid w:val="00877ABA"/>
    <w:rsid w:val="00882853"/>
    <w:rsid w:val="00884CF7"/>
    <w:rsid w:val="0088599F"/>
    <w:rsid w:val="008933E4"/>
    <w:rsid w:val="00894040"/>
    <w:rsid w:val="00894944"/>
    <w:rsid w:val="00896305"/>
    <w:rsid w:val="00896D6B"/>
    <w:rsid w:val="008A16C4"/>
    <w:rsid w:val="008A1900"/>
    <w:rsid w:val="008A2F51"/>
    <w:rsid w:val="008A3C5C"/>
    <w:rsid w:val="008A48B0"/>
    <w:rsid w:val="008A7F63"/>
    <w:rsid w:val="008C30F8"/>
    <w:rsid w:val="008C561C"/>
    <w:rsid w:val="008C5F5F"/>
    <w:rsid w:val="008C76AF"/>
    <w:rsid w:val="008D040E"/>
    <w:rsid w:val="008D6813"/>
    <w:rsid w:val="008D7837"/>
    <w:rsid w:val="008D7EA9"/>
    <w:rsid w:val="008E1821"/>
    <w:rsid w:val="008E3011"/>
    <w:rsid w:val="008E7CD5"/>
    <w:rsid w:val="008E7FF5"/>
    <w:rsid w:val="008F5303"/>
    <w:rsid w:val="009101B7"/>
    <w:rsid w:val="009113B3"/>
    <w:rsid w:val="009114E2"/>
    <w:rsid w:val="009115C1"/>
    <w:rsid w:val="00913DCD"/>
    <w:rsid w:val="00915B6E"/>
    <w:rsid w:val="00921AB2"/>
    <w:rsid w:val="00923815"/>
    <w:rsid w:val="009275A2"/>
    <w:rsid w:val="00930781"/>
    <w:rsid w:val="00931DB2"/>
    <w:rsid w:val="009320BA"/>
    <w:rsid w:val="00940497"/>
    <w:rsid w:val="00942178"/>
    <w:rsid w:val="00945AAC"/>
    <w:rsid w:val="0095222D"/>
    <w:rsid w:val="00952BC1"/>
    <w:rsid w:val="00953825"/>
    <w:rsid w:val="00953E5A"/>
    <w:rsid w:val="009575A2"/>
    <w:rsid w:val="00957C28"/>
    <w:rsid w:val="00960757"/>
    <w:rsid w:val="0096358F"/>
    <w:rsid w:val="00963B0B"/>
    <w:rsid w:val="00967E00"/>
    <w:rsid w:val="009712C5"/>
    <w:rsid w:val="00972415"/>
    <w:rsid w:val="00975294"/>
    <w:rsid w:val="00986B5C"/>
    <w:rsid w:val="00992AF4"/>
    <w:rsid w:val="009A4571"/>
    <w:rsid w:val="009A504C"/>
    <w:rsid w:val="009A7156"/>
    <w:rsid w:val="009B0360"/>
    <w:rsid w:val="009B287D"/>
    <w:rsid w:val="009B3908"/>
    <w:rsid w:val="009B4B96"/>
    <w:rsid w:val="009C21D6"/>
    <w:rsid w:val="009C4FD5"/>
    <w:rsid w:val="009C60F8"/>
    <w:rsid w:val="009D3717"/>
    <w:rsid w:val="009D3DC7"/>
    <w:rsid w:val="009E4FFE"/>
    <w:rsid w:val="009E6138"/>
    <w:rsid w:val="009E694F"/>
    <w:rsid w:val="009F0A4B"/>
    <w:rsid w:val="00A0193A"/>
    <w:rsid w:val="00A028BC"/>
    <w:rsid w:val="00A04442"/>
    <w:rsid w:val="00A04B21"/>
    <w:rsid w:val="00A04DC8"/>
    <w:rsid w:val="00A12968"/>
    <w:rsid w:val="00A1296A"/>
    <w:rsid w:val="00A135B3"/>
    <w:rsid w:val="00A14610"/>
    <w:rsid w:val="00A147C0"/>
    <w:rsid w:val="00A1622C"/>
    <w:rsid w:val="00A17580"/>
    <w:rsid w:val="00A20E88"/>
    <w:rsid w:val="00A21A21"/>
    <w:rsid w:val="00A22A4C"/>
    <w:rsid w:val="00A24A60"/>
    <w:rsid w:val="00A25249"/>
    <w:rsid w:val="00A32408"/>
    <w:rsid w:val="00A328CC"/>
    <w:rsid w:val="00A35A74"/>
    <w:rsid w:val="00A40D98"/>
    <w:rsid w:val="00A41460"/>
    <w:rsid w:val="00A4383D"/>
    <w:rsid w:val="00A45793"/>
    <w:rsid w:val="00A47180"/>
    <w:rsid w:val="00A52180"/>
    <w:rsid w:val="00A65FBB"/>
    <w:rsid w:val="00A66753"/>
    <w:rsid w:val="00A70F77"/>
    <w:rsid w:val="00A724AB"/>
    <w:rsid w:val="00A73AD8"/>
    <w:rsid w:val="00A73B0C"/>
    <w:rsid w:val="00A76C37"/>
    <w:rsid w:val="00A8460E"/>
    <w:rsid w:val="00A90122"/>
    <w:rsid w:val="00A9146E"/>
    <w:rsid w:val="00A918CC"/>
    <w:rsid w:val="00A9691A"/>
    <w:rsid w:val="00AA63CA"/>
    <w:rsid w:val="00AB226A"/>
    <w:rsid w:val="00AB3BA3"/>
    <w:rsid w:val="00AC1896"/>
    <w:rsid w:val="00AD0C81"/>
    <w:rsid w:val="00AD20F0"/>
    <w:rsid w:val="00AD4689"/>
    <w:rsid w:val="00AD65E9"/>
    <w:rsid w:val="00AD7125"/>
    <w:rsid w:val="00AE0FD8"/>
    <w:rsid w:val="00AE1C03"/>
    <w:rsid w:val="00AE393E"/>
    <w:rsid w:val="00AE41C1"/>
    <w:rsid w:val="00AF1341"/>
    <w:rsid w:val="00AF76CF"/>
    <w:rsid w:val="00AF76E0"/>
    <w:rsid w:val="00B0252D"/>
    <w:rsid w:val="00B02D84"/>
    <w:rsid w:val="00B05825"/>
    <w:rsid w:val="00B141DF"/>
    <w:rsid w:val="00B14F33"/>
    <w:rsid w:val="00B15AF6"/>
    <w:rsid w:val="00B16111"/>
    <w:rsid w:val="00B16B16"/>
    <w:rsid w:val="00B16C4B"/>
    <w:rsid w:val="00B22015"/>
    <w:rsid w:val="00B22577"/>
    <w:rsid w:val="00B2268D"/>
    <w:rsid w:val="00B23A4F"/>
    <w:rsid w:val="00B25772"/>
    <w:rsid w:val="00B3355F"/>
    <w:rsid w:val="00B35CA0"/>
    <w:rsid w:val="00B36D38"/>
    <w:rsid w:val="00B41497"/>
    <w:rsid w:val="00B42555"/>
    <w:rsid w:val="00B4301B"/>
    <w:rsid w:val="00B4379F"/>
    <w:rsid w:val="00B455DF"/>
    <w:rsid w:val="00B504AA"/>
    <w:rsid w:val="00B53E8B"/>
    <w:rsid w:val="00B55246"/>
    <w:rsid w:val="00B577B7"/>
    <w:rsid w:val="00B57DA4"/>
    <w:rsid w:val="00B6169F"/>
    <w:rsid w:val="00B6461E"/>
    <w:rsid w:val="00B66051"/>
    <w:rsid w:val="00B66A86"/>
    <w:rsid w:val="00B73435"/>
    <w:rsid w:val="00B74C55"/>
    <w:rsid w:val="00B76C9A"/>
    <w:rsid w:val="00B833F1"/>
    <w:rsid w:val="00B84D29"/>
    <w:rsid w:val="00B91D01"/>
    <w:rsid w:val="00B940EB"/>
    <w:rsid w:val="00B97C55"/>
    <w:rsid w:val="00BA6819"/>
    <w:rsid w:val="00BB2876"/>
    <w:rsid w:val="00BB5452"/>
    <w:rsid w:val="00BB5C59"/>
    <w:rsid w:val="00BC2A05"/>
    <w:rsid w:val="00BC3F68"/>
    <w:rsid w:val="00BC7ADA"/>
    <w:rsid w:val="00BD365A"/>
    <w:rsid w:val="00BD3740"/>
    <w:rsid w:val="00BD466D"/>
    <w:rsid w:val="00BD55E1"/>
    <w:rsid w:val="00BD6315"/>
    <w:rsid w:val="00BE0DA7"/>
    <w:rsid w:val="00BE3435"/>
    <w:rsid w:val="00BF19C0"/>
    <w:rsid w:val="00BF4409"/>
    <w:rsid w:val="00BF5343"/>
    <w:rsid w:val="00C000C3"/>
    <w:rsid w:val="00C0393B"/>
    <w:rsid w:val="00C039A0"/>
    <w:rsid w:val="00C07034"/>
    <w:rsid w:val="00C128A9"/>
    <w:rsid w:val="00C13B8E"/>
    <w:rsid w:val="00C14B46"/>
    <w:rsid w:val="00C206B3"/>
    <w:rsid w:val="00C20770"/>
    <w:rsid w:val="00C2465A"/>
    <w:rsid w:val="00C3040F"/>
    <w:rsid w:val="00C31790"/>
    <w:rsid w:val="00C37F1A"/>
    <w:rsid w:val="00C447D9"/>
    <w:rsid w:val="00C50E57"/>
    <w:rsid w:val="00C56A89"/>
    <w:rsid w:val="00C60325"/>
    <w:rsid w:val="00C64CD5"/>
    <w:rsid w:val="00C70B8D"/>
    <w:rsid w:val="00C74A2B"/>
    <w:rsid w:val="00C77AC5"/>
    <w:rsid w:val="00C81772"/>
    <w:rsid w:val="00C859B5"/>
    <w:rsid w:val="00C90779"/>
    <w:rsid w:val="00C917FC"/>
    <w:rsid w:val="00C9396B"/>
    <w:rsid w:val="00C96DB5"/>
    <w:rsid w:val="00CA23D6"/>
    <w:rsid w:val="00CA2B0C"/>
    <w:rsid w:val="00CA5A61"/>
    <w:rsid w:val="00CA6005"/>
    <w:rsid w:val="00CB1B29"/>
    <w:rsid w:val="00CB354E"/>
    <w:rsid w:val="00CB409F"/>
    <w:rsid w:val="00CC76A7"/>
    <w:rsid w:val="00CC7990"/>
    <w:rsid w:val="00CD1EF9"/>
    <w:rsid w:val="00CD2BFD"/>
    <w:rsid w:val="00CD4362"/>
    <w:rsid w:val="00CD5E2A"/>
    <w:rsid w:val="00CE1954"/>
    <w:rsid w:val="00CE2F13"/>
    <w:rsid w:val="00CE3C00"/>
    <w:rsid w:val="00CE50CC"/>
    <w:rsid w:val="00CE5C9B"/>
    <w:rsid w:val="00CF02DA"/>
    <w:rsid w:val="00CF1C87"/>
    <w:rsid w:val="00CF6087"/>
    <w:rsid w:val="00CF642C"/>
    <w:rsid w:val="00CF74F0"/>
    <w:rsid w:val="00D0103F"/>
    <w:rsid w:val="00D01E67"/>
    <w:rsid w:val="00D04F27"/>
    <w:rsid w:val="00D06814"/>
    <w:rsid w:val="00D06BA6"/>
    <w:rsid w:val="00D13D6B"/>
    <w:rsid w:val="00D15887"/>
    <w:rsid w:val="00D1778F"/>
    <w:rsid w:val="00D215FB"/>
    <w:rsid w:val="00D21B31"/>
    <w:rsid w:val="00D21B65"/>
    <w:rsid w:val="00D221B5"/>
    <w:rsid w:val="00D22433"/>
    <w:rsid w:val="00D23BD5"/>
    <w:rsid w:val="00D32FA8"/>
    <w:rsid w:val="00D443A4"/>
    <w:rsid w:val="00D500A9"/>
    <w:rsid w:val="00D52B06"/>
    <w:rsid w:val="00D52C89"/>
    <w:rsid w:val="00D57B31"/>
    <w:rsid w:val="00D609BE"/>
    <w:rsid w:val="00D67FED"/>
    <w:rsid w:val="00D71CAC"/>
    <w:rsid w:val="00D71DE4"/>
    <w:rsid w:val="00D808A4"/>
    <w:rsid w:val="00D87902"/>
    <w:rsid w:val="00D93344"/>
    <w:rsid w:val="00D955A7"/>
    <w:rsid w:val="00D976C3"/>
    <w:rsid w:val="00DA6CB6"/>
    <w:rsid w:val="00DA76FB"/>
    <w:rsid w:val="00DB1560"/>
    <w:rsid w:val="00DB572B"/>
    <w:rsid w:val="00DC0698"/>
    <w:rsid w:val="00DC156F"/>
    <w:rsid w:val="00DC2B70"/>
    <w:rsid w:val="00DC4D96"/>
    <w:rsid w:val="00DC6377"/>
    <w:rsid w:val="00DD06A0"/>
    <w:rsid w:val="00DD346C"/>
    <w:rsid w:val="00DD4D9A"/>
    <w:rsid w:val="00DD61A0"/>
    <w:rsid w:val="00DE55F3"/>
    <w:rsid w:val="00DE637F"/>
    <w:rsid w:val="00DF609D"/>
    <w:rsid w:val="00DF7853"/>
    <w:rsid w:val="00E016AD"/>
    <w:rsid w:val="00E05F1C"/>
    <w:rsid w:val="00E16AC7"/>
    <w:rsid w:val="00E21B49"/>
    <w:rsid w:val="00E25EA5"/>
    <w:rsid w:val="00E27972"/>
    <w:rsid w:val="00E3567A"/>
    <w:rsid w:val="00E360A5"/>
    <w:rsid w:val="00E436E1"/>
    <w:rsid w:val="00E51B72"/>
    <w:rsid w:val="00E6080B"/>
    <w:rsid w:val="00E62B66"/>
    <w:rsid w:val="00E6711B"/>
    <w:rsid w:val="00E67946"/>
    <w:rsid w:val="00E7184E"/>
    <w:rsid w:val="00E718AA"/>
    <w:rsid w:val="00E71C1A"/>
    <w:rsid w:val="00E72966"/>
    <w:rsid w:val="00E72CC8"/>
    <w:rsid w:val="00E757D5"/>
    <w:rsid w:val="00E76CA9"/>
    <w:rsid w:val="00E77E9C"/>
    <w:rsid w:val="00E80996"/>
    <w:rsid w:val="00E81BD4"/>
    <w:rsid w:val="00E84534"/>
    <w:rsid w:val="00E8557A"/>
    <w:rsid w:val="00E8599D"/>
    <w:rsid w:val="00EA1D0E"/>
    <w:rsid w:val="00EA2A2E"/>
    <w:rsid w:val="00EA6466"/>
    <w:rsid w:val="00EA79E1"/>
    <w:rsid w:val="00EB08E9"/>
    <w:rsid w:val="00EB24EB"/>
    <w:rsid w:val="00EC1911"/>
    <w:rsid w:val="00EC1A51"/>
    <w:rsid w:val="00EC24A8"/>
    <w:rsid w:val="00EC315D"/>
    <w:rsid w:val="00EC3318"/>
    <w:rsid w:val="00ED2479"/>
    <w:rsid w:val="00ED3888"/>
    <w:rsid w:val="00EE7652"/>
    <w:rsid w:val="00EF60BA"/>
    <w:rsid w:val="00EF7B81"/>
    <w:rsid w:val="00F00A4F"/>
    <w:rsid w:val="00F013F5"/>
    <w:rsid w:val="00F0140F"/>
    <w:rsid w:val="00F033BE"/>
    <w:rsid w:val="00F03C70"/>
    <w:rsid w:val="00F04000"/>
    <w:rsid w:val="00F0449E"/>
    <w:rsid w:val="00F06C1B"/>
    <w:rsid w:val="00F06FC4"/>
    <w:rsid w:val="00F07B22"/>
    <w:rsid w:val="00F15151"/>
    <w:rsid w:val="00F20A36"/>
    <w:rsid w:val="00F2239A"/>
    <w:rsid w:val="00F2326B"/>
    <w:rsid w:val="00F26B55"/>
    <w:rsid w:val="00F3123F"/>
    <w:rsid w:val="00F31821"/>
    <w:rsid w:val="00F33358"/>
    <w:rsid w:val="00F3345B"/>
    <w:rsid w:val="00F37510"/>
    <w:rsid w:val="00F419BB"/>
    <w:rsid w:val="00F450FE"/>
    <w:rsid w:val="00F52456"/>
    <w:rsid w:val="00F52640"/>
    <w:rsid w:val="00F53170"/>
    <w:rsid w:val="00F5394C"/>
    <w:rsid w:val="00F600F0"/>
    <w:rsid w:val="00F60CAE"/>
    <w:rsid w:val="00F6159A"/>
    <w:rsid w:val="00F716CB"/>
    <w:rsid w:val="00F8053B"/>
    <w:rsid w:val="00F81A0C"/>
    <w:rsid w:val="00F81CD2"/>
    <w:rsid w:val="00F84905"/>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20A2"/>
    <w:rsid w:val="00FB47DA"/>
    <w:rsid w:val="00FB5392"/>
    <w:rsid w:val="00FB54DC"/>
    <w:rsid w:val="00FB6915"/>
    <w:rsid w:val="00FC2EAA"/>
    <w:rsid w:val="00FD0241"/>
    <w:rsid w:val="00FD1B1B"/>
    <w:rsid w:val="00FE39ED"/>
    <w:rsid w:val="00FE4AA6"/>
    <w:rsid w:val="00FE5778"/>
    <w:rsid w:val="00FE604D"/>
    <w:rsid w:val="00FF076B"/>
    <w:rsid w:val="00FF1759"/>
    <w:rsid w:val="00FF2873"/>
    <w:rsid w:val="00FF2ED8"/>
    <w:rsid w:val="00FF41DD"/>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71D10"/>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C156F"/>
    <w:rPr>
      <w:sz w:val="20"/>
      <w:szCs w:val="20"/>
    </w:rPr>
  </w:style>
  <w:style w:type="character" w:styleId="Refdenotaalpie">
    <w:name w:val="footnote reference"/>
    <w:aliases w:val="Ref,de nota al pie,(NECG) Footnote Reference,o,fr,Style 3,Appel note de bas de p,Style 12,Style 124,Ref. de nota al pie 2,Footnote Reference Superscript,Style 6"/>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 w:type="table" w:customStyle="1" w:styleId="Tablaconcuadrcula2">
    <w:name w:val="Tabla con cuadrícula2"/>
    <w:basedOn w:val="Tablanormal"/>
    <w:next w:val="Tablaconcuadrcula"/>
    <w:uiPriority w:val="39"/>
    <w:rsid w:val="009E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1296A"/>
    <w:rPr>
      <w:color w:val="954F72" w:themeColor="followedHyperlink"/>
      <w:u w:val="single"/>
    </w:rPr>
  </w:style>
  <w:style w:type="paragraph" w:customStyle="1" w:styleId="Default">
    <w:name w:val="Default"/>
    <w:rsid w:val="007C0C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5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de.cnmc.gob.es/informacion-y-normativa" TargetMode="External"/><Relationship Id="rId18" Type="http://schemas.openxmlformats.org/officeDocument/2006/relationships/hyperlink" Target="https://www.boe.es/boe/dias/2009/02/05/pdfs/BOE-A-2009-1962.pdf" TargetMode="External"/><Relationship Id="rId26" Type="http://schemas.openxmlformats.org/officeDocument/2006/relationships/chart" Target="charts/chart2.xml"/><Relationship Id="rId39" Type="http://schemas.openxmlformats.org/officeDocument/2006/relationships/hyperlink" Target="https://www.agcom.it/documents/10179/1767948/Allegato+12-8-2015/94a518e6-c380-44a9-a9cb-e6a2f3adc642?version=1.0" TargetMode="External"/><Relationship Id="rId21" Type="http://schemas.openxmlformats.org/officeDocument/2006/relationships/hyperlink" Target="https://www.boe.es/buscar/act.php?id=BOE-A-2010-1330" TargetMode="External"/><Relationship Id="rId34" Type="http://schemas.openxmlformats.org/officeDocument/2006/relationships/hyperlink" Target="https://boe.es/buscar/act.php?id=BOE-A-2015-10565"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oe.es/diario_boe/txt.php?id=BOE-A-2016-9126" TargetMode="External"/><Relationship Id="rId20" Type="http://schemas.openxmlformats.org/officeDocument/2006/relationships/hyperlink" Target="https://www.boe.es/buscar/act.php?id=BOE-A-2010-1331" TargetMode="External"/><Relationship Id="rId29" Type="http://schemas.openxmlformats.org/officeDocument/2006/relationships/hyperlink" Target="https://sede.cnmc.gob.es/sites/default/files/2017-12/20171004%20Resoluci%C3%B3n%20REGISTRO.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iana.williams@ift.org.mx" TargetMode="External"/><Relationship Id="rId24" Type="http://schemas.openxmlformats.org/officeDocument/2006/relationships/hyperlink" Target="https://www.agcom.it/documents/10179/1767948/Allegato+12-8-2015/94a518e6-c380-44a9-a9cb-e6a2f3adc642?version=1.0" TargetMode="External"/><Relationship Id="rId32" Type="http://schemas.openxmlformats.org/officeDocument/2006/relationships/hyperlink" Target="https://www.boe.es/eli/es/res/2013/11/08/(2)" TargetMode="External"/><Relationship Id="rId37" Type="http://schemas.openxmlformats.org/officeDocument/2006/relationships/hyperlink" Target="https://www.boe.es/buscar/act.php?id=BOE-A-2009-18358"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oe.es/buscar/pdf/2014/BOE-A-2014-4950-consolidado.pdf" TargetMode="External"/><Relationship Id="rId23" Type="http://schemas.openxmlformats.org/officeDocument/2006/relationships/hyperlink" Target="https://www.cnmc.es/sites/default/files/2018-06-18_Resolucion_Pol%C3%ADtica_de_Seguridad_de_la_Informaci%C3%B3n.pdf" TargetMode="External"/><Relationship Id="rId28" Type="http://schemas.openxmlformats.org/officeDocument/2006/relationships/hyperlink" Target="https://sede.cnmc.gob.es/informacion-y-normativa" TargetMode="External"/><Relationship Id="rId36" Type="http://schemas.openxmlformats.org/officeDocument/2006/relationships/hyperlink" Target="https://www.boe.es/buscar/act.php?id=BOE-A-2010-1330" TargetMode="External"/><Relationship Id="rId10" Type="http://schemas.openxmlformats.org/officeDocument/2006/relationships/endnotes" Target="endnotes.xml"/><Relationship Id="rId19" Type="http://schemas.openxmlformats.org/officeDocument/2006/relationships/hyperlink" Target="https://boe.es/buscar/act.php?id=BOE-A-2015-10565" TargetMode="External"/><Relationship Id="rId31" Type="http://schemas.openxmlformats.org/officeDocument/2006/relationships/hyperlink" Target="https://www.boe.es/diario_boe/txt.php?id=BOE-A-2016-912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cnmc.gob.es/sites/default/files/2017-12/20171004%20Resoluci%C3%B3n%20REGISTRO.PDF" TargetMode="External"/><Relationship Id="rId22" Type="http://schemas.openxmlformats.org/officeDocument/2006/relationships/hyperlink" Target="https://www.boe.es/buscar/act.php?id=BOE-A-2009-18358" TargetMode="External"/><Relationship Id="rId27" Type="http://schemas.openxmlformats.org/officeDocument/2006/relationships/hyperlink" Target="https://sede.cnmc.gob.es/tramites/telecomunicaciones/procedimientos-especiales-de-telecomunicaciones" TargetMode="External"/><Relationship Id="rId30" Type="http://schemas.openxmlformats.org/officeDocument/2006/relationships/hyperlink" Target="https://www.boe.es/buscar/pdf/2014/BOE-A-2014-4950-consolidado.pdf" TargetMode="External"/><Relationship Id="rId35" Type="http://schemas.openxmlformats.org/officeDocument/2006/relationships/hyperlink" Target="https://www.boe.es/buscar/act.php?id=BOE-A-2010-1331"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ede.cnmc.gob.es/tramites/telecomunicaciones/procedimientos-especiales-de-telecomunicaciones" TargetMode="External"/><Relationship Id="rId17" Type="http://schemas.openxmlformats.org/officeDocument/2006/relationships/hyperlink" Target="https://www.boe.es/eli/es/res/2013/11/08/(2)" TargetMode="External"/><Relationship Id="rId25" Type="http://schemas.openxmlformats.org/officeDocument/2006/relationships/chart" Target="charts/chart1.xml"/><Relationship Id="rId33" Type="http://schemas.openxmlformats.org/officeDocument/2006/relationships/hyperlink" Target="https://www.boe.es/boe/dias/2009/02/05/pdfs/BOE-A-2009-1962.pdf" TargetMode="External"/><Relationship Id="rId38" Type="http://schemas.openxmlformats.org/officeDocument/2006/relationships/hyperlink" Target="https://www.cnmc.es/sites/default/files/2018-06-18_Resolucion_Pol%C3%ADtica_de_Seguridad_de_la_Informaci%C3%B3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oleObject" Target="file:///d:\Users\jose.vanegas\AppData\Local\Microsoft\Windows\INetCache\Content.Outlook\8R1S102A\Para%20gr&#225;fico%20Ver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MX" b="1"/>
              <a:t>Gráfico 1 </a:t>
            </a:r>
          </a:p>
          <a:p>
            <a:pPr>
              <a:defRPr b="1"/>
            </a:pPr>
            <a:r>
              <a:rPr lang="es-MX" b="1"/>
              <a:t>Evolución del</a:t>
            </a:r>
            <a:r>
              <a:rPr lang="es-MX" b="1" baseline="0"/>
              <a:t> índice Nacional de Precios al Consumidor vs Índice Nacional de Precios de Telecomunicaciones </a:t>
            </a:r>
            <a:endParaRPr lang="es-MX"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'Visualización 2 precios (2)'!$B$11</c:f>
              <c:strCache>
                <c:ptCount val="1"/>
                <c:pt idx="0">
                  <c:v>INPC</c:v>
                </c:pt>
              </c:strCache>
            </c:strRef>
          </c:tx>
          <c:spPr>
            <a:pattFill prst="lgGrid">
              <a:fgClr>
                <a:schemeClr val="accent1"/>
              </a:fgClr>
              <a:bgClr>
                <a:schemeClr val="bg1"/>
              </a:bgClr>
            </a:pattFill>
            <a:ln>
              <a:noFill/>
            </a:ln>
            <a:effectLst/>
            <a:sp3d/>
          </c:spPr>
          <c:dLbls>
            <c:delete val="1"/>
          </c:dLbls>
          <c:cat>
            <c:strRef>
              <c:f>'Visualización 2 precios (2)'!$A$12:$A$22</c:f>
              <c:strCache>
                <c:ptCount val="11"/>
                <c:pt idx="0">
                  <c:v>mar-2010</c:v>
                </c:pt>
                <c:pt idx="1">
                  <c:v>mar-2011</c:v>
                </c:pt>
                <c:pt idx="2">
                  <c:v>mar-2012</c:v>
                </c:pt>
                <c:pt idx="3">
                  <c:v>mar-2013</c:v>
                </c:pt>
                <c:pt idx="4">
                  <c:v>mar-2014</c:v>
                </c:pt>
                <c:pt idx="5">
                  <c:v>mar-2015</c:v>
                </c:pt>
                <c:pt idx="6">
                  <c:v>mar-2016</c:v>
                </c:pt>
                <c:pt idx="7">
                  <c:v>mar-2017</c:v>
                </c:pt>
                <c:pt idx="8">
                  <c:v>mar-2018</c:v>
                </c:pt>
                <c:pt idx="9">
                  <c:v>mar-2019</c:v>
                </c:pt>
                <c:pt idx="10">
                  <c:v>nov-2019</c:v>
                </c:pt>
              </c:strCache>
            </c:strRef>
          </c:cat>
          <c:val>
            <c:numRef>
              <c:f>'Visualización 2 precios (2)'!$B$12:$B$22</c:f>
              <c:numCache>
                <c:formatCode>General</c:formatCode>
                <c:ptCount val="11"/>
                <c:pt idx="0">
                  <c:v>87.727999999999994</c:v>
                </c:pt>
                <c:pt idx="1">
                  <c:v>90.394000000000005</c:v>
                </c:pt>
                <c:pt idx="2">
                  <c:v>93.765000000000001</c:v>
                </c:pt>
                <c:pt idx="3">
                  <c:v>97.751999999999995</c:v>
                </c:pt>
                <c:pt idx="4">
                  <c:v>101.42700000000001</c:v>
                </c:pt>
                <c:pt idx="5">
                  <c:v>104.608</c:v>
                </c:pt>
                <c:pt idx="6">
                  <c:v>107.33</c:v>
                </c:pt>
                <c:pt idx="7">
                  <c:v>113.074</c:v>
                </c:pt>
                <c:pt idx="8">
                  <c:v>118.768</c:v>
                </c:pt>
                <c:pt idx="9">
                  <c:v>123.524</c:v>
                </c:pt>
                <c:pt idx="10">
                  <c:v>125.76</c:v>
                </c:pt>
              </c:numCache>
            </c:numRef>
          </c:val>
          <c:smooth val="0"/>
          <c:extLst>
            <c:ext xmlns:c16="http://schemas.microsoft.com/office/drawing/2014/chart" uri="{C3380CC4-5D6E-409C-BE32-E72D297353CC}">
              <c16:uniqueId val="{00000000-2409-4514-A3C0-37201A65C3B8}"/>
            </c:ext>
          </c:extLst>
        </c:ser>
        <c:ser>
          <c:idx val="1"/>
          <c:order val="1"/>
          <c:tx>
            <c:strRef>
              <c:f>'Visualización 2 precios (2)'!$C$11</c:f>
              <c:strCache>
                <c:ptCount val="1"/>
                <c:pt idx="0">
                  <c:v>INPT</c:v>
                </c:pt>
              </c:strCache>
            </c:strRef>
          </c:tx>
          <c:spPr>
            <a:pattFill prst="wdDnDiag">
              <a:fgClr>
                <a:srgbClr val="FF0000"/>
              </a:fgClr>
              <a:bgClr>
                <a:schemeClr val="bg1"/>
              </a:bgClr>
            </a:pattFill>
            <a:ln>
              <a:noFill/>
            </a:ln>
            <a:effectLst/>
            <a:sp3d/>
          </c:spPr>
          <c:dLbls>
            <c:delete val="1"/>
          </c:dLbls>
          <c:cat>
            <c:strRef>
              <c:f>'Visualización 2 precios (2)'!$A$12:$A$22</c:f>
              <c:strCache>
                <c:ptCount val="11"/>
                <c:pt idx="0">
                  <c:v>mar-2010</c:v>
                </c:pt>
                <c:pt idx="1">
                  <c:v>mar-2011</c:v>
                </c:pt>
                <c:pt idx="2">
                  <c:v>mar-2012</c:v>
                </c:pt>
                <c:pt idx="3">
                  <c:v>mar-2013</c:v>
                </c:pt>
                <c:pt idx="4">
                  <c:v>mar-2014</c:v>
                </c:pt>
                <c:pt idx="5">
                  <c:v>mar-2015</c:v>
                </c:pt>
                <c:pt idx="6">
                  <c:v>mar-2016</c:v>
                </c:pt>
                <c:pt idx="7">
                  <c:v>mar-2017</c:v>
                </c:pt>
                <c:pt idx="8">
                  <c:v>mar-2018</c:v>
                </c:pt>
                <c:pt idx="9">
                  <c:v>mar-2019</c:v>
                </c:pt>
                <c:pt idx="10">
                  <c:v>nov-2019</c:v>
                </c:pt>
              </c:strCache>
            </c:strRef>
          </c:cat>
          <c:val>
            <c:numRef>
              <c:f>'Visualización 2 precios (2)'!$C$12:$C$22</c:f>
              <c:numCache>
                <c:formatCode>General</c:formatCode>
                <c:ptCount val="11"/>
                <c:pt idx="0">
                  <c:v>124.075</c:v>
                </c:pt>
                <c:pt idx="1">
                  <c:v>120.663</c:v>
                </c:pt>
                <c:pt idx="2">
                  <c:v>110.70099999999999</c:v>
                </c:pt>
                <c:pt idx="3">
                  <c:v>102.822</c:v>
                </c:pt>
                <c:pt idx="4">
                  <c:v>101.875</c:v>
                </c:pt>
                <c:pt idx="5">
                  <c:v>89.332999999999998</c:v>
                </c:pt>
                <c:pt idx="6">
                  <c:v>80.724000000000004</c:v>
                </c:pt>
                <c:pt idx="7">
                  <c:v>76.912999999999997</c:v>
                </c:pt>
                <c:pt idx="8">
                  <c:v>76.436999999999998</c:v>
                </c:pt>
                <c:pt idx="9">
                  <c:v>75.668999999999997</c:v>
                </c:pt>
                <c:pt idx="10">
                  <c:v>75.14</c:v>
                </c:pt>
              </c:numCache>
            </c:numRef>
          </c:val>
          <c:smooth val="0"/>
          <c:extLst>
            <c:ext xmlns:c16="http://schemas.microsoft.com/office/drawing/2014/chart" uri="{C3380CC4-5D6E-409C-BE32-E72D297353CC}">
              <c16:uniqueId val="{00000001-2409-4514-A3C0-37201A65C3B8}"/>
            </c:ext>
          </c:extLst>
        </c:ser>
        <c:dLbls>
          <c:showLegendKey val="0"/>
          <c:showVal val="1"/>
          <c:showCatName val="0"/>
          <c:showSerName val="0"/>
          <c:showPercent val="0"/>
          <c:showBubbleSize val="0"/>
        </c:dLbls>
        <c:axId val="371733280"/>
        <c:axId val="371724032"/>
        <c:axId val="275499392"/>
      </c:line3DChart>
      <c:catAx>
        <c:axId val="3717332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371724032"/>
        <c:crosses val="autoZero"/>
        <c:auto val="1"/>
        <c:lblAlgn val="ctr"/>
        <c:lblOffset val="100"/>
        <c:noMultiLvlLbl val="0"/>
      </c:catAx>
      <c:valAx>
        <c:axId val="37172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371733280"/>
        <c:crosses val="autoZero"/>
        <c:crossBetween val="between"/>
      </c:valAx>
      <c:serAx>
        <c:axId val="275499392"/>
        <c:scaling>
          <c:orientation val="minMax"/>
        </c:scaling>
        <c:delete val="1"/>
        <c:axPos val="b"/>
        <c:majorTickMark val="out"/>
        <c:minorTickMark val="none"/>
        <c:tickLblPos val="nextTo"/>
        <c:crossAx val="37172403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MX"/>
              <a:t>Gráfico</a:t>
            </a:r>
            <a:r>
              <a:rPr lang="es-MX" baseline="0"/>
              <a:t> 3</a:t>
            </a:r>
          </a:p>
          <a:p>
            <a:pPr>
              <a:defRPr/>
            </a:pPr>
            <a:r>
              <a:rPr lang="es-MX"/>
              <a:t>EVOLUCIÓN DE LAS TARIFAS DE INTERCONEXIÓN MÓVILES Y LOS INDICES DE PRECIOS DE COMUNICACIONES</a:t>
            </a:r>
          </a:p>
          <a:p>
            <a:pPr>
              <a:defRPr/>
            </a:pPr>
            <a:r>
              <a:rPr lang="es-MX"/>
              <a:t>2014-2020</a:t>
            </a:r>
          </a:p>
        </c:rich>
      </c:tx>
      <c:layout>
        <c:manualLayout>
          <c:xMode val="edge"/>
          <c:yMode val="edge"/>
          <c:x val="0.10085356693757334"/>
          <c:y val="5.1826697018322945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MX"/>
        </a:p>
      </c:txPr>
    </c:title>
    <c:autoTitleDeleted val="0"/>
    <c:plotArea>
      <c:layout>
        <c:manualLayout>
          <c:layoutTarget val="inner"/>
          <c:xMode val="edge"/>
          <c:yMode val="edge"/>
          <c:x val="2.7776858575056428E-2"/>
          <c:y val="0.26022216417260641"/>
          <c:w val="0.94211674771344323"/>
          <c:h val="0.54946299958950628"/>
        </c:manualLayout>
      </c:layout>
      <c:lineChart>
        <c:grouping val="standard"/>
        <c:varyColors val="0"/>
        <c:ser>
          <c:idx val="0"/>
          <c:order val="0"/>
          <c:tx>
            <c:strRef>
              <c:f>'ChartData (2)'!$B$1</c:f>
              <c:strCache>
                <c:ptCount val="1"/>
                <c:pt idx="0">
                  <c:v> IPCOM</c:v>
                </c:pt>
              </c:strCache>
            </c:strRef>
          </c:tx>
          <c:spPr>
            <a:ln w="28575" cap="rnd">
              <a:solidFill>
                <a:schemeClr val="accent1"/>
              </a:solidFill>
              <a:round/>
            </a:ln>
            <a:effectLst/>
          </c:spPr>
          <c:marker>
            <c:symbol val="triangle"/>
            <c:size val="7"/>
            <c:spPr>
              <a:solidFill>
                <a:schemeClr val="accent1"/>
              </a:solidFill>
              <a:ln w="9525">
                <a:solidFill>
                  <a:schemeClr val="accent1"/>
                </a:solidFill>
              </a:ln>
              <a:effectLst/>
            </c:spPr>
          </c:marker>
          <c:cat>
            <c:strRef>
              <c:f>'ChartData (2)'!$A$2:$A$7</c:f>
              <c:strCache>
                <c:ptCount val="6"/>
                <c:pt idx="0">
                  <c:v>2015</c:v>
                </c:pt>
                <c:pt idx="1">
                  <c:v>2016</c:v>
                </c:pt>
                <c:pt idx="2">
                  <c:v>2017</c:v>
                </c:pt>
                <c:pt idx="3">
                  <c:v>2018</c:v>
                </c:pt>
                <c:pt idx="4">
                  <c:v>2019</c:v>
                </c:pt>
                <c:pt idx="5">
                  <c:v>2020-4</c:v>
                </c:pt>
              </c:strCache>
            </c:strRef>
          </c:cat>
          <c:val>
            <c:numRef>
              <c:f>'ChartData (2)'!$B$2:$B$7</c:f>
              <c:numCache>
                <c:formatCode>General</c:formatCode>
                <c:ptCount val="6"/>
                <c:pt idx="0">
                  <c:v>81.634</c:v>
                </c:pt>
                <c:pt idx="1">
                  <c:v>76.403000000000006</c:v>
                </c:pt>
                <c:pt idx="2">
                  <c:v>76.239999999999995</c:v>
                </c:pt>
                <c:pt idx="3">
                  <c:v>75.650000000000006</c:v>
                </c:pt>
                <c:pt idx="4">
                  <c:v>75.010000000000005</c:v>
                </c:pt>
                <c:pt idx="5">
                  <c:v>74.349999999999994</c:v>
                </c:pt>
              </c:numCache>
            </c:numRef>
          </c:val>
          <c:smooth val="0"/>
          <c:extLst>
            <c:ext xmlns:c16="http://schemas.microsoft.com/office/drawing/2014/chart" uri="{C3380CC4-5D6E-409C-BE32-E72D297353CC}">
              <c16:uniqueId val="{00000000-1D52-4C15-9F9B-0B3B759A958B}"/>
            </c:ext>
          </c:extLst>
        </c:ser>
        <c:ser>
          <c:idx val="1"/>
          <c:order val="1"/>
          <c:tx>
            <c:strRef>
              <c:f>'ChartData (2)'!$C$1</c:f>
              <c:strCache>
                <c:ptCount val="1"/>
                <c:pt idx="0">
                  <c:v>IPT Móvil</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'ChartData (2)'!$A$2:$A$7</c:f>
              <c:strCache>
                <c:ptCount val="6"/>
                <c:pt idx="0">
                  <c:v>2015</c:v>
                </c:pt>
                <c:pt idx="1">
                  <c:v>2016</c:v>
                </c:pt>
                <c:pt idx="2">
                  <c:v>2017</c:v>
                </c:pt>
                <c:pt idx="3">
                  <c:v>2018</c:v>
                </c:pt>
                <c:pt idx="4">
                  <c:v>2019</c:v>
                </c:pt>
                <c:pt idx="5">
                  <c:v>2020-4</c:v>
                </c:pt>
              </c:strCache>
            </c:strRef>
          </c:cat>
          <c:val>
            <c:numRef>
              <c:f>'ChartData (2)'!$C$2:$C$7</c:f>
              <c:numCache>
                <c:formatCode>General</c:formatCode>
                <c:ptCount val="6"/>
                <c:pt idx="0">
                  <c:v>71.138999999999996</c:v>
                </c:pt>
                <c:pt idx="1">
                  <c:v>59.956000000000003</c:v>
                </c:pt>
                <c:pt idx="2">
                  <c:v>59.832000000000001</c:v>
                </c:pt>
                <c:pt idx="3">
                  <c:v>59.4</c:v>
                </c:pt>
                <c:pt idx="4">
                  <c:v>59.15</c:v>
                </c:pt>
                <c:pt idx="5">
                  <c:v>59.04</c:v>
                </c:pt>
              </c:numCache>
            </c:numRef>
          </c:val>
          <c:smooth val="0"/>
          <c:extLst>
            <c:ext xmlns:c16="http://schemas.microsoft.com/office/drawing/2014/chart" uri="{C3380CC4-5D6E-409C-BE32-E72D297353CC}">
              <c16:uniqueId val="{00000001-1D52-4C15-9F9B-0B3B759A958B}"/>
            </c:ext>
          </c:extLst>
        </c:ser>
        <c:dLbls>
          <c:showLegendKey val="0"/>
          <c:showVal val="0"/>
          <c:showCatName val="0"/>
          <c:showSerName val="0"/>
          <c:showPercent val="0"/>
          <c:showBubbleSize val="0"/>
        </c:dLbls>
        <c:marker val="1"/>
        <c:smooth val="0"/>
        <c:axId val="1288679727"/>
        <c:axId val="1288674319"/>
      </c:lineChart>
      <c:lineChart>
        <c:grouping val="standard"/>
        <c:varyColors val="0"/>
        <c:ser>
          <c:idx val="2"/>
          <c:order val="2"/>
          <c:tx>
            <c:strRef>
              <c:f>'ChartData (2)'!$D$1</c:f>
              <c:strCache>
                <c:ptCount val="1"/>
                <c:pt idx="0">
                  <c:v>Tarifa Itx AEP</c:v>
                </c:pt>
              </c:strCache>
            </c:strRef>
          </c:tx>
          <c:spPr>
            <a:ln w="28575" cap="rnd">
              <a:solidFill>
                <a:schemeClr val="accent6"/>
              </a:solidFill>
              <a:round/>
            </a:ln>
            <a:effectLst/>
          </c:spPr>
          <c:marker>
            <c:symbol val="x"/>
            <c:size val="7"/>
            <c:spPr>
              <a:noFill/>
              <a:ln w="15875">
                <a:solidFill>
                  <a:schemeClr val="accent6"/>
                </a:solidFill>
              </a:ln>
              <a:effectLst/>
            </c:spPr>
          </c:marker>
          <c:cat>
            <c:strRef>
              <c:f>'ChartData (2)'!$A$2:$A$7</c:f>
              <c:strCache>
                <c:ptCount val="6"/>
                <c:pt idx="0">
                  <c:v>2015</c:v>
                </c:pt>
                <c:pt idx="1">
                  <c:v>2016</c:v>
                </c:pt>
                <c:pt idx="2">
                  <c:v>2017</c:v>
                </c:pt>
                <c:pt idx="3">
                  <c:v>2018</c:v>
                </c:pt>
                <c:pt idx="4">
                  <c:v>2019</c:v>
                </c:pt>
                <c:pt idx="5">
                  <c:v>2020-4</c:v>
                </c:pt>
              </c:strCache>
            </c:strRef>
          </c:cat>
          <c:val>
            <c:numRef>
              <c:f>'ChartData (2)'!$D$2:$D$7</c:f>
              <c:numCache>
                <c:formatCode>General</c:formatCode>
                <c:ptCount val="6"/>
                <c:pt idx="0">
                  <c:v>0</c:v>
                </c:pt>
                <c:pt idx="1">
                  <c:v>0</c:v>
                </c:pt>
                <c:pt idx="2">
                  <c:v>0</c:v>
                </c:pt>
                <c:pt idx="3">
                  <c:v>2.8562000000000001E-2</c:v>
                </c:pt>
                <c:pt idx="4">
                  <c:v>2.8313000000000001E-2</c:v>
                </c:pt>
                <c:pt idx="5">
                  <c:v>2.5770999999999999E-2</c:v>
                </c:pt>
              </c:numCache>
            </c:numRef>
          </c:val>
          <c:smooth val="0"/>
          <c:extLst>
            <c:ext xmlns:c16="http://schemas.microsoft.com/office/drawing/2014/chart" uri="{C3380CC4-5D6E-409C-BE32-E72D297353CC}">
              <c16:uniqueId val="{00000002-1D52-4C15-9F9B-0B3B759A958B}"/>
            </c:ext>
          </c:extLst>
        </c:ser>
        <c:ser>
          <c:idx val="3"/>
          <c:order val="3"/>
          <c:tx>
            <c:strRef>
              <c:f>'ChartData (2)'!$E$1</c:f>
              <c:strCache>
                <c:ptCount val="1"/>
                <c:pt idx="0">
                  <c:v>Tarifa Itx Alternativos</c:v>
                </c:pt>
              </c:strCache>
            </c:strRef>
          </c:tx>
          <c:spPr>
            <a:ln w="28575" cap="rnd">
              <a:solidFill>
                <a:schemeClr val="accent4"/>
              </a:solidFill>
              <a:round/>
            </a:ln>
            <a:effectLst/>
          </c:spPr>
          <c:marker>
            <c:symbol val="diamond"/>
            <c:size val="7"/>
            <c:spPr>
              <a:solidFill>
                <a:schemeClr val="accent4"/>
              </a:solidFill>
              <a:ln w="9525">
                <a:solidFill>
                  <a:schemeClr val="accent4"/>
                </a:solidFill>
              </a:ln>
              <a:effectLst/>
            </c:spPr>
          </c:marker>
          <c:cat>
            <c:strRef>
              <c:f>'ChartData (2)'!$A$2:$A$7</c:f>
              <c:strCache>
                <c:ptCount val="6"/>
                <c:pt idx="0">
                  <c:v>2015</c:v>
                </c:pt>
                <c:pt idx="1">
                  <c:v>2016</c:v>
                </c:pt>
                <c:pt idx="2">
                  <c:v>2017</c:v>
                </c:pt>
                <c:pt idx="3">
                  <c:v>2018</c:v>
                </c:pt>
                <c:pt idx="4">
                  <c:v>2019</c:v>
                </c:pt>
                <c:pt idx="5">
                  <c:v>2020-4</c:v>
                </c:pt>
              </c:strCache>
            </c:strRef>
          </c:cat>
          <c:val>
            <c:numRef>
              <c:f>'ChartData (2)'!$E$2:$E$7</c:f>
              <c:numCache>
                <c:formatCode>General</c:formatCode>
                <c:ptCount val="6"/>
                <c:pt idx="0">
                  <c:v>0.2505</c:v>
                </c:pt>
                <c:pt idx="1">
                  <c:v>0.18690000000000001</c:v>
                </c:pt>
                <c:pt idx="2">
                  <c:v>0.19059999999999999</c:v>
                </c:pt>
                <c:pt idx="3">
                  <c:v>0.112799</c:v>
                </c:pt>
                <c:pt idx="4">
                  <c:v>0.112623</c:v>
                </c:pt>
                <c:pt idx="5">
                  <c:v>9.9287E-2</c:v>
                </c:pt>
              </c:numCache>
            </c:numRef>
          </c:val>
          <c:smooth val="0"/>
          <c:extLst>
            <c:ext xmlns:c16="http://schemas.microsoft.com/office/drawing/2014/chart" uri="{C3380CC4-5D6E-409C-BE32-E72D297353CC}">
              <c16:uniqueId val="{00000003-1D52-4C15-9F9B-0B3B759A958B}"/>
            </c:ext>
          </c:extLst>
        </c:ser>
        <c:ser>
          <c:idx val="4"/>
          <c:order val="4"/>
          <c:tx>
            <c:strRef>
              <c:f>'ChartData (2)'!$F$1</c:f>
              <c:strCache>
                <c:ptCount val="1"/>
                <c:pt idx="0">
                  <c:v>Tarifa Itx Promedio de la Industria</c:v>
                </c:pt>
              </c:strCache>
            </c:strRef>
          </c:tx>
          <c:spPr>
            <a:ln w="28575" cap="rnd">
              <a:solidFill>
                <a:schemeClr val="accent5"/>
              </a:solidFill>
              <a:round/>
            </a:ln>
            <a:effectLst/>
          </c:spPr>
          <c:marker>
            <c:symbol val="circle"/>
            <c:size val="7"/>
            <c:spPr>
              <a:solidFill>
                <a:schemeClr val="accent5"/>
              </a:solidFill>
              <a:ln w="9525">
                <a:solidFill>
                  <a:schemeClr val="accent5"/>
                </a:solidFill>
              </a:ln>
              <a:effectLst/>
            </c:spPr>
          </c:marker>
          <c:cat>
            <c:strRef>
              <c:f>'ChartData (2)'!$A$2:$A$7</c:f>
              <c:strCache>
                <c:ptCount val="6"/>
                <c:pt idx="0">
                  <c:v>2015</c:v>
                </c:pt>
                <c:pt idx="1">
                  <c:v>2016</c:v>
                </c:pt>
                <c:pt idx="2">
                  <c:v>2017</c:v>
                </c:pt>
                <c:pt idx="3">
                  <c:v>2018</c:v>
                </c:pt>
                <c:pt idx="4">
                  <c:v>2019</c:v>
                </c:pt>
                <c:pt idx="5">
                  <c:v>2020-4</c:v>
                </c:pt>
              </c:strCache>
            </c:strRef>
          </c:cat>
          <c:val>
            <c:numRef>
              <c:f>'ChartData (2)'!$F$2:$F$7</c:f>
              <c:numCache>
                <c:formatCode>General</c:formatCode>
                <c:ptCount val="6"/>
                <c:pt idx="0">
                  <c:v>0.12525</c:v>
                </c:pt>
                <c:pt idx="1">
                  <c:v>9.3450000000000005E-2</c:v>
                </c:pt>
                <c:pt idx="2">
                  <c:v>9.5299999999999996E-2</c:v>
                </c:pt>
                <c:pt idx="3">
                  <c:v>7.0680499999999993E-2</c:v>
                </c:pt>
                <c:pt idx="4">
                  <c:v>7.0468000000000003E-2</c:v>
                </c:pt>
                <c:pt idx="5">
                  <c:v>6.2529000000000001E-2</c:v>
                </c:pt>
              </c:numCache>
            </c:numRef>
          </c:val>
          <c:smooth val="0"/>
          <c:extLst>
            <c:ext xmlns:c16="http://schemas.microsoft.com/office/drawing/2014/chart" uri="{C3380CC4-5D6E-409C-BE32-E72D297353CC}">
              <c16:uniqueId val="{00000004-1D52-4C15-9F9B-0B3B759A958B}"/>
            </c:ext>
          </c:extLst>
        </c:ser>
        <c:dLbls>
          <c:showLegendKey val="0"/>
          <c:showVal val="0"/>
          <c:showCatName val="0"/>
          <c:showSerName val="0"/>
          <c:showPercent val="0"/>
          <c:showBubbleSize val="0"/>
        </c:dLbls>
        <c:marker val="1"/>
        <c:smooth val="0"/>
        <c:axId val="1231299919"/>
        <c:axId val="1231320303"/>
      </c:lineChart>
      <c:catAx>
        <c:axId val="128867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crossAx val="1288674319"/>
        <c:crosses val="autoZero"/>
        <c:auto val="1"/>
        <c:lblAlgn val="ctr"/>
        <c:lblOffset val="100"/>
        <c:noMultiLvlLbl val="0"/>
      </c:catAx>
      <c:valAx>
        <c:axId val="1288674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MX"/>
          </a:p>
        </c:txPr>
        <c:crossAx val="1288679727"/>
        <c:crosses val="autoZero"/>
        <c:crossBetween val="between"/>
      </c:valAx>
      <c:valAx>
        <c:axId val="1231320303"/>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crossAx val="1231299919"/>
        <c:crosses val="max"/>
        <c:crossBetween val="between"/>
      </c:valAx>
      <c:catAx>
        <c:axId val="1231299919"/>
        <c:scaling>
          <c:orientation val="minMax"/>
        </c:scaling>
        <c:delete val="1"/>
        <c:axPos val="b"/>
        <c:numFmt formatCode="General" sourceLinked="1"/>
        <c:majorTickMark val="out"/>
        <c:minorTickMark val="none"/>
        <c:tickLblPos val="nextTo"/>
        <c:crossAx val="1231320303"/>
        <c:crosses val="autoZero"/>
        <c:auto val="1"/>
        <c:lblAlgn val="ctr"/>
        <c:lblOffset val="100"/>
        <c:noMultiLvlLbl val="0"/>
      </c:catAx>
      <c:spPr>
        <a:noFill/>
        <a:ln>
          <a:noFill/>
        </a:ln>
        <a:effectLst/>
      </c:spPr>
    </c:plotArea>
    <c:legend>
      <c:legendPos val="b"/>
      <c:layout>
        <c:manualLayout>
          <c:xMode val="edge"/>
          <c:yMode val="edge"/>
          <c:x val="9.5495144399701373E-2"/>
          <c:y val="0.8694507260986839"/>
          <c:w val="0.81779550846162929"/>
          <c:h val="0.112347492030624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
      <w:docPartPr>
        <w:name w:val="7B117B48CDBA47E481FE007BF8657F92"/>
        <w:category>
          <w:name w:val="General"/>
          <w:gallery w:val="placeholder"/>
        </w:category>
        <w:types>
          <w:type w:val="bbPlcHdr"/>
        </w:types>
        <w:behaviors>
          <w:behavior w:val="content"/>
        </w:behaviors>
        <w:guid w:val="{D2925FB1-573E-4668-BBBC-399580FA6E39}"/>
      </w:docPartPr>
      <w:docPartBody>
        <w:p w:rsidR="006B3FF8" w:rsidRDefault="0010291A" w:rsidP="0010291A">
          <w:pPr>
            <w:pStyle w:val="7B117B48CDBA47E481FE007BF8657F92"/>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B260C"/>
    <w:rsid w:val="000C0862"/>
    <w:rsid w:val="000D737F"/>
    <w:rsid w:val="000D7563"/>
    <w:rsid w:val="000E2B5F"/>
    <w:rsid w:val="0010291A"/>
    <w:rsid w:val="001170AC"/>
    <w:rsid w:val="00164C97"/>
    <w:rsid w:val="0019555E"/>
    <w:rsid w:val="001A5091"/>
    <w:rsid w:val="001E7385"/>
    <w:rsid w:val="001F0EB6"/>
    <w:rsid w:val="0020195D"/>
    <w:rsid w:val="002023A1"/>
    <w:rsid w:val="002043B9"/>
    <w:rsid w:val="00293177"/>
    <w:rsid w:val="002A1D16"/>
    <w:rsid w:val="002B64F1"/>
    <w:rsid w:val="002C3043"/>
    <w:rsid w:val="002C70E0"/>
    <w:rsid w:val="002D3EC8"/>
    <w:rsid w:val="002F7729"/>
    <w:rsid w:val="0037209C"/>
    <w:rsid w:val="00386F84"/>
    <w:rsid w:val="00387BED"/>
    <w:rsid w:val="003C4117"/>
    <w:rsid w:val="003E5BA0"/>
    <w:rsid w:val="00402EE8"/>
    <w:rsid w:val="00491607"/>
    <w:rsid w:val="004973C4"/>
    <w:rsid w:val="004D7B84"/>
    <w:rsid w:val="004F1F81"/>
    <w:rsid w:val="00502052"/>
    <w:rsid w:val="0051267B"/>
    <w:rsid w:val="00523BA8"/>
    <w:rsid w:val="005B1FB0"/>
    <w:rsid w:val="005B43F8"/>
    <w:rsid w:val="005C6AF7"/>
    <w:rsid w:val="005F0CC1"/>
    <w:rsid w:val="005F179D"/>
    <w:rsid w:val="0061327C"/>
    <w:rsid w:val="006430A9"/>
    <w:rsid w:val="0065451C"/>
    <w:rsid w:val="00664216"/>
    <w:rsid w:val="006B3FF8"/>
    <w:rsid w:val="006B6564"/>
    <w:rsid w:val="006C5CB7"/>
    <w:rsid w:val="006D365C"/>
    <w:rsid w:val="006E0468"/>
    <w:rsid w:val="006F2A89"/>
    <w:rsid w:val="00704DDD"/>
    <w:rsid w:val="00747B64"/>
    <w:rsid w:val="0078204A"/>
    <w:rsid w:val="007B21D2"/>
    <w:rsid w:val="007C6D13"/>
    <w:rsid w:val="007F2A88"/>
    <w:rsid w:val="00856CBC"/>
    <w:rsid w:val="008570E9"/>
    <w:rsid w:val="0088582F"/>
    <w:rsid w:val="008A0143"/>
    <w:rsid w:val="008A1296"/>
    <w:rsid w:val="008C5122"/>
    <w:rsid w:val="008E3022"/>
    <w:rsid w:val="008E6F19"/>
    <w:rsid w:val="00924F24"/>
    <w:rsid w:val="00961943"/>
    <w:rsid w:val="009720FA"/>
    <w:rsid w:val="0099225F"/>
    <w:rsid w:val="009A1088"/>
    <w:rsid w:val="009A4950"/>
    <w:rsid w:val="009E2DFF"/>
    <w:rsid w:val="00A033BC"/>
    <w:rsid w:val="00A15914"/>
    <w:rsid w:val="00A30D42"/>
    <w:rsid w:val="00A724C5"/>
    <w:rsid w:val="00AB4E07"/>
    <w:rsid w:val="00AE0DF9"/>
    <w:rsid w:val="00AE666F"/>
    <w:rsid w:val="00B13BF1"/>
    <w:rsid w:val="00B26BC0"/>
    <w:rsid w:val="00B555C7"/>
    <w:rsid w:val="00B90A3C"/>
    <w:rsid w:val="00B978AB"/>
    <w:rsid w:val="00BB74CD"/>
    <w:rsid w:val="00BE796C"/>
    <w:rsid w:val="00C05A95"/>
    <w:rsid w:val="00C446FE"/>
    <w:rsid w:val="00C60CC3"/>
    <w:rsid w:val="00C90926"/>
    <w:rsid w:val="00C92176"/>
    <w:rsid w:val="00C9611F"/>
    <w:rsid w:val="00CB3DE4"/>
    <w:rsid w:val="00CB7BB6"/>
    <w:rsid w:val="00D24404"/>
    <w:rsid w:val="00D35CA7"/>
    <w:rsid w:val="00D55A9F"/>
    <w:rsid w:val="00D5643F"/>
    <w:rsid w:val="00DD05CA"/>
    <w:rsid w:val="00E134D2"/>
    <w:rsid w:val="00E31314"/>
    <w:rsid w:val="00E80742"/>
    <w:rsid w:val="00E95F33"/>
    <w:rsid w:val="00EE5AE2"/>
    <w:rsid w:val="00F124E8"/>
    <w:rsid w:val="00F4060E"/>
    <w:rsid w:val="00F76F86"/>
    <w:rsid w:val="00F969BB"/>
    <w:rsid w:val="00FC1100"/>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291A"/>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B53333D12194425E8A35602DE09D90FA">
    <w:name w:val="B53333D12194425E8A35602DE09D90FA"/>
    <w:rsid w:val="00E134D2"/>
  </w:style>
  <w:style w:type="paragraph" w:customStyle="1" w:styleId="59F291F018D145DFA771A91292488C1E">
    <w:name w:val="59F291F018D145DFA771A91292488C1E"/>
    <w:rsid w:val="00E134D2"/>
  </w:style>
  <w:style w:type="paragraph" w:customStyle="1" w:styleId="373C23939C5C4D18AEB3E286870FF97C">
    <w:name w:val="373C23939C5C4D18AEB3E286870FF97C"/>
    <w:rsid w:val="00E134D2"/>
  </w:style>
  <w:style w:type="paragraph" w:customStyle="1" w:styleId="41B8B94DBA084B49B39B2B9306FD5AB5">
    <w:name w:val="41B8B94DBA084B49B39B2B9306FD5AB5"/>
    <w:rsid w:val="00E134D2"/>
  </w:style>
  <w:style w:type="paragraph" w:customStyle="1" w:styleId="61A6920AC7CC47BBA3D0DF1046D45C46">
    <w:name w:val="61A6920AC7CC47BBA3D0DF1046D45C46"/>
    <w:rsid w:val="00E134D2"/>
  </w:style>
  <w:style w:type="paragraph" w:customStyle="1" w:styleId="31E024502F304B15B702265FE2323EB8">
    <w:name w:val="31E024502F304B15B702265FE2323EB8"/>
    <w:rsid w:val="00E134D2"/>
  </w:style>
  <w:style w:type="paragraph" w:customStyle="1" w:styleId="1769A4581D384E839AEEDF26B3685160">
    <w:name w:val="1769A4581D384E839AEEDF26B3685160"/>
    <w:rsid w:val="00E134D2"/>
  </w:style>
  <w:style w:type="paragraph" w:customStyle="1" w:styleId="12DBB73CC105444F8DE78F5A3C42D205">
    <w:name w:val="12DBB73CC105444F8DE78F5A3C42D205"/>
    <w:rsid w:val="00E134D2"/>
  </w:style>
  <w:style w:type="paragraph" w:customStyle="1" w:styleId="A5527AE554B443DDA8499DE44503B383">
    <w:name w:val="A5527AE554B443DDA8499DE44503B383"/>
    <w:rsid w:val="00E134D2"/>
  </w:style>
  <w:style w:type="paragraph" w:customStyle="1" w:styleId="8C5358882C4541D682F5899A13BBCF05">
    <w:name w:val="8C5358882C4541D682F5899A13BBCF05"/>
    <w:rsid w:val="00E134D2"/>
  </w:style>
  <w:style w:type="paragraph" w:customStyle="1" w:styleId="1F03414CA7F34648A88CBD64CB883BA0">
    <w:name w:val="1F03414CA7F34648A88CBD64CB883BA0"/>
    <w:rsid w:val="00E134D2"/>
  </w:style>
  <w:style w:type="paragraph" w:customStyle="1" w:styleId="27BA4EC96D4E4F54B5E3563169AE7F4C">
    <w:name w:val="27BA4EC96D4E4F54B5E3563169AE7F4C"/>
    <w:rsid w:val="00E134D2"/>
  </w:style>
  <w:style w:type="paragraph" w:customStyle="1" w:styleId="1D8D77879AA04017B3975AC85D781E64">
    <w:name w:val="1D8D77879AA04017B3975AC85D781E64"/>
    <w:rsid w:val="00E134D2"/>
  </w:style>
  <w:style w:type="paragraph" w:customStyle="1" w:styleId="51FCAB9228DF48E583AECC2ECD20DB65">
    <w:name w:val="51FCAB9228DF48E583AECC2ECD20DB65"/>
    <w:rsid w:val="00E134D2"/>
  </w:style>
  <w:style w:type="paragraph" w:customStyle="1" w:styleId="0F50492443D6459395E1D5C9CA7E4CAA">
    <w:name w:val="0F50492443D6459395E1D5C9CA7E4CAA"/>
    <w:rsid w:val="00E134D2"/>
  </w:style>
  <w:style w:type="paragraph" w:customStyle="1" w:styleId="A55F9BA0DFD04D1A9F908ADC1DC5F557">
    <w:name w:val="A55F9BA0DFD04D1A9F908ADC1DC5F557"/>
    <w:rsid w:val="00E134D2"/>
  </w:style>
  <w:style w:type="paragraph" w:customStyle="1" w:styleId="0E52B2A553C3453F8B89956E076C93F7">
    <w:name w:val="0E52B2A553C3453F8B89956E076C93F7"/>
    <w:rsid w:val="00E134D2"/>
  </w:style>
  <w:style w:type="paragraph" w:customStyle="1" w:styleId="71CE3838A1954F3391EF33BC8D19EEB8">
    <w:name w:val="71CE3838A1954F3391EF33BC8D19EEB8"/>
    <w:rsid w:val="00E134D2"/>
  </w:style>
  <w:style w:type="paragraph" w:customStyle="1" w:styleId="2DE01E32E0494FC48FC3D6C6FD877743">
    <w:name w:val="2DE01E32E0494FC48FC3D6C6FD877743"/>
    <w:rsid w:val="00E134D2"/>
  </w:style>
  <w:style w:type="paragraph" w:customStyle="1" w:styleId="8807BBCC76D846E9A124731F2924E3E3">
    <w:name w:val="8807BBCC76D846E9A124731F2924E3E3"/>
    <w:rsid w:val="00E134D2"/>
  </w:style>
  <w:style w:type="paragraph" w:customStyle="1" w:styleId="2920064601D043C4B29E5940ECC0D795">
    <w:name w:val="2920064601D043C4B29E5940ECC0D795"/>
    <w:rsid w:val="00E134D2"/>
  </w:style>
  <w:style w:type="paragraph" w:customStyle="1" w:styleId="09903760670F4F7BB45C743DE50C6315">
    <w:name w:val="09903760670F4F7BB45C743DE50C6315"/>
    <w:rsid w:val="00E134D2"/>
  </w:style>
  <w:style w:type="paragraph" w:customStyle="1" w:styleId="463BB01F95004228AFB8EFD5F420769F">
    <w:name w:val="463BB01F95004228AFB8EFD5F420769F"/>
    <w:rsid w:val="00E134D2"/>
  </w:style>
  <w:style w:type="paragraph" w:customStyle="1" w:styleId="5EAF20F9CEAD4B8487DE7F6AE4D6FDBD">
    <w:name w:val="5EAF20F9CEAD4B8487DE7F6AE4D6FDBD"/>
    <w:rsid w:val="00E134D2"/>
  </w:style>
  <w:style w:type="paragraph" w:customStyle="1" w:styleId="B9C58D59057F411F8CDDB954A83D5E80">
    <w:name w:val="B9C58D59057F411F8CDDB954A83D5E80"/>
    <w:rsid w:val="00E134D2"/>
  </w:style>
  <w:style w:type="paragraph" w:customStyle="1" w:styleId="28DE45104C614781B14ECC50D83FD62B">
    <w:name w:val="28DE45104C614781B14ECC50D83FD62B"/>
    <w:rsid w:val="00E134D2"/>
  </w:style>
  <w:style w:type="paragraph" w:customStyle="1" w:styleId="4E9DAA08C8344311BDF2096DF2835869">
    <w:name w:val="4E9DAA08C8344311BDF2096DF2835869"/>
    <w:rsid w:val="00E134D2"/>
  </w:style>
  <w:style w:type="paragraph" w:customStyle="1" w:styleId="3A76A4A0D2C24B9C8F69FE7B60EEA57F">
    <w:name w:val="3A76A4A0D2C24B9C8F69FE7B60EEA57F"/>
    <w:rsid w:val="00E134D2"/>
  </w:style>
  <w:style w:type="paragraph" w:customStyle="1" w:styleId="8CEE72B21D84431A997111AE863BBAB1">
    <w:name w:val="8CEE72B21D84431A997111AE863BBAB1"/>
    <w:rsid w:val="00E134D2"/>
  </w:style>
  <w:style w:type="paragraph" w:customStyle="1" w:styleId="C8B8DC2F34714E149B3548962BBC3169">
    <w:name w:val="C8B8DC2F34714E149B3548962BBC3169"/>
    <w:rsid w:val="00E134D2"/>
  </w:style>
  <w:style w:type="paragraph" w:customStyle="1" w:styleId="5945EF7E220144DEB7AA01411201A5E1">
    <w:name w:val="5945EF7E220144DEB7AA01411201A5E1"/>
    <w:rsid w:val="00E134D2"/>
  </w:style>
  <w:style w:type="paragraph" w:customStyle="1" w:styleId="C8870FDEB02B4B0999BC557328BC4A9C">
    <w:name w:val="C8870FDEB02B4B0999BC557328BC4A9C"/>
    <w:rsid w:val="00E134D2"/>
  </w:style>
  <w:style w:type="paragraph" w:customStyle="1" w:styleId="619D6759A17547C28E751512B9E4F672">
    <w:name w:val="619D6759A17547C28E751512B9E4F672"/>
    <w:rsid w:val="00E134D2"/>
  </w:style>
  <w:style w:type="paragraph" w:customStyle="1" w:styleId="1AAAD72A0DC34B029C2CCDC821C5F942">
    <w:name w:val="1AAAD72A0DC34B029C2CCDC821C5F942"/>
    <w:rsid w:val="00E134D2"/>
  </w:style>
  <w:style w:type="paragraph" w:customStyle="1" w:styleId="7C89A413E56D4733AC99D534A1CD729C">
    <w:name w:val="7C89A413E56D4733AC99D534A1CD729C"/>
    <w:rsid w:val="00E134D2"/>
  </w:style>
  <w:style w:type="paragraph" w:customStyle="1" w:styleId="649F83911EE04BA1A641F4A5637EEB54">
    <w:name w:val="649F83911EE04BA1A641F4A5637EEB54"/>
    <w:rsid w:val="00E134D2"/>
  </w:style>
  <w:style w:type="paragraph" w:customStyle="1" w:styleId="4C0D4C4A8270434FA3ACAB6408E69CD0">
    <w:name w:val="4C0D4C4A8270434FA3ACAB6408E69CD0"/>
    <w:rsid w:val="00E134D2"/>
  </w:style>
  <w:style w:type="paragraph" w:customStyle="1" w:styleId="16985BF86B17483380D13F07CE67A690">
    <w:name w:val="16985BF86B17483380D13F07CE67A690"/>
    <w:rsid w:val="00E134D2"/>
  </w:style>
  <w:style w:type="paragraph" w:customStyle="1" w:styleId="18A616FB78814E85AB92F7B148BCFFDA">
    <w:name w:val="18A616FB78814E85AB92F7B148BCFFDA"/>
    <w:rsid w:val="00E134D2"/>
  </w:style>
  <w:style w:type="paragraph" w:customStyle="1" w:styleId="4B39248AC0B746069EF23B3D52C0FA73">
    <w:name w:val="4B39248AC0B746069EF23B3D52C0FA73"/>
    <w:rsid w:val="00E134D2"/>
  </w:style>
  <w:style w:type="paragraph" w:customStyle="1" w:styleId="FA3F4D05BBB14A918AFB199906A0F2DB">
    <w:name w:val="FA3F4D05BBB14A918AFB199906A0F2DB"/>
    <w:rsid w:val="00E134D2"/>
  </w:style>
  <w:style w:type="paragraph" w:customStyle="1" w:styleId="47AF00A908AD4C10AE4666F9326523BD">
    <w:name w:val="47AF00A908AD4C10AE4666F9326523BD"/>
    <w:rsid w:val="00E134D2"/>
  </w:style>
  <w:style w:type="paragraph" w:customStyle="1" w:styleId="CAB4F4C9206B4DD2A5B8AC3D9F34B41F">
    <w:name w:val="CAB4F4C9206B4DD2A5B8AC3D9F34B41F"/>
    <w:rsid w:val="00E134D2"/>
  </w:style>
  <w:style w:type="paragraph" w:customStyle="1" w:styleId="743084A5034C4C12A3FE39618AE2CFD5">
    <w:name w:val="743084A5034C4C12A3FE39618AE2CFD5"/>
    <w:rsid w:val="00E134D2"/>
  </w:style>
  <w:style w:type="paragraph" w:customStyle="1" w:styleId="61A59C5C55F8412F85ED85E36FBD1236">
    <w:name w:val="61A59C5C55F8412F85ED85E36FBD1236"/>
    <w:rsid w:val="00E134D2"/>
  </w:style>
  <w:style w:type="paragraph" w:customStyle="1" w:styleId="0477164D7CF14741AB7ACF6CFBAC3FFD">
    <w:name w:val="0477164D7CF14741AB7ACF6CFBAC3FFD"/>
    <w:rsid w:val="00E134D2"/>
  </w:style>
  <w:style w:type="paragraph" w:customStyle="1" w:styleId="58C0000F049E4630AF10A2CFC687160C">
    <w:name w:val="58C0000F049E4630AF10A2CFC687160C"/>
    <w:rsid w:val="00E134D2"/>
  </w:style>
  <w:style w:type="paragraph" w:customStyle="1" w:styleId="310B2AB395194E0DAA0A27276230F0C2">
    <w:name w:val="310B2AB395194E0DAA0A27276230F0C2"/>
    <w:rsid w:val="00E134D2"/>
  </w:style>
  <w:style w:type="paragraph" w:customStyle="1" w:styleId="EC495296BF8946C19BA6E735923F5AFB">
    <w:name w:val="EC495296BF8946C19BA6E735923F5AFB"/>
    <w:rsid w:val="00E134D2"/>
  </w:style>
  <w:style w:type="paragraph" w:customStyle="1" w:styleId="3346862679D4434C9F1A28D3B6A383AD">
    <w:name w:val="3346862679D4434C9F1A28D3B6A383AD"/>
    <w:rsid w:val="00E134D2"/>
  </w:style>
  <w:style w:type="paragraph" w:customStyle="1" w:styleId="B3C7630372A540BDB1FB4A8BC3046CB3">
    <w:name w:val="B3C7630372A540BDB1FB4A8BC3046CB3"/>
    <w:rsid w:val="00E134D2"/>
  </w:style>
  <w:style w:type="paragraph" w:customStyle="1" w:styleId="72B73A7B3B32452E85A9CF6E5BEDC0CC">
    <w:name w:val="72B73A7B3B32452E85A9CF6E5BEDC0CC"/>
    <w:rsid w:val="00E134D2"/>
  </w:style>
  <w:style w:type="paragraph" w:customStyle="1" w:styleId="7C7BBE1E4A4E466C9515D82A53440B34">
    <w:name w:val="7C7BBE1E4A4E466C9515D82A53440B34"/>
    <w:rsid w:val="00E134D2"/>
  </w:style>
  <w:style w:type="paragraph" w:customStyle="1" w:styleId="104D3EC372514D7EAE888368286435C9">
    <w:name w:val="104D3EC372514D7EAE888368286435C9"/>
    <w:rsid w:val="00E134D2"/>
  </w:style>
  <w:style w:type="paragraph" w:customStyle="1" w:styleId="70D944D8FBDE40E7985F6FD995AADD90">
    <w:name w:val="70D944D8FBDE40E7985F6FD995AADD90"/>
    <w:rsid w:val="00E134D2"/>
  </w:style>
  <w:style w:type="paragraph" w:customStyle="1" w:styleId="412F1ACB124143B082EFC18FE40DA261">
    <w:name w:val="412F1ACB124143B082EFC18FE40DA261"/>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699CD08C4B544C4B8B557B91D676D9F2">
    <w:name w:val="699CD08C4B544C4B8B557B91D676D9F2"/>
    <w:rsid w:val="001A5091"/>
  </w:style>
  <w:style w:type="paragraph" w:customStyle="1" w:styleId="8E0F89BF4494480FA7994250BF1607DC">
    <w:name w:val="8E0F89BF4494480FA7994250BF1607DC"/>
    <w:rsid w:val="001A5091"/>
  </w:style>
  <w:style w:type="paragraph" w:customStyle="1" w:styleId="B1E62C23BD0F4C57AA6A1C2B38621372">
    <w:name w:val="B1E62C23BD0F4C57AA6A1C2B38621372"/>
    <w:rsid w:val="001A5091"/>
  </w:style>
  <w:style w:type="paragraph" w:customStyle="1" w:styleId="A7C2E13A95A044D1A9E204464B7FA81E">
    <w:name w:val="A7C2E13A95A044D1A9E204464B7FA81E"/>
    <w:rsid w:val="001A5091"/>
  </w:style>
  <w:style w:type="paragraph" w:customStyle="1" w:styleId="436F93533DF74A048B5767EDE04CCAA0">
    <w:name w:val="436F93533DF74A048B5767EDE04CCAA0"/>
    <w:rsid w:val="001A5091"/>
  </w:style>
  <w:style w:type="paragraph" w:customStyle="1" w:styleId="C2925B9BB3B5489C9C0CE4B3878CD903">
    <w:name w:val="C2925B9BB3B5489C9C0CE4B3878CD903"/>
    <w:rsid w:val="001A5091"/>
  </w:style>
  <w:style w:type="paragraph" w:customStyle="1" w:styleId="8B0D477D6EB848BEA8C93657F16BBCDE">
    <w:name w:val="8B0D477D6EB848BEA8C93657F16BBCDE"/>
    <w:rsid w:val="001A5091"/>
  </w:style>
  <w:style w:type="paragraph" w:customStyle="1" w:styleId="D38DC9B26ACC4DE984F4AB2AFB7745ED">
    <w:name w:val="D38DC9B26ACC4DE984F4AB2AFB7745ED"/>
    <w:rsid w:val="001A5091"/>
  </w:style>
  <w:style w:type="paragraph" w:customStyle="1" w:styleId="AA53D13B02E94911A278DEEC1791D76F">
    <w:name w:val="AA53D13B02E94911A278DEEC1791D76F"/>
    <w:rsid w:val="001A5091"/>
  </w:style>
  <w:style w:type="paragraph" w:customStyle="1" w:styleId="DCD0A95BD1A54E43B5F98927BF081EEB">
    <w:name w:val="DCD0A95BD1A54E43B5F98927BF081EEB"/>
    <w:rsid w:val="001A5091"/>
  </w:style>
  <w:style w:type="paragraph" w:customStyle="1" w:styleId="0A4B6322795448CFB911D1B045A3E6AD">
    <w:name w:val="0A4B6322795448CFB911D1B045A3E6AD"/>
    <w:rsid w:val="001A5091"/>
  </w:style>
  <w:style w:type="paragraph" w:customStyle="1" w:styleId="B900A6A6AB214BBE98EA0FAF44C501F8">
    <w:name w:val="B900A6A6AB214BBE98EA0FAF44C501F8"/>
    <w:rsid w:val="001A5091"/>
  </w:style>
  <w:style w:type="paragraph" w:customStyle="1" w:styleId="8F83CE1B4A7E4726B8012865BC53DA7E">
    <w:name w:val="8F83CE1B4A7E4726B8012865BC53DA7E"/>
    <w:rsid w:val="001A5091"/>
  </w:style>
  <w:style w:type="paragraph" w:customStyle="1" w:styleId="A0C5CE250C1644A3A14B47B9AD11F638">
    <w:name w:val="A0C5CE250C1644A3A14B47B9AD11F638"/>
    <w:rsid w:val="001A5091"/>
  </w:style>
  <w:style w:type="paragraph" w:customStyle="1" w:styleId="07734310A2A14A4B9206667F488FB800">
    <w:name w:val="07734310A2A14A4B9206667F488FB800"/>
    <w:rsid w:val="001A5091"/>
  </w:style>
  <w:style w:type="paragraph" w:customStyle="1" w:styleId="6F8A4A01253B4112B3A4D6834EC2A072">
    <w:name w:val="6F8A4A01253B4112B3A4D6834EC2A072"/>
    <w:rsid w:val="001A5091"/>
  </w:style>
  <w:style w:type="paragraph" w:customStyle="1" w:styleId="4C7544B9D7C84970AFD3BE9395CFCB00">
    <w:name w:val="4C7544B9D7C84970AFD3BE9395CFCB00"/>
    <w:rsid w:val="001A5091"/>
  </w:style>
  <w:style w:type="paragraph" w:customStyle="1" w:styleId="2274F25E05FF4FEFBC23AAFD2FD3CCE2">
    <w:name w:val="2274F25E05FF4FEFBC23AAFD2FD3CCE2"/>
    <w:rsid w:val="001A5091"/>
  </w:style>
  <w:style w:type="paragraph" w:customStyle="1" w:styleId="C01256150B00422480DB8C32875735CE">
    <w:name w:val="C01256150B00422480DB8C32875735CE"/>
    <w:rsid w:val="001A5091"/>
  </w:style>
  <w:style w:type="paragraph" w:customStyle="1" w:styleId="7A5BA56AC33E4C9FBFFA533430A6D776">
    <w:name w:val="7A5BA56AC33E4C9FBFFA533430A6D776"/>
    <w:rsid w:val="001A5091"/>
  </w:style>
  <w:style w:type="paragraph" w:customStyle="1" w:styleId="D82E9FF674D24B008AEFD3DA28ABAF1F">
    <w:name w:val="D82E9FF674D24B008AEFD3DA28ABAF1F"/>
    <w:rsid w:val="001A5091"/>
  </w:style>
  <w:style w:type="paragraph" w:customStyle="1" w:styleId="C48816B0D86446EDBF4851E90886DC3E">
    <w:name w:val="C48816B0D86446EDBF4851E90886DC3E"/>
    <w:rsid w:val="001A5091"/>
  </w:style>
  <w:style w:type="paragraph" w:customStyle="1" w:styleId="2261FF46D889460280EB034319701538">
    <w:name w:val="2261FF46D889460280EB034319701538"/>
    <w:rsid w:val="001A5091"/>
  </w:style>
  <w:style w:type="paragraph" w:customStyle="1" w:styleId="C06EFD091D20431984BC1F7A1406F5FE">
    <w:name w:val="C06EFD091D20431984BC1F7A1406F5FE"/>
    <w:rsid w:val="001A5091"/>
  </w:style>
  <w:style w:type="paragraph" w:customStyle="1" w:styleId="C10D870C5CA24026A355A6FD78A1FBE3">
    <w:name w:val="C10D870C5CA24026A355A6FD78A1FBE3"/>
    <w:rsid w:val="001A5091"/>
  </w:style>
  <w:style w:type="paragraph" w:customStyle="1" w:styleId="9BB69C7065B04B6FB9BDD566868E83AB">
    <w:name w:val="9BB69C7065B04B6FB9BDD566868E83AB"/>
    <w:rsid w:val="001A5091"/>
  </w:style>
  <w:style w:type="paragraph" w:customStyle="1" w:styleId="AA30C79412EE4281ACA0BB375F502B58">
    <w:name w:val="AA30C79412EE4281ACA0BB375F502B58"/>
    <w:rsid w:val="001A5091"/>
  </w:style>
  <w:style w:type="paragraph" w:customStyle="1" w:styleId="DCF1BD9F638244BA91DDB2F71A32B9E7">
    <w:name w:val="DCF1BD9F638244BA91DDB2F71A32B9E7"/>
    <w:rsid w:val="001A5091"/>
  </w:style>
  <w:style w:type="paragraph" w:customStyle="1" w:styleId="1FF7021146C04B2FA6BD40D299D78455">
    <w:name w:val="1FF7021146C04B2FA6BD40D299D78455"/>
    <w:rsid w:val="001A5091"/>
  </w:style>
  <w:style w:type="paragraph" w:customStyle="1" w:styleId="A742A7C0350F48888E25E238C129A2A3">
    <w:name w:val="A742A7C0350F48888E25E238C129A2A3"/>
    <w:rsid w:val="001A5091"/>
  </w:style>
  <w:style w:type="paragraph" w:customStyle="1" w:styleId="1BC5D7C9CD1D49A7933E828ACFC279E2">
    <w:name w:val="1BC5D7C9CD1D49A7933E828ACFC279E2"/>
    <w:rsid w:val="001A5091"/>
  </w:style>
  <w:style w:type="paragraph" w:customStyle="1" w:styleId="8E192B10BD45447BA429BD0511276B90">
    <w:name w:val="8E192B10BD45447BA429BD0511276B90"/>
    <w:rsid w:val="001A5091"/>
  </w:style>
  <w:style w:type="paragraph" w:customStyle="1" w:styleId="93675309F7634B749CF26B005C62A58C">
    <w:name w:val="93675309F7634B749CF26B005C62A58C"/>
    <w:rsid w:val="001A5091"/>
  </w:style>
  <w:style w:type="paragraph" w:customStyle="1" w:styleId="FE60E3A7804240418C33B61B6103C84C">
    <w:name w:val="FE60E3A7804240418C33B61B6103C84C"/>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49DF98129FE24437AE9E2A35B14FD2A6">
    <w:name w:val="49DF98129FE24437AE9E2A35B14FD2A6"/>
    <w:rsid w:val="00C90926"/>
  </w:style>
  <w:style w:type="paragraph" w:customStyle="1" w:styleId="C7429C9F603049498F2E7BA5929376E1">
    <w:name w:val="C7429C9F603049498F2E7BA5929376E1"/>
    <w:rsid w:val="00C90926"/>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 w:type="paragraph" w:customStyle="1" w:styleId="567350B8954944528BBC4D637B2ECD38">
    <w:name w:val="567350B8954944528BBC4D637B2ECD38"/>
    <w:rsid w:val="00FC1100"/>
  </w:style>
  <w:style w:type="paragraph" w:customStyle="1" w:styleId="C48F45FE480247DA92FB37DF296200DA">
    <w:name w:val="C48F45FE480247DA92FB37DF296200DA"/>
    <w:rsid w:val="00FC1100"/>
  </w:style>
  <w:style w:type="paragraph" w:customStyle="1" w:styleId="7B117B48CDBA47E481FE007BF8657F92">
    <w:name w:val="7B117B48CDBA47E481FE007BF8657F92"/>
    <w:rsid w:val="00102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82C47B-F501-4773-BF5C-C1773CE2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27</Pages>
  <Words>9662</Words>
  <Characters>53147</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25</cp:revision>
  <cp:lastPrinted>2020-08-17T19:56:00Z</cp:lastPrinted>
  <dcterms:created xsi:type="dcterms:W3CDTF">2020-07-14T18:03:00Z</dcterms:created>
  <dcterms:modified xsi:type="dcterms:W3CDTF">2020-08-17T19:57:00Z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