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D4A33" w14:textId="7BB64281" w:rsidR="00EB6CF6" w:rsidRDefault="005608AF" w:rsidP="00EB6CF6">
      <w:pPr>
        <w:pStyle w:val="Default"/>
        <w:spacing w:line="276" w:lineRule="auto"/>
        <w:jc w:val="both"/>
        <w:rPr>
          <w:b/>
          <w:sz w:val="26"/>
          <w:szCs w:val="26"/>
        </w:rPr>
      </w:pPr>
      <w:bookmarkStart w:id="0" w:name="_GoBack"/>
      <w:bookmarkEnd w:id="0"/>
      <w:r w:rsidRPr="00EB6CF6">
        <w:rPr>
          <w:b/>
          <w:sz w:val="26"/>
          <w:szCs w:val="26"/>
        </w:rPr>
        <w:t>A</w:t>
      </w:r>
      <w:r w:rsidR="00FF6273" w:rsidRPr="00EB6CF6">
        <w:rPr>
          <w:b/>
          <w:sz w:val="26"/>
          <w:szCs w:val="26"/>
        </w:rPr>
        <w:t>cuerdo</w:t>
      </w:r>
      <w:r w:rsidRPr="00EB6CF6">
        <w:rPr>
          <w:b/>
          <w:sz w:val="26"/>
          <w:szCs w:val="26"/>
        </w:rPr>
        <w:t xml:space="preserve"> </w:t>
      </w:r>
      <w:r w:rsidR="00FF6273" w:rsidRPr="00EB6CF6">
        <w:rPr>
          <w:b/>
          <w:sz w:val="26"/>
          <w:szCs w:val="26"/>
        </w:rPr>
        <w:t xml:space="preserve">mediante el cual el Pleno del Instituto Federal de Telecomunicaciones </w:t>
      </w:r>
      <w:r w:rsidR="00E665EC" w:rsidRPr="00EB6CF6">
        <w:rPr>
          <w:b/>
          <w:sz w:val="26"/>
          <w:szCs w:val="26"/>
        </w:rPr>
        <w:t xml:space="preserve">aprueba y </w:t>
      </w:r>
      <w:r w:rsidR="009E7CF4" w:rsidRPr="00EB6CF6">
        <w:rPr>
          <w:b/>
          <w:sz w:val="26"/>
          <w:szCs w:val="26"/>
        </w:rPr>
        <w:t xml:space="preserve">emite </w:t>
      </w:r>
      <w:r w:rsidR="00FF6273" w:rsidRPr="00EB6CF6">
        <w:rPr>
          <w:b/>
          <w:sz w:val="26"/>
          <w:szCs w:val="26"/>
        </w:rPr>
        <w:t xml:space="preserve">los </w:t>
      </w:r>
      <w:r w:rsidR="00FF6273" w:rsidRPr="00EB6CF6">
        <w:rPr>
          <w:b/>
          <w:bCs/>
          <w:sz w:val="26"/>
          <w:szCs w:val="26"/>
        </w:rPr>
        <w:t>L</w:t>
      </w:r>
      <w:r w:rsidR="00EB6CF6" w:rsidRPr="00EB6CF6">
        <w:rPr>
          <w:b/>
          <w:bCs/>
          <w:sz w:val="26"/>
          <w:szCs w:val="26"/>
        </w:rPr>
        <w:t>ineamientos</w:t>
      </w:r>
      <w:r w:rsidR="00EB6CF6" w:rsidRPr="00EB6CF6">
        <w:rPr>
          <w:b/>
          <w:sz w:val="26"/>
          <w:szCs w:val="26"/>
        </w:rPr>
        <w:t xml:space="preserve"> para la solicitud y sustanciación del procedimiento de resolución de desacuerdos de interconexión entre concesionarios </w:t>
      </w:r>
      <w:r w:rsidR="00CE68D5">
        <w:rPr>
          <w:b/>
          <w:sz w:val="26"/>
          <w:szCs w:val="26"/>
        </w:rPr>
        <w:t xml:space="preserve">que operen </w:t>
      </w:r>
      <w:r w:rsidR="00EB6CF6" w:rsidRPr="00EB6CF6">
        <w:rPr>
          <w:b/>
          <w:sz w:val="26"/>
          <w:szCs w:val="26"/>
        </w:rPr>
        <w:t>redes públicas de telecomunicaciones de conformidad con el procedimiento previsto en el artículo 129 de la Ley Federal de Telecomunicaciones y Radiodifusión, mediante el uso optativo de medios electrónicos a través de la Ventanilla Electrónica del Instituto Federal de Telecomunicaciones.</w:t>
      </w:r>
    </w:p>
    <w:p w14:paraId="78F554B4" w14:textId="2BA69D84" w:rsidR="00515F1E" w:rsidRPr="00EB6CF6" w:rsidRDefault="00515F1E" w:rsidP="00EB6CF6">
      <w:pPr>
        <w:pStyle w:val="Default"/>
        <w:spacing w:line="276" w:lineRule="auto"/>
        <w:jc w:val="both"/>
        <w:rPr>
          <w:b/>
          <w:sz w:val="26"/>
          <w:szCs w:val="26"/>
        </w:rPr>
      </w:pPr>
    </w:p>
    <w:p w14:paraId="1527A110" w14:textId="77777777" w:rsidR="00E665EC" w:rsidRDefault="00E665EC" w:rsidP="0020019E">
      <w:pPr>
        <w:spacing w:after="0" w:line="276" w:lineRule="auto"/>
        <w:jc w:val="center"/>
        <w:rPr>
          <w:rFonts w:ascii="Arial" w:hAnsi="Arial" w:cs="Arial"/>
          <w:b/>
        </w:rPr>
      </w:pPr>
    </w:p>
    <w:p w14:paraId="2C5A9AEF" w14:textId="77777777" w:rsidR="00951BB9" w:rsidRDefault="005608AF" w:rsidP="0020019E">
      <w:pPr>
        <w:spacing w:after="0" w:line="276" w:lineRule="auto"/>
        <w:jc w:val="center"/>
        <w:rPr>
          <w:rFonts w:ascii="Arial" w:hAnsi="Arial" w:cs="Arial"/>
          <w:b/>
        </w:rPr>
      </w:pPr>
      <w:r w:rsidRPr="00FF6273">
        <w:rPr>
          <w:rFonts w:ascii="Arial" w:hAnsi="Arial" w:cs="Arial"/>
          <w:b/>
        </w:rPr>
        <w:t>ANTECEDENTES</w:t>
      </w:r>
    </w:p>
    <w:p w14:paraId="2AF69E8A" w14:textId="26FB0E1A" w:rsidR="0020019E" w:rsidRDefault="0020019E" w:rsidP="0020019E">
      <w:pPr>
        <w:spacing w:after="0" w:line="276" w:lineRule="auto"/>
        <w:jc w:val="center"/>
        <w:rPr>
          <w:rFonts w:ascii="Arial" w:hAnsi="Arial" w:cs="Arial"/>
          <w:b/>
        </w:rPr>
      </w:pPr>
    </w:p>
    <w:p w14:paraId="62F3438F" w14:textId="36E7FCE3" w:rsidR="00CD3302" w:rsidRPr="00EB6CF6" w:rsidRDefault="00EB6CF6" w:rsidP="00974BA8">
      <w:pPr>
        <w:spacing w:after="0" w:line="276" w:lineRule="auto"/>
        <w:jc w:val="both"/>
        <w:rPr>
          <w:rFonts w:ascii="Arial" w:hAnsi="Arial" w:cs="Arial"/>
        </w:rPr>
      </w:pPr>
      <w:r>
        <w:rPr>
          <w:rFonts w:ascii="Arial" w:hAnsi="Arial" w:cs="Arial"/>
          <w:b/>
        </w:rPr>
        <w:t xml:space="preserve">Primero. </w:t>
      </w:r>
      <w:r w:rsidR="00CD3302" w:rsidRPr="00EB6CF6">
        <w:rPr>
          <w:rFonts w:ascii="Arial" w:hAnsi="Arial" w:cs="Arial"/>
          <w:b/>
        </w:rPr>
        <w:t>Decreto de Reforma Constitucional.</w:t>
      </w:r>
      <w:r w:rsidR="00CD3302" w:rsidRPr="00EB6CF6">
        <w:rPr>
          <w:rFonts w:ascii="Arial" w:hAnsi="Arial" w:cs="Arial"/>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w:t>
      </w:r>
    </w:p>
    <w:p w14:paraId="4C2D43F0" w14:textId="77777777" w:rsidR="00CD3302" w:rsidRDefault="00CD3302" w:rsidP="00974BA8">
      <w:pPr>
        <w:pStyle w:val="Prrafodelista"/>
        <w:spacing w:after="0" w:line="276" w:lineRule="auto"/>
        <w:ind w:left="426"/>
        <w:jc w:val="both"/>
        <w:rPr>
          <w:rFonts w:ascii="Arial" w:hAnsi="Arial" w:cs="Arial"/>
        </w:rPr>
      </w:pPr>
    </w:p>
    <w:p w14:paraId="6FEE80BF" w14:textId="3DCBBC23" w:rsidR="00612377" w:rsidRPr="00EB6CF6" w:rsidRDefault="00EB6CF6" w:rsidP="00974BA8">
      <w:pPr>
        <w:spacing w:after="0" w:line="276" w:lineRule="auto"/>
        <w:jc w:val="both"/>
        <w:rPr>
          <w:rFonts w:ascii="Arial" w:hAnsi="Arial" w:cs="Arial"/>
        </w:rPr>
      </w:pPr>
      <w:r w:rsidRPr="00EB6CF6">
        <w:rPr>
          <w:rFonts w:ascii="Arial" w:hAnsi="Arial" w:cs="Arial"/>
          <w:b/>
        </w:rPr>
        <w:t xml:space="preserve">Segundo. </w:t>
      </w:r>
      <w:r w:rsidR="00CD3302" w:rsidRPr="00EB6CF6">
        <w:rPr>
          <w:rFonts w:ascii="Arial" w:hAnsi="Arial" w:cs="Arial"/>
          <w:b/>
        </w:rPr>
        <w:t>Ley Federal de Telecomunicaciones y Radiodifusión</w:t>
      </w:r>
      <w:r w:rsidR="00CD3302" w:rsidRPr="00EB6CF6">
        <w:rPr>
          <w:rFonts w:ascii="Arial" w:hAnsi="Arial" w:cs="Arial"/>
        </w:rPr>
        <w:t xml:space="preserve">. 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Pr>
          <w:rFonts w:ascii="Arial" w:hAnsi="Arial" w:cs="Arial"/>
        </w:rPr>
        <w:t xml:space="preserve">misma que entró </w:t>
      </w:r>
      <w:r w:rsidR="00CD3302" w:rsidRPr="00EB6CF6">
        <w:rPr>
          <w:rFonts w:ascii="Arial" w:hAnsi="Arial" w:cs="Arial"/>
        </w:rPr>
        <w:t>el 13 de agosto de 2014</w:t>
      </w:r>
      <w:r>
        <w:rPr>
          <w:rFonts w:ascii="Arial" w:hAnsi="Arial" w:cs="Arial"/>
        </w:rPr>
        <w:t xml:space="preserve"> (en lo sucesivo, “LFTR”)</w:t>
      </w:r>
      <w:r w:rsidR="00CD3302" w:rsidRPr="00EB6CF6">
        <w:rPr>
          <w:rFonts w:ascii="Arial" w:hAnsi="Arial" w:cs="Arial"/>
        </w:rPr>
        <w:t>.</w:t>
      </w:r>
    </w:p>
    <w:p w14:paraId="14696E04" w14:textId="77777777" w:rsidR="00CD3302" w:rsidRDefault="00CD3302" w:rsidP="00974BA8">
      <w:pPr>
        <w:pStyle w:val="Prrafodelista"/>
        <w:spacing w:after="0" w:line="276" w:lineRule="auto"/>
        <w:ind w:left="426"/>
        <w:jc w:val="both"/>
        <w:rPr>
          <w:rFonts w:ascii="Arial" w:hAnsi="Arial" w:cs="Arial"/>
        </w:rPr>
      </w:pPr>
    </w:p>
    <w:p w14:paraId="2B530E03" w14:textId="299D32CB" w:rsidR="00CD3302" w:rsidRPr="00EB6CF6" w:rsidRDefault="00EB6CF6" w:rsidP="00974BA8">
      <w:pPr>
        <w:spacing w:after="0" w:line="276" w:lineRule="auto"/>
        <w:jc w:val="both"/>
        <w:rPr>
          <w:rFonts w:ascii="Arial" w:hAnsi="Arial" w:cs="Arial"/>
        </w:rPr>
      </w:pPr>
      <w:r>
        <w:rPr>
          <w:rFonts w:ascii="Arial" w:hAnsi="Arial" w:cs="Arial"/>
          <w:b/>
        </w:rPr>
        <w:t xml:space="preserve">Tercero. </w:t>
      </w:r>
      <w:r w:rsidR="00406010">
        <w:rPr>
          <w:rFonts w:ascii="Arial" w:hAnsi="Arial" w:cs="Arial"/>
          <w:b/>
        </w:rPr>
        <w:t xml:space="preserve">Estatuto Orgánico del Instituto. </w:t>
      </w:r>
      <w:r w:rsidR="00CD3302" w:rsidRPr="00EB6CF6">
        <w:rPr>
          <w:rFonts w:ascii="Arial" w:hAnsi="Arial" w:cs="Arial"/>
        </w:rPr>
        <w:t xml:space="preserve">El 4 de septiembre de 2014, se publicó en el DOF </w:t>
      </w:r>
      <w:r w:rsidR="001E2E1A">
        <w:rPr>
          <w:rFonts w:ascii="Arial" w:hAnsi="Arial" w:cs="Arial"/>
        </w:rPr>
        <w:t>el “</w:t>
      </w:r>
      <w:r w:rsidR="00CD3302" w:rsidRPr="00EB6CF6">
        <w:rPr>
          <w:rFonts w:ascii="Arial" w:hAnsi="Arial" w:cs="Arial"/>
        </w:rPr>
        <w:t>Estatuto Orgánico del Institut</w:t>
      </w:r>
      <w:r w:rsidR="001E2E1A">
        <w:rPr>
          <w:rFonts w:ascii="Arial" w:hAnsi="Arial" w:cs="Arial"/>
        </w:rPr>
        <w:t>o Federal de Telecomunicaciones”</w:t>
      </w:r>
      <w:r w:rsidR="00CD3302" w:rsidRPr="00EB6CF6">
        <w:rPr>
          <w:rFonts w:ascii="Arial" w:hAnsi="Arial" w:cs="Arial"/>
        </w:rPr>
        <w:t xml:space="preserve"> (en lo sucesivo, el "Estatuto"), mismo que entró en vi</w:t>
      </w:r>
      <w:r w:rsidR="009009ED">
        <w:rPr>
          <w:rFonts w:ascii="Arial" w:hAnsi="Arial" w:cs="Arial"/>
        </w:rPr>
        <w:t>gor el 26 de septiembre de 2014</w:t>
      </w:r>
      <w:r w:rsidR="00CD3302" w:rsidRPr="00EB6CF6">
        <w:rPr>
          <w:rFonts w:ascii="Arial" w:hAnsi="Arial" w:cs="Arial"/>
        </w:rPr>
        <w:t>.</w:t>
      </w:r>
    </w:p>
    <w:p w14:paraId="4ED73254" w14:textId="6D063073" w:rsidR="00CD3302" w:rsidRPr="00772F78" w:rsidRDefault="00CD3302" w:rsidP="00974BA8">
      <w:pPr>
        <w:spacing w:after="0" w:line="276" w:lineRule="auto"/>
        <w:jc w:val="both"/>
        <w:rPr>
          <w:rFonts w:ascii="Arial" w:hAnsi="Arial" w:cs="Arial"/>
        </w:rPr>
      </w:pPr>
    </w:p>
    <w:p w14:paraId="4FA5F77D" w14:textId="43B68962" w:rsidR="00406010" w:rsidRPr="00406010" w:rsidRDefault="00EB6CF6" w:rsidP="00974BA8">
      <w:pPr>
        <w:spacing w:after="0" w:line="276" w:lineRule="auto"/>
        <w:jc w:val="both"/>
        <w:rPr>
          <w:rFonts w:ascii="Arial" w:hAnsi="Arial" w:cs="Arial"/>
        </w:rPr>
      </w:pPr>
      <w:r>
        <w:rPr>
          <w:rFonts w:ascii="Arial" w:hAnsi="Arial" w:cs="Arial"/>
          <w:b/>
        </w:rPr>
        <w:t xml:space="preserve">Cuarto. </w:t>
      </w:r>
      <w:r w:rsidR="00406010">
        <w:rPr>
          <w:rFonts w:ascii="Arial" w:hAnsi="Arial" w:cs="Arial"/>
          <w:b/>
        </w:rPr>
        <w:t>Lineamientos de Ventanilla Electrónica</w:t>
      </w:r>
      <w:r w:rsidR="00406010" w:rsidRPr="00406010">
        <w:rPr>
          <w:rFonts w:ascii="Arial" w:hAnsi="Arial" w:cs="Arial"/>
        </w:rPr>
        <w:t>. 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w:t>
      </w:r>
      <w:r w:rsidR="00406010">
        <w:rPr>
          <w:rFonts w:ascii="Arial" w:hAnsi="Arial" w:cs="Arial"/>
        </w:rPr>
        <w:t xml:space="preserve"> (en lo sucesivo, “Lineamientos de Ventanilla Electrónica”).</w:t>
      </w:r>
    </w:p>
    <w:p w14:paraId="029073CF" w14:textId="77777777" w:rsidR="00406010" w:rsidRDefault="00406010" w:rsidP="00974BA8">
      <w:pPr>
        <w:spacing w:after="0" w:line="276" w:lineRule="auto"/>
        <w:jc w:val="both"/>
        <w:rPr>
          <w:rFonts w:ascii="Arial" w:hAnsi="Arial" w:cs="Arial"/>
          <w:b/>
        </w:rPr>
      </w:pPr>
    </w:p>
    <w:p w14:paraId="0858CB66" w14:textId="60B5277B" w:rsidR="00CD3302" w:rsidRDefault="00406010" w:rsidP="00974BA8">
      <w:pPr>
        <w:spacing w:after="0" w:line="276" w:lineRule="auto"/>
        <w:jc w:val="both"/>
        <w:rPr>
          <w:rFonts w:ascii="Arial" w:hAnsi="Arial" w:cs="Arial"/>
          <w:b/>
        </w:rPr>
      </w:pPr>
      <w:r>
        <w:rPr>
          <w:rFonts w:ascii="Arial" w:hAnsi="Arial" w:cs="Arial"/>
          <w:b/>
        </w:rPr>
        <w:t xml:space="preserve">Quinto. </w:t>
      </w:r>
      <w:r w:rsidR="009F2D57">
        <w:rPr>
          <w:rFonts w:ascii="Arial" w:hAnsi="Arial" w:cs="Arial"/>
          <w:b/>
        </w:rPr>
        <w:t xml:space="preserve">Consulta Pública. </w:t>
      </w:r>
      <w:r w:rsidR="00974BA8" w:rsidRPr="00974BA8">
        <w:rPr>
          <w:rFonts w:ascii="Arial" w:hAnsi="Arial" w:cs="Arial"/>
          <w:color w:val="000000"/>
          <w:shd w:val="clear" w:color="auto" w:fill="FFFFFF"/>
        </w:rPr>
        <w:t xml:space="preserve">El 05 de agosto de 2020, el Pleno del Instituto en su XV Sesión Ordinaria mediante Acuerdo P/IFT/050820/194 determinó someter a Consulta Pública por un plazo de 20 (veinte) días hábiles contados a partir del día hábil siguiente al de su publicación en el portal de Internet del Instituto el “Anteproyecto de Lineamientos para la solicitud y sustanciación del procedimiento de resolución de desacuerdos de interconexión entre concesionarios de redes públicas de telecomunicaciones de conformidad con el procedimiento previsto en el artículo 129 de la Ley Federal de Telecomunicaciones y </w:t>
      </w:r>
      <w:r w:rsidR="00974BA8" w:rsidRPr="00974BA8">
        <w:rPr>
          <w:rFonts w:ascii="Arial" w:hAnsi="Arial" w:cs="Arial"/>
          <w:color w:val="000000"/>
          <w:shd w:val="clear" w:color="auto" w:fill="FFFFFF"/>
        </w:rPr>
        <w:lastRenderedPageBreak/>
        <w:t>Radiodifusión, mediante el uso optativo de medios electrónicos a través de la Ventanilla Electrónica del Instituto Federal de Telecomunicaciones”, en este sentido la Consulta Pública de mérito se realizó del 18 de agosto al 14 de septiembre de 2020.</w:t>
      </w:r>
    </w:p>
    <w:p w14:paraId="121B2350" w14:textId="77777777" w:rsidR="009F2D57" w:rsidRDefault="009F2D57" w:rsidP="00974BA8">
      <w:pPr>
        <w:spacing w:after="0" w:line="276" w:lineRule="auto"/>
        <w:jc w:val="both"/>
        <w:rPr>
          <w:rFonts w:ascii="Arial" w:hAnsi="Arial" w:cs="Arial"/>
        </w:rPr>
      </w:pPr>
    </w:p>
    <w:p w14:paraId="6D3A60F9" w14:textId="00ECA8FA" w:rsidR="00951BB9" w:rsidRPr="00FF6273" w:rsidRDefault="00951BB9" w:rsidP="00974BA8">
      <w:pPr>
        <w:spacing w:after="0" w:line="276" w:lineRule="auto"/>
        <w:jc w:val="both"/>
        <w:rPr>
          <w:rFonts w:ascii="Arial" w:hAnsi="Arial" w:cs="Arial"/>
        </w:rPr>
      </w:pPr>
      <w:r w:rsidRPr="00FF6273">
        <w:rPr>
          <w:rFonts w:ascii="Arial" w:hAnsi="Arial" w:cs="Arial"/>
        </w:rPr>
        <w:t>En virtud de los Antecedentes señalados y,</w:t>
      </w:r>
    </w:p>
    <w:p w14:paraId="73A72B90" w14:textId="77777777" w:rsidR="00BD444B" w:rsidRPr="00FF6273" w:rsidRDefault="00BD444B" w:rsidP="00974BA8">
      <w:pPr>
        <w:spacing w:after="0" w:line="276" w:lineRule="auto"/>
        <w:jc w:val="both"/>
        <w:rPr>
          <w:rFonts w:ascii="Arial" w:hAnsi="Arial" w:cs="Arial"/>
        </w:rPr>
      </w:pPr>
    </w:p>
    <w:p w14:paraId="6F3F1DEF" w14:textId="77777777" w:rsidR="00951BB9" w:rsidRPr="00FF6273" w:rsidRDefault="005608AF" w:rsidP="00F4284D">
      <w:pPr>
        <w:spacing w:line="276" w:lineRule="auto"/>
        <w:jc w:val="center"/>
        <w:rPr>
          <w:rFonts w:ascii="Arial" w:hAnsi="Arial" w:cs="Arial"/>
          <w:b/>
        </w:rPr>
      </w:pPr>
      <w:r w:rsidRPr="00FF6273">
        <w:rPr>
          <w:rFonts w:ascii="Arial" w:hAnsi="Arial" w:cs="Arial"/>
          <w:b/>
        </w:rPr>
        <w:t>CONSIDERANDO</w:t>
      </w:r>
    </w:p>
    <w:p w14:paraId="636C45F2" w14:textId="77777777" w:rsidR="00BD444B" w:rsidRPr="00FF6273" w:rsidRDefault="00BD444B" w:rsidP="00F4284D">
      <w:pPr>
        <w:spacing w:line="276" w:lineRule="auto"/>
        <w:jc w:val="center"/>
        <w:rPr>
          <w:rFonts w:ascii="Arial" w:hAnsi="Arial" w:cs="Arial"/>
          <w:b/>
        </w:rPr>
      </w:pPr>
    </w:p>
    <w:p w14:paraId="4BC432F3" w14:textId="747EB49A" w:rsidR="00041BF6" w:rsidRPr="00FF6273" w:rsidRDefault="00277918" w:rsidP="00041BF6">
      <w:pPr>
        <w:spacing w:after="0" w:line="276" w:lineRule="auto"/>
        <w:jc w:val="both"/>
        <w:rPr>
          <w:rFonts w:ascii="Arial" w:hAnsi="Arial" w:cs="Arial"/>
        </w:rPr>
      </w:pPr>
      <w:r w:rsidRPr="00FF6273">
        <w:rPr>
          <w:rFonts w:ascii="Arial" w:hAnsi="Arial" w:cs="Arial"/>
          <w:b/>
        </w:rPr>
        <w:t>Primero. –</w:t>
      </w:r>
      <w:r w:rsidR="00951BB9" w:rsidRPr="00FF6273">
        <w:rPr>
          <w:rFonts w:ascii="Arial" w:hAnsi="Arial" w:cs="Arial"/>
          <w:b/>
        </w:rPr>
        <w:t xml:space="preserve"> Competencia del Instituto</w:t>
      </w:r>
      <w:r w:rsidR="00951BB9" w:rsidRPr="00FF6273">
        <w:rPr>
          <w:rFonts w:ascii="Arial" w:hAnsi="Arial" w:cs="Arial"/>
        </w:rPr>
        <w:t>.</w:t>
      </w:r>
      <w:r w:rsidR="00041BF6">
        <w:rPr>
          <w:rFonts w:ascii="Arial" w:hAnsi="Arial" w:cs="Arial"/>
        </w:rPr>
        <w:t xml:space="preserve"> </w:t>
      </w:r>
      <w:r w:rsidR="00041BF6" w:rsidRPr="00041BF6">
        <w:rPr>
          <w:rFonts w:ascii="Arial" w:hAnsi="Arial" w:cs="Arial"/>
        </w:rPr>
        <w:t>De conformidad con los artículos 6, apartado B fracción II, 28, párrafos décimo quinto</w:t>
      </w:r>
      <w:r w:rsidR="00041BF6">
        <w:rPr>
          <w:rFonts w:ascii="Arial" w:hAnsi="Arial" w:cs="Arial"/>
        </w:rPr>
        <w:t xml:space="preserve">, </w:t>
      </w:r>
      <w:r w:rsidR="00041BF6" w:rsidRPr="00041BF6">
        <w:rPr>
          <w:rFonts w:ascii="Arial" w:hAnsi="Arial" w:cs="Arial"/>
        </w:rPr>
        <w:t>décimo sexto</w:t>
      </w:r>
      <w:r w:rsidR="00041BF6">
        <w:rPr>
          <w:rFonts w:ascii="Arial" w:hAnsi="Arial" w:cs="Arial"/>
        </w:rPr>
        <w:t xml:space="preserve"> y </w:t>
      </w:r>
      <w:r w:rsidR="00041BF6" w:rsidRPr="00041BF6">
        <w:rPr>
          <w:rFonts w:ascii="Arial" w:hAnsi="Arial" w:cs="Arial"/>
        </w:rPr>
        <w:t xml:space="preserve"> </w:t>
      </w:r>
      <w:r w:rsidR="00041BF6" w:rsidRPr="00FF6273">
        <w:rPr>
          <w:rFonts w:ascii="Arial" w:hAnsi="Arial" w:cs="Arial"/>
        </w:rPr>
        <w:t xml:space="preserve">fracción IV del párrafo vigésimo </w:t>
      </w:r>
      <w:r w:rsidR="00041BF6" w:rsidRPr="00041BF6">
        <w:rPr>
          <w:rFonts w:ascii="Arial" w:hAnsi="Arial" w:cs="Arial"/>
        </w:rPr>
        <w:t xml:space="preserve">de la Constitución Política de los Estados Unidos Mexicanos (en lo sucesivo, la “Constitución”) y 7 de la </w:t>
      </w:r>
      <w:r w:rsidR="00EB6CF6">
        <w:rPr>
          <w:rFonts w:ascii="Arial" w:hAnsi="Arial" w:cs="Arial"/>
        </w:rPr>
        <w:t>LFTR</w:t>
      </w:r>
      <w:r w:rsidR="00041BF6" w:rsidRPr="00041BF6">
        <w:rPr>
          <w:rFonts w:ascii="Arial" w:hAnsi="Arial" w:cs="Arial"/>
        </w:rPr>
        <w:t>;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r w:rsidR="00041BF6">
        <w:rPr>
          <w:rFonts w:ascii="Arial" w:hAnsi="Arial" w:cs="Arial"/>
        </w:rPr>
        <w:t xml:space="preserve"> Asimismo, </w:t>
      </w:r>
      <w:r w:rsidR="00041BF6" w:rsidRPr="00FF6273">
        <w:rPr>
          <w:rFonts w:ascii="Arial" w:hAnsi="Arial" w:cs="Arial"/>
        </w:rPr>
        <w:t xml:space="preserve">el Instituto podrá emitir disposiciones administrativas de carácter general exclusivamente para el cumplimiento de su función regulatoria </w:t>
      </w:r>
      <w:r w:rsidR="00041BF6">
        <w:rPr>
          <w:rFonts w:ascii="Arial" w:hAnsi="Arial" w:cs="Arial"/>
        </w:rPr>
        <w:t xml:space="preserve">en el sector de su competencia, por lo tanto, </w:t>
      </w:r>
      <w:r w:rsidR="00041BF6" w:rsidRPr="00FF6273">
        <w:rPr>
          <w:rFonts w:ascii="Arial" w:hAnsi="Arial" w:cs="Arial"/>
        </w:rPr>
        <w:t>conforme a lo establecido por el artículo15 fracción I de la L</w:t>
      </w:r>
      <w:r w:rsidR="00041BF6">
        <w:rPr>
          <w:rFonts w:ascii="Arial" w:hAnsi="Arial" w:cs="Arial"/>
        </w:rPr>
        <w:t>FTR</w:t>
      </w:r>
      <w:r w:rsidR="00041BF6" w:rsidRPr="00FF6273">
        <w:rPr>
          <w:rFonts w:ascii="Arial" w:hAnsi="Arial" w:cs="Arial"/>
        </w:rPr>
        <w:t xml:space="preserve">,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w:t>
      </w:r>
      <w:r w:rsidR="00836A69">
        <w:rPr>
          <w:rFonts w:ascii="Arial" w:hAnsi="Arial" w:cs="Arial"/>
        </w:rPr>
        <w:t>LFTR.</w:t>
      </w:r>
    </w:p>
    <w:p w14:paraId="40E36C8B" w14:textId="77777777" w:rsidR="00041BF6" w:rsidRPr="00041BF6" w:rsidRDefault="00041BF6" w:rsidP="00041BF6">
      <w:pPr>
        <w:spacing w:after="0" w:line="276" w:lineRule="auto"/>
        <w:jc w:val="both"/>
        <w:rPr>
          <w:rFonts w:ascii="Arial" w:hAnsi="Arial" w:cs="Arial"/>
        </w:rPr>
      </w:pPr>
    </w:p>
    <w:p w14:paraId="6FC7E949" w14:textId="1F02F0FB" w:rsidR="00836A69" w:rsidRPr="00420FDD" w:rsidRDefault="00836A69" w:rsidP="00420FDD">
      <w:pPr>
        <w:spacing w:after="0" w:line="276" w:lineRule="auto"/>
        <w:jc w:val="both"/>
        <w:rPr>
          <w:rFonts w:ascii="Arial" w:hAnsi="Arial" w:cs="Arial"/>
        </w:rPr>
      </w:pPr>
      <w:r>
        <w:rPr>
          <w:rFonts w:ascii="Arial" w:hAnsi="Arial" w:cs="Arial"/>
        </w:rPr>
        <w:t>Por otra parte, de</w:t>
      </w:r>
      <w:r w:rsidR="00EB6CF6">
        <w:rPr>
          <w:rFonts w:ascii="Arial" w:hAnsi="Arial" w:cs="Arial"/>
        </w:rPr>
        <w:t xml:space="preserve"> conformidad con lo previsto en el artículo </w:t>
      </w:r>
      <w:r w:rsidR="00041BF6" w:rsidRPr="00041BF6">
        <w:rPr>
          <w:rFonts w:ascii="Arial" w:hAnsi="Arial" w:cs="Arial"/>
        </w:rPr>
        <w:t xml:space="preserve">15, </w:t>
      </w:r>
      <w:r w:rsidR="00406010">
        <w:rPr>
          <w:rFonts w:ascii="Arial" w:hAnsi="Arial" w:cs="Arial"/>
        </w:rPr>
        <w:t xml:space="preserve">fracciones LII y LVI, así como </w:t>
      </w:r>
      <w:r w:rsidR="00041BF6" w:rsidRPr="00041BF6">
        <w:rPr>
          <w:rFonts w:ascii="Arial" w:hAnsi="Arial" w:cs="Arial"/>
        </w:rPr>
        <w:t>129 de la LFTR, el Pleno del Instituto está facultado, de manera exclusiva e indelegable, para resolver y establecer las tarifas, términos y condiciones de in</w:t>
      </w:r>
      <w:r w:rsidR="00420FDD">
        <w:rPr>
          <w:rFonts w:ascii="Arial" w:hAnsi="Arial" w:cs="Arial"/>
        </w:rPr>
        <w:t xml:space="preserve">terconexión que no hayan podido convenir </w:t>
      </w:r>
      <w:r w:rsidR="00041BF6" w:rsidRPr="00041BF6">
        <w:rPr>
          <w:rFonts w:ascii="Arial" w:hAnsi="Arial" w:cs="Arial"/>
        </w:rPr>
        <w:t>los concesionarios respecto de sus redes públicas de telecomunicaciones, una vez que se solicite su intervención.</w:t>
      </w:r>
      <w:r w:rsidR="00420FDD">
        <w:rPr>
          <w:rFonts w:ascii="Arial" w:hAnsi="Arial" w:cs="Arial"/>
        </w:rPr>
        <w:t xml:space="preserve"> Para tal efect</w:t>
      </w:r>
      <w:r w:rsidR="00406010">
        <w:rPr>
          <w:rFonts w:ascii="Arial" w:hAnsi="Arial" w:cs="Arial"/>
        </w:rPr>
        <w:t xml:space="preserve">o, el Pleno del Instituto podrá </w:t>
      </w:r>
      <w:r w:rsidR="00420FDD">
        <w:rPr>
          <w:rFonts w:ascii="Arial" w:hAnsi="Arial" w:cs="Arial"/>
        </w:rPr>
        <w:t>a</w:t>
      </w:r>
      <w:r w:rsidR="00420FDD" w:rsidRPr="00420FDD">
        <w:rPr>
          <w:rFonts w:ascii="Arial" w:hAnsi="Arial" w:cs="Arial"/>
        </w:rPr>
        <w:t>probar y expedir las disposiciones administrativas de carácter general necesarias para el debido ejercicio d</w:t>
      </w:r>
      <w:r w:rsidR="00420FDD">
        <w:rPr>
          <w:rFonts w:ascii="Arial" w:hAnsi="Arial" w:cs="Arial"/>
        </w:rPr>
        <w:t xml:space="preserve">e las facultades y atribuciones, así como establecer los mecanismos </w:t>
      </w:r>
      <w:r w:rsidRPr="00420FDD">
        <w:rPr>
          <w:rFonts w:ascii="Arial" w:hAnsi="Arial" w:cs="Arial"/>
        </w:rPr>
        <w:t>para que los procedimientos de su competencia, se puedan sustanciar por medio de las tecnologías d</w:t>
      </w:r>
      <w:r w:rsidR="00420FDD">
        <w:rPr>
          <w:rFonts w:ascii="Arial" w:hAnsi="Arial" w:cs="Arial"/>
        </w:rPr>
        <w:t>e la información y comunicación.</w:t>
      </w:r>
    </w:p>
    <w:p w14:paraId="634D78B9" w14:textId="77777777" w:rsidR="00836A69" w:rsidRPr="00836A69" w:rsidRDefault="00836A69" w:rsidP="00836A69">
      <w:pPr>
        <w:pStyle w:val="Prrafodelista"/>
        <w:spacing w:after="0" w:line="276" w:lineRule="auto"/>
        <w:ind w:left="1080"/>
        <w:jc w:val="both"/>
        <w:rPr>
          <w:rFonts w:ascii="Arial" w:hAnsi="Arial" w:cs="Arial"/>
        </w:rPr>
      </w:pPr>
    </w:p>
    <w:p w14:paraId="2E1D3DEE" w14:textId="77777777" w:rsidR="00041BF6" w:rsidRDefault="00836A69" w:rsidP="00041BF6">
      <w:pPr>
        <w:spacing w:after="0" w:line="276" w:lineRule="auto"/>
        <w:jc w:val="both"/>
        <w:rPr>
          <w:rFonts w:ascii="Arial" w:hAnsi="Arial" w:cs="Arial"/>
        </w:rPr>
      </w:pPr>
      <w:r w:rsidRPr="00836A69">
        <w:rPr>
          <w:rFonts w:ascii="Arial" w:hAnsi="Arial" w:cs="Arial"/>
        </w:rPr>
        <w:t xml:space="preserve">Por lo anterior y de conformidad con lo dispuesto en los artículos indicados, el Pleno del Instituto es competente para emitir </w:t>
      </w:r>
      <w:r w:rsidR="00420FDD">
        <w:rPr>
          <w:rFonts w:ascii="Arial" w:hAnsi="Arial" w:cs="Arial"/>
        </w:rPr>
        <w:t xml:space="preserve">los presentes Lineamientos. </w:t>
      </w:r>
    </w:p>
    <w:p w14:paraId="32DD9C71" w14:textId="77777777" w:rsidR="00041BF6" w:rsidRDefault="00041BF6" w:rsidP="00041BF6">
      <w:pPr>
        <w:spacing w:after="0" w:line="276" w:lineRule="auto"/>
        <w:jc w:val="both"/>
        <w:rPr>
          <w:rFonts w:ascii="Arial" w:hAnsi="Arial" w:cs="Arial"/>
        </w:rPr>
      </w:pPr>
    </w:p>
    <w:p w14:paraId="7AC771BD" w14:textId="51747498" w:rsidR="008E195A" w:rsidRDefault="00142094" w:rsidP="008E195A">
      <w:pPr>
        <w:pStyle w:val="Default"/>
        <w:spacing w:line="276" w:lineRule="auto"/>
        <w:jc w:val="both"/>
        <w:rPr>
          <w:color w:val="auto"/>
          <w:sz w:val="22"/>
          <w:szCs w:val="22"/>
        </w:rPr>
      </w:pPr>
      <w:r w:rsidRPr="00C87837">
        <w:rPr>
          <w:b/>
          <w:bCs/>
          <w:color w:val="auto"/>
          <w:sz w:val="22"/>
          <w:szCs w:val="22"/>
        </w:rPr>
        <w:t>Segundo. -</w:t>
      </w:r>
      <w:r w:rsidR="00951BB9" w:rsidRPr="00C87837">
        <w:rPr>
          <w:b/>
          <w:bCs/>
          <w:color w:val="auto"/>
          <w:sz w:val="22"/>
          <w:szCs w:val="22"/>
        </w:rPr>
        <w:t xml:space="preserve"> Procedencia </w:t>
      </w:r>
      <w:r w:rsidR="00015947" w:rsidRPr="00C87837">
        <w:rPr>
          <w:b/>
          <w:bCs/>
          <w:color w:val="auto"/>
          <w:sz w:val="22"/>
          <w:szCs w:val="22"/>
        </w:rPr>
        <w:t xml:space="preserve">para la emisión de </w:t>
      </w:r>
      <w:r w:rsidR="00951BB9" w:rsidRPr="00C87837">
        <w:rPr>
          <w:b/>
          <w:bCs/>
          <w:color w:val="auto"/>
          <w:sz w:val="22"/>
          <w:szCs w:val="22"/>
        </w:rPr>
        <w:t>los Lineamientos</w:t>
      </w:r>
      <w:r w:rsidR="00951BB9" w:rsidRPr="00C87837">
        <w:rPr>
          <w:color w:val="auto"/>
          <w:sz w:val="22"/>
          <w:szCs w:val="22"/>
        </w:rPr>
        <w:t xml:space="preserve">. </w:t>
      </w:r>
      <w:r w:rsidR="00313A44" w:rsidRPr="00C87837">
        <w:rPr>
          <w:color w:val="auto"/>
          <w:sz w:val="22"/>
          <w:szCs w:val="22"/>
        </w:rPr>
        <w:t>Los</w:t>
      </w:r>
      <w:r w:rsidR="00951BB9" w:rsidRPr="00C87837">
        <w:rPr>
          <w:color w:val="auto"/>
          <w:sz w:val="22"/>
          <w:szCs w:val="22"/>
        </w:rPr>
        <w:t xml:space="preserve"> artículo</w:t>
      </w:r>
      <w:r w:rsidR="00313A44" w:rsidRPr="00C87837">
        <w:rPr>
          <w:color w:val="auto"/>
          <w:sz w:val="22"/>
          <w:szCs w:val="22"/>
        </w:rPr>
        <w:t>s</w:t>
      </w:r>
      <w:r w:rsidR="00951BB9" w:rsidRPr="00C87837">
        <w:rPr>
          <w:color w:val="auto"/>
          <w:sz w:val="22"/>
          <w:szCs w:val="22"/>
        </w:rPr>
        <w:t xml:space="preserve"> </w:t>
      </w:r>
      <w:r w:rsidR="00DB49C4" w:rsidRPr="00C87837">
        <w:rPr>
          <w:color w:val="auto"/>
          <w:sz w:val="22"/>
          <w:szCs w:val="22"/>
        </w:rPr>
        <w:t xml:space="preserve">15 </w:t>
      </w:r>
      <w:r w:rsidR="008E195A" w:rsidRPr="00C87837">
        <w:rPr>
          <w:color w:val="auto"/>
          <w:sz w:val="22"/>
          <w:szCs w:val="22"/>
        </w:rPr>
        <w:t xml:space="preserve">fracciones IX, X, LII y LVI y 129 de la LFTR, establecen que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w:t>
      </w:r>
      <w:r w:rsidR="008E195A" w:rsidRPr="00C87837">
        <w:rPr>
          <w:color w:val="auto"/>
          <w:sz w:val="22"/>
          <w:szCs w:val="22"/>
        </w:rPr>
        <w:lastRenderedPageBreak/>
        <w:t>intervención. Para tal efecto, el Pleno del Instituto podrá emitir disposiciones, lineamientos o resoluciones en materia de interoperabilidad e interconexión de las redes públicas de telecomunicaciones, a efecto de asegurar la libre competencia y concurrencia en el mercado y, en ese sentido, aprobar y expedir las disposiciones administrativas de carácter general necesarias para el debido ejercicio de las facultades y atribuciones, así como establecer los mecanismos para que los procedimientos de su competencia, se puedan sustanciar por medio de las tecnologías de la información y comunicación.</w:t>
      </w:r>
    </w:p>
    <w:p w14:paraId="094FDF1F" w14:textId="77777777" w:rsidR="00406010" w:rsidRDefault="00406010" w:rsidP="008E195A">
      <w:pPr>
        <w:pStyle w:val="Default"/>
        <w:spacing w:line="276" w:lineRule="auto"/>
        <w:jc w:val="both"/>
        <w:rPr>
          <w:color w:val="auto"/>
          <w:sz w:val="22"/>
          <w:szCs w:val="22"/>
        </w:rPr>
      </w:pPr>
    </w:p>
    <w:p w14:paraId="754F2356" w14:textId="184E9626" w:rsidR="00EC75C4" w:rsidRDefault="005F0738" w:rsidP="008E195A">
      <w:pPr>
        <w:pStyle w:val="Default"/>
        <w:spacing w:line="276" w:lineRule="auto"/>
        <w:jc w:val="both"/>
        <w:rPr>
          <w:color w:val="auto"/>
          <w:sz w:val="22"/>
          <w:szCs w:val="22"/>
        </w:rPr>
      </w:pPr>
      <w:r>
        <w:rPr>
          <w:color w:val="auto"/>
          <w:sz w:val="22"/>
          <w:szCs w:val="22"/>
        </w:rPr>
        <w:t xml:space="preserve">Por su parte, el </w:t>
      </w:r>
      <w:r w:rsidR="00951BB9" w:rsidRPr="00FF6273">
        <w:rPr>
          <w:color w:val="auto"/>
          <w:sz w:val="22"/>
          <w:szCs w:val="22"/>
        </w:rPr>
        <w:t xml:space="preserve">artículo </w:t>
      </w:r>
      <w:r w:rsidR="00EC75C4" w:rsidRPr="00FF6273">
        <w:rPr>
          <w:color w:val="auto"/>
          <w:sz w:val="22"/>
          <w:szCs w:val="22"/>
        </w:rPr>
        <w:t>35 fracción II de la L</w:t>
      </w:r>
      <w:r w:rsidR="007A4FBA">
        <w:rPr>
          <w:color w:val="auto"/>
          <w:sz w:val="22"/>
          <w:szCs w:val="22"/>
        </w:rPr>
        <w:t xml:space="preserve">ey </w:t>
      </w:r>
      <w:r w:rsidR="00EC75C4" w:rsidRPr="00FF6273">
        <w:rPr>
          <w:color w:val="auto"/>
          <w:sz w:val="22"/>
          <w:szCs w:val="22"/>
        </w:rPr>
        <w:t>F</w:t>
      </w:r>
      <w:r w:rsidR="007A4FBA">
        <w:rPr>
          <w:color w:val="auto"/>
          <w:sz w:val="22"/>
          <w:szCs w:val="22"/>
        </w:rPr>
        <w:t xml:space="preserve">ederal de </w:t>
      </w:r>
      <w:r w:rsidR="00EC75C4" w:rsidRPr="00FF6273">
        <w:rPr>
          <w:color w:val="auto"/>
          <w:sz w:val="22"/>
          <w:szCs w:val="22"/>
        </w:rPr>
        <w:t>P</w:t>
      </w:r>
      <w:r w:rsidR="007A4FBA">
        <w:rPr>
          <w:color w:val="auto"/>
          <w:sz w:val="22"/>
          <w:szCs w:val="22"/>
        </w:rPr>
        <w:t xml:space="preserve">rocedimiento </w:t>
      </w:r>
      <w:r w:rsidR="00EC75C4" w:rsidRPr="00FF6273">
        <w:rPr>
          <w:color w:val="auto"/>
          <w:sz w:val="22"/>
          <w:szCs w:val="22"/>
        </w:rPr>
        <w:t>A</w:t>
      </w:r>
      <w:r w:rsidR="007A4FBA">
        <w:rPr>
          <w:color w:val="auto"/>
          <w:sz w:val="22"/>
          <w:szCs w:val="22"/>
        </w:rPr>
        <w:t>dministrativo</w:t>
      </w:r>
      <w:r>
        <w:rPr>
          <w:color w:val="auto"/>
          <w:sz w:val="22"/>
          <w:szCs w:val="22"/>
        </w:rPr>
        <w:t xml:space="preserve">, ordenamiento de aplicación supletoria de conformidad con la fracción IV del artículo 6 de la LFTR, establece que </w:t>
      </w:r>
      <w:r w:rsidR="00EC75C4" w:rsidRPr="00FF6273">
        <w:rPr>
          <w:color w:val="auto"/>
          <w:sz w:val="22"/>
          <w:szCs w:val="22"/>
        </w:rPr>
        <w:t xml:space="preserve">las notificaciones, citatorios, emplazamientos, requerimientos, solicitud de informes o documentos y las resoluciones administrativas definitivas podrán realizarse mediante medios de comunicación electrónica o cualquier otro medio, </w:t>
      </w:r>
      <w:r w:rsidR="00AE1085">
        <w:rPr>
          <w:color w:val="auto"/>
          <w:sz w:val="22"/>
          <w:szCs w:val="22"/>
        </w:rPr>
        <w:t xml:space="preserve">cuando así lo haya expresado expresamente el </w:t>
      </w:r>
      <w:proofErr w:type="spellStart"/>
      <w:r w:rsidR="00AE1085">
        <w:rPr>
          <w:color w:val="auto"/>
          <w:sz w:val="22"/>
          <w:szCs w:val="22"/>
        </w:rPr>
        <w:t>promovente</w:t>
      </w:r>
      <w:proofErr w:type="spellEnd"/>
      <w:r w:rsidR="00AE1085">
        <w:rPr>
          <w:color w:val="auto"/>
          <w:sz w:val="22"/>
          <w:szCs w:val="22"/>
        </w:rPr>
        <w:t xml:space="preserve"> </w:t>
      </w:r>
      <w:r w:rsidR="00EC75C4" w:rsidRPr="00FF6273">
        <w:rPr>
          <w:color w:val="auto"/>
          <w:sz w:val="22"/>
          <w:szCs w:val="22"/>
        </w:rPr>
        <w:t xml:space="preserve">y siempre que pueda comprobarse fehacientemente la recepción de los mismos. </w:t>
      </w:r>
    </w:p>
    <w:p w14:paraId="2C24303B" w14:textId="035B0AA6" w:rsidR="00406010" w:rsidRDefault="00406010" w:rsidP="008E195A">
      <w:pPr>
        <w:pStyle w:val="Default"/>
        <w:spacing w:line="276" w:lineRule="auto"/>
        <w:jc w:val="both"/>
        <w:rPr>
          <w:color w:val="auto"/>
          <w:sz w:val="22"/>
          <w:szCs w:val="22"/>
        </w:rPr>
      </w:pPr>
    </w:p>
    <w:p w14:paraId="56B43328" w14:textId="2EC69EC3" w:rsidR="00406010" w:rsidRDefault="00406010" w:rsidP="008E195A">
      <w:pPr>
        <w:pStyle w:val="Default"/>
        <w:spacing w:line="276" w:lineRule="auto"/>
        <w:jc w:val="both"/>
        <w:rPr>
          <w:color w:val="auto"/>
          <w:sz w:val="22"/>
          <w:szCs w:val="22"/>
        </w:rPr>
      </w:pPr>
      <w:r>
        <w:rPr>
          <w:color w:val="auto"/>
          <w:sz w:val="22"/>
          <w:szCs w:val="22"/>
        </w:rPr>
        <w:t>Asimismo</w:t>
      </w:r>
      <w:r w:rsidR="009F2D57">
        <w:rPr>
          <w:color w:val="auto"/>
          <w:sz w:val="22"/>
          <w:szCs w:val="22"/>
        </w:rPr>
        <w:t>, los Lineamientos de Ventanilla Electrónica establecen que el Instituto establecerá una Ventanilla Electrónica para la recepción, atención, sustanciación y resolución de los Trámites y Servicios que la establezcan como su medio de presentación, en donde se llevarán a cabo todas las actuaciones relacionadas a los Trámites y Servicios que determine el Instituto mediante disposiciones de carácter general.</w:t>
      </w:r>
    </w:p>
    <w:p w14:paraId="1ECCC16A" w14:textId="77777777" w:rsidR="005608AF" w:rsidRPr="00FF6273" w:rsidRDefault="005608AF" w:rsidP="008E195A">
      <w:pPr>
        <w:pStyle w:val="Default"/>
        <w:spacing w:line="276" w:lineRule="auto"/>
        <w:jc w:val="both"/>
        <w:rPr>
          <w:color w:val="auto"/>
          <w:sz w:val="22"/>
          <w:szCs w:val="22"/>
        </w:rPr>
      </w:pPr>
    </w:p>
    <w:p w14:paraId="7012EEF8" w14:textId="0F83BDF0" w:rsidR="00EB6CF6" w:rsidRPr="00420FDD" w:rsidRDefault="005F0738" w:rsidP="009F2D57">
      <w:pPr>
        <w:pStyle w:val="Default"/>
        <w:spacing w:line="276" w:lineRule="auto"/>
        <w:jc w:val="both"/>
      </w:pPr>
      <w:r>
        <w:rPr>
          <w:color w:val="auto"/>
          <w:sz w:val="22"/>
          <w:szCs w:val="22"/>
        </w:rPr>
        <w:t>Por lo anterior</w:t>
      </w:r>
      <w:r w:rsidR="00951BB9" w:rsidRPr="00FF6273">
        <w:rPr>
          <w:color w:val="auto"/>
          <w:sz w:val="22"/>
          <w:szCs w:val="22"/>
        </w:rPr>
        <w:t xml:space="preserve">, es procedente emitir </w:t>
      </w:r>
      <w:r w:rsidR="001A2A51">
        <w:rPr>
          <w:color w:val="auto"/>
          <w:sz w:val="22"/>
          <w:szCs w:val="22"/>
        </w:rPr>
        <w:t xml:space="preserve">los </w:t>
      </w:r>
      <w:r w:rsidR="00951BB9" w:rsidRPr="00FF6273">
        <w:rPr>
          <w:color w:val="auto"/>
          <w:sz w:val="22"/>
          <w:szCs w:val="22"/>
        </w:rPr>
        <w:t>lineamientos para sustancia</w:t>
      </w:r>
      <w:r w:rsidR="001A2A51">
        <w:rPr>
          <w:color w:val="auto"/>
          <w:sz w:val="22"/>
          <w:szCs w:val="22"/>
        </w:rPr>
        <w:t xml:space="preserve">r los </w:t>
      </w:r>
      <w:r w:rsidR="00951BB9" w:rsidRPr="00FF6273">
        <w:rPr>
          <w:color w:val="auto"/>
          <w:sz w:val="22"/>
          <w:szCs w:val="22"/>
        </w:rPr>
        <w:t>procedimiento</w:t>
      </w:r>
      <w:r w:rsidR="001A2A51">
        <w:rPr>
          <w:color w:val="auto"/>
          <w:sz w:val="22"/>
          <w:szCs w:val="22"/>
        </w:rPr>
        <w:t>s</w:t>
      </w:r>
      <w:r w:rsidR="00951BB9" w:rsidRPr="00FF6273">
        <w:rPr>
          <w:color w:val="auto"/>
          <w:sz w:val="22"/>
          <w:szCs w:val="22"/>
        </w:rPr>
        <w:t xml:space="preserve"> de </w:t>
      </w:r>
      <w:r w:rsidR="00BE346F" w:rsidRPr="00FF6273">
        <w:rPr>
          <w:bCs/>
          <w:sz w:val="22"/>
          <w:szCs w:val="22"/>
        </w:rPr>
        <w:t>condiciones de interconexión no convenidas entre los concesionarios de red pública de telecomunicaciones previstos en el artículo 129 de la LFTR</w:t>
      </w:r>
      <w:r w:rsidR="00BE346F" w:rsidRPr="00FF6273">
        <w:rPr>
          <w:b/>
          <w:bCs/>
          <w:sz w:val="22"/>
          <w:szCs w:val="22"/>
        </w:rPr>
        <w:t xml:space="preserve"> </w:t>
      </w:r>
      <w:r w:rsidR="00951BB9" w:rsidRPr="00FF6273">
        <w:rPr>
          <w:color w:val="auto"/>
          <w:sz w:val="22"/>
          <w:szCs w:val="22"/>
        </w:rPr>
        <w:t>a</w:t>
      </w:r>
      <w:r w:rsidR="009F2D57">
        <w:rPr>
          <w:color w:val="auto"/>
          <w:sz w:val="22"/>
          <w:szCs w:val="22"/>
        </w:rPr>
        <w:t xml:space="preserve"> través de medios electrónicos.</w:t>
      </w:r>
    </w:p>
    <w:p w14:paraId="5F2510E1" w14:textId="77777777" w:rsidR="0089167C" w:rsidRPr="000653EF" w:rsidRDefault="0089167C" w:rsidP="000653EF">
      <w:pPr>
        <w:pStyle w:val="Default"/>
        <w:jc w:val="both"/>
        <w:rPr>
          <w:sz w:val="22"/>
          <w:szCs w:val="22"/>
        </w:rPr>
      </w:pPr>
    </w:p>
    <w:p w14:paraId="3FAE9AC9" w14:textId="77777777" w:rsidR="00974BA8" w:rsidRPr="008F29AD" w:rsidRDefault="009F2D57" w:rsidP="00974BA8">
      <w:pPr>
        <w:spacing w:after="0"/>
        <w:jc w:val="both"/>
        <w:rPr>
          <w:rFonts w:ascii="Arial" w:eastAsia="Times New Roman" w:hAnsi="Arial" w:cs="Arial"/>
          <w:bCs/>
          <w:kern w:val="1"/>
          <w:lang w:eastAsia="ar-SA"/>
        </w:rPr>
      </w:pPr>
      <w:r w:rsidRPr="008F29AD">
        <w:rPr>
          <w:rFonts w:ascii="Arial" w:hAnsi="Arial" w:cs="Arial"/>
          <w:b/>
        </w:rPr>
        <w:t>Tercero</w:t>
      </w:r>
      <w:r w:rsidR="00AA4585" w:rsidRPr="008F29AD">
        <w:rPr>
          <w:rFonts w:ascii="Arial" w:hAnsi="Arial" w:cs="Arial"/>
          <w:b/>
        </w:rPr>
        <w:t>. -</w:t>
      </w:r>
      <w:r w:rsidR="00AA4585" w:rsidRPr="008F29AD">
        <w:rPr>
          <w:rFonts w:ascii="Arial" w:hAnsi="Arial" w:cs="Arial"/>
        </w:rPr>
        <w:t xml:space="preserve"> </w:t>
      </w:r>
      <w:r w:rsidR="00AA4585" w:rsidRPr="008F29AD">
        <w:rPr>
          <w:rFonts w:ascii="Arial" w:hAnsi="Arial" w:cs="Arial"/>
          <w:b/>
        </w:rPr>
        <w:t xml:space="preserve">Consulta Pública </w:t>
      </w:r>
      <w:r w:rsidR="00974BA8" w:rsidRPr="008F29AD">
        <w:rPr>
          <w:rFonts w:ascii="Arial" w:hAnsi="Arial" w:cs="Arial"/>
          <w:b/>
        </w:rPr>
        <w:t xml:space="preserve">y Análisis de Impacto Regulatorio. </w:t>
      </w:r>
      <w:r w:rsidR="00974BA8" w:rsidRPr="008F29AD">
        <w:rPr>
          <w:rFonts w:ascii="Arial" w:eastAsia="Times New Roman" w:hAnsi="Arial" w:cs="Arial"/>
          <w:bCs/>
          <w:kern w:val="1"/>
          <w:lang w:eastAsia="ar-SA"/>
        </w:rPr>
        <w:t>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asimismo señala que previamente a la emisión de reglas, lineamientos o disposiciones administrativas de carácter general de que se trate, el Instituto deberá realizar y hacer público un análisis de impacto regulatorio o, en su caso, solicitar el apoyo de la Comisión Federal de Mejora Regulatoria.</w:t>
      </w:r>
    </w:p>
    <w:p w14:paraId="2874E949" w14:textId="77777777" w:rsidR="00974BA8" w:rsidRPr="000E6D74" w:rsidRDefault="00974BA8" w:rsidP="00974BA8">
      <w:pPr>
        <w:spacing w:after="0"/>
        <w:jc w:val="both"/>
        <w:rPr>
          <w:rFonts w:ascii="Arial" w:eastAsia="Times New Roman" w:hAnsi="Arial" w:cs="Arial"/>
          <w:bCs/>
          <w:kern w:val="1"/>
          <w:lang w:eastAsia="ar-SA"/>
        </w:rPr>
      </w:pPr>
    </w:p>
    <w:p w14:paraId="28266E50" w14:textId="77777777" w:rsidR="00974BA8" w:rsidRPr="000E6D74" w:rsidRDefault="00974BA8" w:rsidP="00974BA8">
      <w:pPr>
        <w:spacing w:after="0"/>
        <w:jc w:val="both"/>
        <w:rPr>
          <w:rFonts w:ascii="Arial" w:eastAsia="Times New Roman" w:hAnsi="Arial" w:cs="Arial"/>
          <w:bCs/>
          <w:kern w:val="1"/>
          <w:lang w:eastAsia="ar-SA"/>
        </w:rPr>
      </w:pPr>
      <w:r w:rsidRPr="000E6D74">
        <w:rPr>
          <w:rFonts w:ascii="Arial" w:eastAsia="Times New Roman" w:hAnsi="Arial" w:cs="Arial"/>
          <w:bCs/>
          <w:kern w:val="1"/>
          <w:lang w:eastAsia="ar-SA"/>
        </w:rPr>
        <w:t xml:space="preserve">En este sentido, el Pleno del Instituto estimó conveniente someter a consulta pública el </w:t>
      </w:r>
      <w:r>
        <w:rPr>
          <w:rFonts w:ascii="Arial" w:hAnsi="Arial"/>
        </w:rPr>
        <w:t xml:space="preserve">Anteproyecto </w:t>
      </w:r>
      <w:r w:rsidRPr="00F40387">
        <w:rPr>
          <w:rFonts w:ascii="Arial" w:hAnsi="Arial"/>
        </w:rPr>
        <w:t>de Lineamientos para la solicitud y sus</w:t>
      </w:r>
      <w:r>
        <w:rPr>
          <w:rFonts w:ascii="Arial" w:hAnsi="Arial"/>
        </w:rPr>
        <w:t xml:space="preserve">tanciación del procedimiento de </w:t>
      </w:r>
      <w:r w:rsidRPr="00F40387">
        <w:rPr>
          <w:rFonts w:ascii="Arial" w:hAnsi="Arial"/>
        </w:rPr>
        <w:t>resolución de desacuerdos de interconexió</w:t>
      </w:r>
      <w:r>
        <w:rPr>
          <w:rFonts w:ascii="Arial" w:hAnsi="Arial"/>
        </w:rPr>
        <w:t xml:space="preserve">n entre concesionarios de redes </w:t>
      </w:r>
      <w:r w:rsidRPr="00F40387">
        <w:rPr>
          <w:rFonts w:ascii="Arial" w:hAnsi="Arial"/>
        </w:rPr>
        <w:t>públicas de telecomunicaciones de c</w:t>
      </w:r>
      <w:r>
        <w:rPr>
          <w:rFonts w:ascii="Arial" w:hAnsi="Arial"/>
        </w:rPr>
        <w:t xml:space="preserve">onformidad con el procedimiento </w:t>
      </w:r>
      <w:r w:rsidRPr="00F40387">
        <w:rPr>
          <w:rFonts w:ascii="Arial" w:hAnsi="Arial"/>
        </w:rPr>
        <w:t xml:space="preserve">previsto en el artículo 129 de la Ley </w:t>
      </w:r>
      <w:r>
        <w:rPr>
          <w:rFonts w:ascii="Arial" w:hAnsi="Arial"/>
        </w:rPr>
        <w:t xml:space="preserve">Federal de Telecomunicaciones y </w:t>
      </w:r>
      <w:r w:rsidRPr="00F40387">
        <w:rPr>
          <w:rFonts w:ascii="Arial" w:hAnsi="Arial"/>
        </w:rPr>
        <w:t xml:space="preserve">Radiodifusión, mediante el uso optativo de </w:t>
      </w:r>
      <w:r>
        <w:rPr>
          <w:rFonts w:ascii="Arial" w:hAnsi="Arial"/>
        </w:rPr>
        <w:t xml:space="preserve">medios electrónicos a través de </w:t>
      </w:r>
      <w:r w:rsidRPr="00F40387">
        <w:rPr>
          <w:rFonts w:ascii="Arial" w:hAnsi="Arial"/>
        </w:rPr>
        <w:t>la Ventanilla Electrónica del Instituto Federal de Telecomunicaciones</w:t>
      </w:r>
      <w:r w:rsidRPr="000E6D74">
        <w:rPr>
          <w:rFonts w:ascii="Arial" w:eastAsia="Times New Roman" w:hAnsi="Arial" w:cs="Arial"/>
          <w:bCs/>
          <w:kern w:val="1"/>
          <w:lang w:eastAsia="ar-SA"/>
        </w:rPr>
        <w:t xml:space="preserve">. </w:t>
      </w:r>
    </w:p>
    <w:p w14:paraId="6562AFE7" w14:textId="77777777" w:rsidR="00974BA8" w:rsidRPr="000E6D74" w:rsidRDefault="00974BA8" w:rsidP="00974BA8">
      <w:pPr>
        <w:spacing w:after="0"/>
        <w:jc w:val="both"/>
        <w:rPr>
          <w:rFonts w:ascii="Arial" w:eastAsia="Times New Roman" w:hAnsi="Arial" w:cs="Arial"/>
          <w:bCs/>
          <w:kern w:val="1"/>
          <w:lang w:eastAsia="ar-SA"/>
        </w:rPr>
      </w:pPr>
    </w:p>
    <w:p w14:paraId="16031DA4" w14:textId="1EDDB158" w:rsidR="00974BA8" w:rsidRPr="000E6D74" w:rsidRDefault="00974BA8" w:rsidP="00974BA8">
      <w:pPr>
        <w:spacing w:after="0"/>
        <w:jc w:val="both"/>
        <w:rPr>
          <w:rFonts w:ascii="Arial" w:eastAsia="Times New Roman" w:hAnsi="Arial" w:cs="Arial"/>
          <w:bCs/>
          <w:kern w:val="1"/>
          <w:lang w:eastAsia="ar-SA"/>
        </w:rPr>
      </w:pPr>
      <w:r w:rsidRPr="000E6D74">
        <w:rPr>
          <w:rFonts w:ascii="Arial" w:eastAsia="Times New Roman" w:hAnsi="Arial" w:cs="Arial"/>
          <w:bCs/>
          <w:kern w:val="1"/>
          <w:lang w:eastAsia="ar-SA"/>
        </w:rPr>
        <w:t xml:space="preserve">Al efecto, una vez concluido el plazo de consulta respectivo, se publicaron en el portal de Internet del Instituto todos y cada uno de los comentarios, opiniones y propuestas concretas recibidas respecto del Anteproyecto materia de dicha consulta pública. En relación con lo </w:t>
      </w:r>
      <w:r w:rsidRPr="000E6D74">
        <w:rPr>
          <w:rFonts w:ascii="Arial" w:eastAsia="Times New Roman" w:hAnsi="Arial" w:cs="Arial"/>
          <w:bCs/>
          <w:kern w:val="1"/>
          <w:lang w:eastAsia="ar-SA"/>
        </w:rPr>
        <w:lastRenderedPageBreak/>
        <w:t>anterior, se menciona que, durante la consulta pú</w:t>
      </w:r>
      <w:r>
        <w:rPr>
          <w:rFonts w:ascii="Arial" w:eastAsia="Times New Roman" w:hAnsi="Arial" w:cs="Arial"/>
          <w:bCs/>
          <w:kern w:val="1"/>
          <w:lang w:eastAsia="ar-SA"/>
        </w:rPr>
        <w:t xml:space="preserve">blica de mérito, se recibieron </w:t>
      </w:r>
      <w:r w:rsidR="00D358A7">
        <w:rPr>
          <w:rFonts w:ascii="Arial" w:eastAsia="Times New Roman" w:hAnsi="Arial" w:cs="Arial"/>
          <w:bCs/>
          <w:kern w:val="1"/>
          <w:lang w:eastAsia="ar-SA"/>
        </w:rPr>
        <w:t>5</w:t>
      </w:r>
      <w:r w:rsidRPr="000E6D74">
        <w:rPr>
          <w:rFonts w:ascii="Arial" w:eastAsia="Times New Roman" w:hAnsi="Arial" w:cs="Arial"/>
          <w:bCs/>
          <w:kern w:val="1"/>
          <w:lang w:eastAsia="ar-SA"/>
        </w:rPr>
        <w:t xml:space="preserve"> participaciones de concesionarios.</w:t>
      </w:r>
    </w:p>
    <w:p w14:paraId="1094E590" w14:textId="77777777" w:rsidR="00974BA8" w:rsidRPr="000E6D74" w:rsidRDefault="00974BA8" w:rsidP="00974BA8">
      <w:pPr>
        <w:spacing w:after="0"/>
        <w:jc w:val="both"/>
        <w:rPr>
          <w:rFonts w:ascii="Arial" w:eastAsia="Times New Roman" w:hAnsi="Arial" w:cs="Arial"/>
          <w:bCs/>
          <w:kern w:val="1"/>
          <w:lang w:eastAsia="ar-SA"/>
        </w:rPr>
      </w:pPr>
    </w:p>
    <w:p w14:paraId="3B3775A4" w14:textId="77777777" w:rsidR="00974BA8" w:rsidRPr="000E6D74" w:rsidRDefault="00974BA8" w:rsidP="00974BA8">
      <w:pPr>
        <w:spacing w:after="0"/>
        <w:jc w:val="both"/>
        <w:rPr>
          <w:rFonts w:ascii="Arial" w:eastAsia="Times New Roman" w:hAnsi="Arial" w:cs="Arial"/>
          <w:bCs/>
          <w:kern w:val="1"/>
          <w:lang w:eastAsia="ar-SA"/>
        </w:rPr>
      </w:pPr>
      <w:r w:rsidRPr="000E6D74">
        <w:rPr>
          <w:rFonts w:ascii="Arial" w:eastAsia="Times New Roman" w:hAnsi="Arial" w:cs="Arial"/>
          <w:bCs/>
          <w:kern w:val="1"/>
          <w:lang w:eastAsia="ar-SA"/>
        </w:rPr>
        <w:t>De las manifestaciones y propuestas realizadas, el Instituto identificó oportunidades de precisión y mejora del instrumento regulatorio de mérito, logrando clarificar y robustecer su contenido. Las respuestas y comentarios a las participaciones recibidas del público durante el periodo de consulta pública, se encuentran disponibles en la página de Internet del Instituto.</w:t>
      </w:r>
    </w:p>
    <w:p w14:paraId="59A8F47C" w14:textId="77777777" w:rsidR="00974BA8" w:rsidRPr="000E6D74" w:rsidRDefault="00974BA8" w:rsidP="00974BA8">
      <w:pPr>
        <w:spacing w:after="0"/>
        <w:jc w:val="both"/>
        <w:rPr>
          <w:rFonts w:ascii="Arial" w:eastAsia="Times New Roman" w:hAnsi="Arial" w:cs="Arial"/>
          <w:bCs/>
          <w:kern w:val="1"/>
          <w:lang w:eastAsia="ar-SA"/>
        </w:rPr>
      </w:pPr>
    </w:p>
    <w:p w14:paraId="41B82611" w14:textId="77777777" w:rsidR="00974BA8" w:rsidRPr="000E6D74" w:rsidRDefault="00974BA8" w:rsidP="00974BA8">
      <w:pPr>
        <w:spacing w:after="0"/>
        <w:jc w:val="both"/>
        <w:rPr>
          <w:rFonts w:ascii="Arial" w:eastAsia="Times New Roman" w:hAnsi="Arial" w:cs="Arial"/>
          <w:bCs/>
          <w:kern w:val="1"/>
          <w:lang w:eastAsia="ar-SA"/>
        </w:rPr>
      </w:pPr>
      <w:r w:rsidRPr="000E6D74">
        <w:rPr>
          <w:rFonts w:ascii="Arial" w:eastAsia="Times New Roman" w:hAnsi="Arial" w:cs="Arial"/>
          <w:bCs/>
          <w:kern w:val="1"/>
          <w:lang w:eastAsia="ar-SA"/>
        </w:rPr>
        <w:t>Por otra parte, la Unidad de Política Regulatoria del Instituto realizó el Análisis de Impacto Regulatorio correspondiente, mismo que fue sometido formalmente a opinión no vinculante de la Coordinación General de Mejora Regulatoria del propio Instituto.</w:t>
      </w:r>
    </w:p>
    <w:p w14:paraId="50993F07" w14:textId="77777777" w:rsidR="00974BA8" w:rsidRPr="000E6D74" w:rsidRDefault="00974BA8" w:rsidP="00974BA8">
      <w:pPr>
        <w:spacing w:after="0"/>
        <w:jc w:val="both"/>
        <w:rPr>
          <w:rFonts w:ascii="Arial" w:eastAsia="Times New Roman" w:hAnsi="Arial" w:cs="Arial"/>
          <w:bCs/>
          <w:kern w:val="1"/>
          <w:lang w:eastAsia="ar-SA"/>
        </w:rPr>
      </w:pPr>
    </w:p>
    <w:p w14:paraId="2213DC1E" w14:textId="39E95037" w:rsidR="00974BA8" w:rsidRPr="000E6D74" w:rsidRDefault="00974BA8" w:rsidP="00974BA8">
      <w:pPr>
        <w:spacing w:after="0"/>
        <w:jc w:val="both"/>
        <w:rPr>
          <w:rFonts w:ascii="Arial" w:eastAsia="Times New Roman" w:hAnsi="Arial" w:cs="Arial"/>
          <w:bCs/>
          <w:kern w:val="1"/>
          <w:lang w:eastAsia="ar-SA"/>
        </w:rPr>
      </w:pPr>
      <w:r w:rsidRPr="000E6D74">
        <w:rPr>
          <w:rFonts w:ascii="Arial" w:eastAsia="Times New Roman" w:hAnsi="Arial" w:cs="Arial"/>
          <w:bCs/>
          <w:kern w:val="1"/>
          <w:lang w:eastAsia="ar-SA"/>
        </w:rPr>
        <w:t xml:space="preserve">Como consecuencia de lo anterior, mediante oficio </w:t>
      </w:r>
      <w:r w:rsidRPr="00062DA5">
        <w:rPr>
          <w:rFonts w:ascii="Arial" w:eastAsia="Times New Roman" w:hAnsi="Arial" w:cs="Arial"/>
          <w:bCs/>
          <w:kern w:val="1"/>
          <w:lang w:eastAsia="ar-SA"/>
        </w:rPr>
        <w:t>IFT/211/CGMR/4</w:t>
      </w:r>
      <w:r w:rsidR="00CE68D5">
        <w:rPr>
          <w:rFonts w:ascii="Arial" w:eastAsia="Times New Roman" w:hAnsi="Arial" w:cs="Arial"/>
          <w:bCs/>
          <w:kern w:val="1"/>
          <w:lang w:eastAsia="ar-SA"/>
        </w:rPr>
        <w:t>65</w:t>
      </w:r>
      <w:r w:rsidRPr="00062DA5">
        <w:rPr>
          <w:rFonts w:ascii="Arial" w:eastAsia="Times New Roman" w:hAnsi="Arial" w:cs="Arial"/>
          <w:bCs/>
          <w:kern w:val="1"/>
          <w:lang w:eastAsia="ar-SA"/>
        </w:rPr>
        <w:t>/2020</w:t>
      </w:r>
      <w:r>
        <w:rPr>
          <w:rFonts w:ascii="Arial" w:eastAsia="Times New Roman" w:hAnsi="Arial" w:cs="Arial"/>
          <w:bCs/>
          <w:kern w:val="1"/>
          <w:lang w:eastAsia="ar-SA"/>
        </w:rPr>
        <w:t xml:space="preserve"> de fecha</w:t>
      </w:r>
      <w:r w:rsidRPr="000E6D74">
        <w:rPr>
          <w:rFonts w:ascii="Arial" w:eastAsia="Times New Roman" w:hAnsi="Arial" w:cs="Arial"/>
          <w:bCs/>
          <w:kern w:val="1"/>
          <w:lang w:eastAsia="ar-SA"/>
        </w:rPr>
        <w:t xml:space="preserve"> </w:t>
      </w:r>
      <w:r>
        <w:rPr>
          <w:rFonts w:ascii="Arial" w:eastAsia="Times New Roman" w:hAnsi="Arial" w:cs="Arial"/>
          <w:bCs/>
          <w:kern w:val="1"/>
          <w:lang w:eastAsia="ar-SA"/>
        </w:rPr>
        <w:t>4</w:t>
      </w:r>
      <w:r w:rsidRPr="000E6D74">
        <w:rPr>
          <w:rFonts w:ascii="Arial" w:eastAsia="Times New Roman" w:hAnsi="Arial" w:cs="Arial"/>
          <w:bCs/>
          <w:kern w:val="1"/>
          <w:lang w:eastAsia="ar-SA"/>
        </w:rPr>
        <w:t xml:space="preserve"> de </w:t>
      </w:r>
      <w:r>
        <w:rPr>
          <w:rFonts w:ascii="Arial" w:eastAsia="Times New Roman" w:hAnsi="Arial" w:cs="Arial"/>
          <w:bCs/>
          <w:kern w:val="1"/>
          <w:lang w:eastAsia="ar-SA"/>
        </w:rPr>
        <w:t>noviembre de 2020</w:t>
      </w:r>
      <w:r w:rsidRPr="000E6D74">
        <w:rPr>
          <w:rFonts w:ascii="Arial" w:eastAsia="Times New Roman" w:hAnsi="Arial" w:cs="Arial"/>
          <w:bCs/>
          <w:kern w:val="1"/>
          <w:lang w:eastAsia="ar-SA"/>
        </w:rPr>
        <w:t>, la Coordinación General de Mejora Regulatoria emitió la opinión no vinculante respecto del “</w:t>
      </w:r>
      <w:r>
        <w:rPr>
          <w:rFonts w:ascii="Arial" w:hAnsi="Arial"/>
        </w:rPr>
        <w:t xml:space="preserve">Anteproyecto </w:t>
      </w:r>
      <w:r w:rsidRPr="00F40387">
        <w:rPr>
          <w:rFonts w:ascii="Arial" w:hAnsi="Arial"/>
        </w:rPr>
        <w:t>de Lineamientos para la solicitud y sus</w:t>
      </w:r>
      <w:r>
        <w:rPr>
          <w:rFonts w:ascii="Arial" w:hAnsi="Arial"/>
        </w:rPr>
        <w:t xml:space="preserve">tanciación del procedimiento de </w:t>
      </w:r>
      <w:r w:rsidRPr="00F40387">
        <w:rPr>
          <w:rFonts w:ascii="Arial" w:hAnsi="Arial"/>
        </w:rPr>
        <w:t>resolución de desacuerdos de interconexió</w:t>
      </w:r>
      <w:r>
        <w:rPr>
          <w:rFonts w:ascii="Arial" w:hAnsi="Arial"/>
        </w:rPr>
        <w:t xml:space="preserve">n entre concesionarios de redes </w:t>
      </w:r>
      <w:r w:rsidRPr="00F40387">
        <w:rPr>
          <w:rFonts w:ascii="Arial" w:hAnsi="Arial"/>
        </w:rPr>
        <w:t>públicas de telecomunicaciones de c</w:t>
      </w:r>
      <w:r>
        <w:rPr>
          <w:rFonts w:ascii="Arial" w:hAnsi="Arial"/>
        </w:rPr>
        <w:t xml:space="preserve">onformidad con el procedimiento </w:t>
      </w:r>
      <w:r w:rsidRPr="00F40387">
        <w:rPr>
          <w:rFonts w:ascii="Arial" w:hAnsi="Arial"/>
        </w:rPr>
        <w:t xml:space="preserve">previsto en el artículo 129 de la Ley </w:t>
      </w:r>
      <w:r>
        <w:rPr>
          <w:rFonts w:ascii="Arial" w:hAnsi="Arial"/>
        </w:rPr>
        <w:t xml:space="preserve">Federal de Telecomunicaciones y </w:t>
      </w:r>
      <w:r w:rsidRPr="00F40387">
        <w:rPr>
          <w:rFonts w:ascii="Arial" w:hAnsi="Arial"/>
        </w:rPr>
        <w:t xml:space="preserve">Radiodifusión, mediante el uso optativo de </w:t>
      </w:r>
      <w:r>
        <w:rPr>
          <w:rFonts w:ascii="Arial" w:hAnsi="Arial"/>
        </w:rPr>
        <w:t xml:space="preserve">medios electrónicos a través de </w:t>
      </w:r>
      <w:r w:rsidRPr="00F40387">
        <w:rPr>
          <w:rFonts w:ascii="Arial" w:hAnsi="Arial"/>
        </w:rPr>
        <w:t>la Ventanilla Electrónica del Instituto Federal de Telecomunicaciones</w:t>
      </w:r>
      <w:r w:rsidRPr="000E6D74">
        <w:rPr>
          <w:rFonts w:ascii="Arial" w:eastAsia="Times New Roman" w:hAnsi="Arial" w:cs="Arial"/>
          <w:bCs/>
          <w:kern w:val="1"/>
          <w:lang w:eastAsia="ar-SA"/>
        </w:rPr>
        <w:t>”.</w:t>
      </w:r>
    </w:p>
    <w:p w14:paraId="6EF025F0" w14:textId="77777777" w:rsidR="00974BA8" w:rsidRPr="000E6D74" w:rsidRDefault="00974BA8" w:rsidP="00974BA8">
      <w:pPr>
        <w:spacing w:after="0"/>
        <w:jc w:val="both"/>
        <w:rPr>
          <w:rFonts w:ascii="Arial" w:eastAsia="Times New Roman" w:hAnsi="Arial" w:cs="Arial"/>
          <w:bCs/>
          <w:kern w:val="1"/>
          <w:lang w:eastAsia="ar-SA"/>
        </w:rPr>
      </w:pPr>
    </w:p>
    <w:p w14:paraId="0DEC6D7D" w14:textId="06547E36" w:rsidR="00974BA8" w:rsidRPr="000E6D74" w:rsidRDefault="00974BA8" w:rsidP="00974BA8">
      <w:pPr>
        <w:spacing w:after="0"/>
        <w:jc w:val="both"/>
        <w:rPr>
          <w:rFonts w:ascii="Arial" w:eastAsia="Times New Roman" w:hAnsi="Arial" w:cs="Arial"/>
          <w:bCs/>
          <w:kern w:val="1"/>
          <w:lang w:eastAsia="ar-SA"/>
        </w:rPr>
      </w:pPr>
      <w:r w:rsidRPr="000E6D74">
        <w:rPr>
          <w:rFonts w:ascii="Arial" w:eastAsia="Times New Roman" w:hAnsi="Arial" w:cs="Arial"/>
          <w:bCs/>
          <w:kern w:val="1"/>
          <w:lang w:eastAsia="ar-SA"/>
        </w:rPr>
        <w:t>El Análisis de Impacto Regulatorio del “</w:t>
      </w:r>
      <w:r>
        <w:rPr>
          <w:rFonts w:ascii="Arial" w:hAnsi="Arial"/>
        </w:rPr>
        <w:t xml:space="preserve">Anteproyecto </w:t>
      </w:r>
      <w:r w:rsidRPr="00F40387">
        <w:rPr>
          <w:rFonts w:ascii="Arial" w:hAnsi="Arial"/>
        </w:rPr>
        <w:t>de Lineamientos para la solicitud y sus</w:t>
      </w:r>
      <w:r>
        <w:rPr>
          <w:rFonts w:ascii="Arial" w:hAnsi="Arial"/>
        </w:rPr>
        <w:t xml:space="preserve">tanciación del procedimiento de </w:t>
      </w:r>
      <w:r w:rsidRPr="00F40387">
        <w:rPr>
          <w:rFonts w:ascii="Arial" w:hAnsi="Arial"/>
        </w:rPr>
        <w:t>resolución de desacuerdos de interconexió</w:t>
      </w:r>
      <w:r>
        <w:rPr>
          <w:rFonts w:ascii="Arial" w:hAnsi="Arial"/>
        </w:rPr>
        <w:t xml:space="preserve">n entre concesionarios de redes </w:t>
      </w:r>
      <w:r w:rsidRPr="00F40387">
        <w:rPr>
          <w:rFonts w:ascii="Arial" w:hAnsi="Arial"/>
        </w:rPr>
        <w:t>públicas de telecomunicaciones de c</w:t>
      </w:r>
      <w:r>
        <w:rPr>
          <w:rFonts w:ascii="Arial" w:hAnsi="Arial"/>
        </w:rPr>
        <w:t xml:space="preserve">onformidad con el procedimiento </w:t>
      </w:r>
      <w:r w:rsidRPr="00F40387">
        <w:rPr>
          <w:rFonts w:ascii="Arial" w:hAnsi="Arial"/>
        </w:rPr>
        <w:t xml:space="preserve">previsto en el artículo 129 de la Ley </w:t>
      </w:r>
      <w:r>
        <w:rPr>
          <w:rFonts w:ascii="Arial" w:hAnsi="Arial"/>
        </w:rPr>
        <w:t xml:space="preserve">Federal de Telecomunicaciones y </w:t>
      </w:r>
      <w:r w:rsidRPr="00F40387">
        <w:rPr>
          <w:rFonts w:ascii="Arial" w:hAnsi="Arial"/>
        </w:rPr>
        <w:t xml:space="preserve">Radiodifusión, mediante el uso optativo de </w:t>
      </w:r>
      <w:r>
        <w:rPr>
          <w:rFonts w:ascii="Arial" w:hAnsi="Arial"/>
        </w:rPr>
        <w:t xml:space="preserve">medios electrónicos a través de </w:t>
      </w:r>
      <w:r w:rsidRPr="00F40387">
        <w:rPr>
          <w:rFonts w:ascii="Arial" w:hAnsi="Arial"/>
        </w:rPr>
        <w:t>la Ventanilla Electrónica del Instituto Federal de Telecomunicaciones</w:t>
      </w:r>
      <w:r w:rsidRPr="000E6D74">
        <w:rPr>
          <w:rFonts w:ascii="Arial" w:eastAsia="Times New Roman" w:hAnsi="Arial" w:cs="Arial"/>
          <w:bCs/>
          <w:kern w:val="1"/>
          <w:lang w:eastAsia="ar-SA"/>
        </w:rPr>
        <w:t>”, fue debidamente publicado en la página de Internet del Instituto, en el espacio destinado para los procesos de consultas públicas, a efecto de darle debida publicidad</w:t>
      </w:r>
      <w:r w:rsidR="001A645F">
        <w:rPr>
          <w:rFonts w:ascii="Arial" w:eastAsia="Times New Roman" w:hAnsi="Arial" w:cs="Arial"/>
          <w:bCs/>
          <w:kern w:val="1"/>
          <w:lang w:eastAsia="ar-SA"/>
        </w:rPr>
        <w:t xml:space="preserve"> en términos del artículo 51 de la LFTR</w:t>
      </w:r>
      <w:r w:rsidRPr="000E6D74">
        <w:rPr>
          <w:rFonts w:ascii="Arial" w:eastAsia="Times New Roman" w:hAnsi="Arial" w:cs="Arial"/>
          <w:bCs/>
          <w:kern w:val="1"/>
          <w:lang w:eastAsia="ar-SA"/>
        </w:rPr>
        <w:t>.</w:t>
      </w:r>
    </w:p>
    <w:p w14:paraId="569108F2" w14:textId="537B63C0" w:rsidR="005608AF" w:rsidRPr="00FF6273" w:rsidRDefault="005608AF" w:rsidP="00974BA8">
      <w:pPr>
        <w:pStyle w:val="Default"/>
        <w:spacing w:line="276" w:lineRule="auto"/>
        <w:jc w:val="both"/>
        <w:rPr>
          <w:color w:val="auto"/>
          <w:sz w:val="22"/>
          <w:szCs w:val="22"/>
        </w:rPr>
      </w:pPr>
    </w:p>
    <w:p w14:paraId="15110681" w14:textId="2AC42AA7" w:rsidR="001044A0" w:rsidRPr="00FF6273" w:rsidRDefault="00EC75C4" w:rsidP="008E195A">
      <w:pPr>
        <w:spacing w:line="276" w:lineRule="auto"/>
        <w:jc w:val="both"/>
        <w:rPr>
          <w:rFonts w:ascii="Arial" w:hAnsi="Arial" w:cs="Arial"/>
        </w:rPr>
      </w:pPr>
      <w:r w:rsidRPr="00FF6273">
        <w:rPr>
          <w:rFonts w:ascii="Arial" w:hAnsi="Arial" w:cs="Arial"/>
        </w:rPr>
        <w:t>P</w:t>
      </w:r>
      <w:r w:rsidR="008F3957" w:rsidRPr="00FF6273">
        <w:rPr>
          <w:rFonts w:ascii="Arial" w:hAnsi="Arial" w:cs="Arial"/>
        </w:rPr>
        <w:t>or las razones antes expuestas, con fundamento en lo dispuesto por el artículo 6 º apartado B fracción II; artículo 28 párrafos décimo quinto, décimo sexto y vigésimo fracción IV de la Constitución Política de los Estados Unidos Mexican</w:t>
      </w:r>
      <w:r w:rsidR="00F85C74">
        <w:rPr>
          <w:rFonts w:ascii="Arial" w:hAnsi="Arial" w:cs="Arial"/>
        </w:rPr>
        <w:t>os; 1, 2, 3, 7, 15</w:t>
      </w:r>
      <w:r w:rsidR="00B52D0E">
        <w:rPr>
          <w:rFonts w:ascii="Arial" w:hAnsi="Arial" w:cs="Arial"/>
        </w:rPr>
        <w:t>,</w:t>
      </w:r>
      <w:r w:rsidR="00F85C74">
        <w:rPr>
          <w:rFonts w:ascii="Arial" w:hAnsi="Arial" w:cs="Arial"/>
        </w:rPr>
        <w:t xml:space="preserve"> fracciones I, IX, X, LII y LVI</w:t>
      </w:r>
      <w:r w:rsidR="008F3957" w:rsidRPr="00FF6273">
        <w:rPr>
          <w:rFonts w:ascii="Arial" w:hAnsi="Arial" w:cs="Arial"/>
        </w:rPr>
        <w:t>, 16 y 17</w:t>
      </w:r>
      <w:r w:rsidR="00B52D0E">
        <w:rPr>
          <w:rFonts w:ascii="Arial" w:hAnsi="Arial" w:cs="Arial"/>
        </w:rPr>
        <w:t>,</w:t>
      </w:r>
      <w:r w:rsidR="008F3957" w:rsidRPr="00FF6273">
        <w:rPr>
          <w:rFonts w:ascii="Arial" w:hAnsi="Arial" w:cs="Arial"/>
        </w:rPr>
        <w:t xml:space="preserve"> fracción I,</w:t>
      </w:r>
      <w:r w:rsidR="00B52D0E">
        <w:rPr>
          <w:rFonts w:ascii="Arial" w:hAnsi="Arial" w:cs="Arial"/>
        </w:rPr>
        <w:t xml:space="preserve"> 46,</w:t>
      </w:r>
      <w:r w:rsidR="008F3957" w:rsidRPr="00FF6273">
        <w:rPr>
          <w:rFonts w:ascii="Arial" w:hAnsi="Arial" w:cs="Arial"/>
        </w:rPr>
        <w:t xml:space="preserve"> 51, 129 y 177</w:t>
      </w:r>
      <w:r w:rsidR="00B52D0E">
        <w:rPr>
          <w:rFonts w:ascii="Arial" w:hAnsi="Arial" w:cs="Arial"/>
        </w:rPr>
        <w:t>,</w:t>
      </w:r>
      <w:r w:rsidR="008F3957" w:rsidRPr="00FF6273">
        <w:rPr>
          <w:rFonts w:ascii="Arial" w:hAnsi="Arial" w:cs="Arial"/>
        </w:rPr>
        <w:t xml:space="preserve"> fracción XV de la Ley Federal de Telecomunicaciones y Radiodifusión</w:t>
      </w:r>
      <w:r w:rsidR="00B52D0E">
        <w:rPr>
          <w:rFonts w:ascii="Arial" w:hAnsi="Arial" w:cs="Arial"/>
        </w:rPr>
        <w:t>, y</w:t>
      </w:r>
      <w:r w:rsidR="008F3957" w:rsidRPr="00FF6273">
        <w:rPr>
          <w:rFonts w:ascii="Arial" w:hAnsi="Arial" w:cs="Arial"/>
        </w:rPr>
        <w:t xml:space="preserve"> 1</w:t>
      </w:r>
      <w:r w:rsidR="00DB49C4" w:rsidRPr="00FF6273">
        <w:rPr>
          <w:rFonts w:ascii="Arial" w:hAnsi="Arial" w:cs="Arial"/>
        </w:rPr>
        <w:t xml:space="preserve"> y 4</w:t>
      </w:r>
      <w:r w:rsidR="00B52D0E">
        <w:rPr>
          <w:rFonts w:ascii="Arial" w:hAnsi="Arial" w:cs="Arial"/>
        </w:rPr>
        <w:t>,</w:t>
      </w:r>
      <w:r w:rsidR="00DB49C4" w:rsidRPr="00FF6273">
        <w:rPr>
          <w:rFonts w:ascii="Arial" w:hAnsi="Arial" w:cs="Arial"/>
        </w:rPr>
        <w:t xml:space="preserve"> fracción I, 6</w:t>
      </w:r>
      <w:r w:rsidR="00B52D0E">
        <w:rPr>
          <w:rFonts w:ascii="Arial" w:hAnsi="Arial" w:cs="Arial"/>
        </w:rPr>
        <w:t>,</w:t>
      </w:r>
      <w:r w:rsidR="00DB49C4" w:rsidRPr="00FF6273">
        <w:rPr>
          <w:rFonts w:ascii="Arial" w:hAnsi="Arial" w:cs="Arial"/>
        </w:rPr>
        <w:t xml:space="preserve"> fracci</w:t>
      </w:r>
      <w:r w:rsidR="00B52D0E">
        <w:rPr>
          <w:rFonts w:ascii="Arial" w:hAnsi="Arial" w:cs="Arial"/>
        </w:rPr>
        <w:t>ones</w:t>
      </w:r>
      <w:r w:rsidR="00DB49C4" w:rsidRPr="00FF6273">
        <w:rPr>
          <w:rFonts w:ascii="Arial" w:hAnsi="Arial" w:cs="Arial"/>
        </w:rPr>
        <w:t xml:space="preserve"> XXV y XXXVIII </w:t>
      </w:r>
      <w:r w:rsidR="008F3957" w:rsidRPr="00FF6273">
        <w:rPr>
          <w:rFonts w:ascii="Arial" w:hAnsi="Arial" w:cs="Arial"/>
        </w:rPr>
        <w:t xml:space="preserve">del Estatuto Orgánico del Instituto Federal de Telecomunicaciones, el Pleno del Instituto resuelve emitir el siguiente: </w:t>
      </w:r>
    </w:p>
    <w:p w14:paraId="49334D7E" w14:textId="008F05FE" w:rsidR="00951BB9" w:rsidRPr="00FF6273" w:rsidRDefault="005608AF" w:rsidP="008E195A">
      <w:pPr>
        <w:spacing w:line="276" w:lineRule="auto"/>
        <w:jc w:val="center"/>
        <w:rPr>
          <w:rFonts w:ascii="Arial" w:hAnsi="Arial" w:cs="Arial"/>
          <w:b/>
        </w:rPr>
      </w:pPr>
      <w:r w:rsidRPr="00FF6273">
        <w:rPr>
          <w:rFonts w:ascii="Arial" w:hAnsi="Arial" w:cs="Arial"/>
          <w:b/>
        </w:rPr>
        <w:t>ACUERDO</w:t>
      </w:r>
    </w:p>
    <w:p w14:paraId="5030B151" w14:textId="3B5C3CD7" w:rsidR="001044A0" w:rsidRPr="00F85C74" w:rsidRDefault="00B52D0E" w:rsidP="00F4284D">
      <w:pPr>
        <w:pStyle w:val="Default"/>
        <w:spacing w:line="276" w:lineRule="auto"/>
        <w:jc w:val="both"/>
        <w:rPr>
          <w:b/>
          <w:sz w:val="22"/>
          <w:szCs w:val="22"/>
        </w:rPr>
      </w:pPr>
      <w:r>
        <w:rPr>
          <w:b/>
          <w:bCs/>
          <w:sz w:val="22"/>
          <w:szCs w:val="22"/>
        </w:rPr>
        <w:t>Único</w:t>
      </w:r>
      <w:r w:rsidR="001044A0" w:rsidRPr="00F85C74">
        <w:rPr>
          <w:b/>
          <w:bCs/>
          <w:sz w:val="22"/>
          <w:szCs w:val="22"/>
        </w:rPr>
        <w:t xml:space="preserve">. - </w:t>
      </w:r>
      <w:r w:rsidR="001044A0" w:rsidRPr="008F29AD">
        <w:rPr>
          <w:sz w:val="22"/>
          <w:szCs w:val="22"/>
        </w:rPr>
        <w:t xml:space="preserve">Se </w:t>
      </w:r>
      <w:r w:rsidR="00C42398" w:rsidRPr="008F29AD">
        <w:rPr>
          <w:sz w:val="22"/>
          <w:szCs w:val="22"/>
        </w:rPr>
        <w:t xml:space="preserve">aprueban y </w:t>
      </w:r>
      <w:r w:rsidR="001044A0" w:rsidRPr="008F29AD">
        <w:rPr>
          <w:sz w:val="22"/>
          <w:szCs w:val="22"/>
        </w:rPr>
        <w:t>emiten los “</w:t>
      </w:r>
      <w:r w:rsidR="00F85C74" w:rsidRPr="008F29AD">
        <w:rPr>
          <w:sz w:val="22"/>
          <w:szCs w:val="22"/>
        </w:rPr>
        <w:t>Lineamientos para la solicitud y sustanciación del procedimiento de resolución de desacuerdos de interconexión entre concesionarios de redes públicas de telecomunicaciones de conformidad con el procedimiento previsto en el artículo 129 de la Ley Federal de Telecomunicaciones y Radiodifusión, mediante el uso optativo de medios electrónicos a través de la Ventanilla Electrónica del Instituto Federal de Telecomunicaciones</w:t>
      </w:r>
      <w:r w:rsidR="001044A0" w:rsidRPr="008F29AD">
        <w:rPr>
          <w:bCs/>
          <w:sz w:val="22"/>
          <w:szCs w:val="22"/>
        </w:rPr>
        <w:t>”</w:t>
      </w:r>
      <w:r w:rsidR="002E2B7F">
        <w:rPr>
          <w:bCs/>
          <w:sz w:val="22"/>
          <w:szCs w:val="22"/>
        </w:rPr>
        <w:t>, para quedar como sigue:</w:t>
      </w:r>
    </w:p>
    <w:p w14:paraId="119F072E" w14:textId="1A503A7F" w:rsidR="00F85C74" w:rsidRPr="00F6406E" w:rsidRDefault="002E2B7F" w:rsidP="00F85C74">
      <w:pPr>
        <w:pStyle w:val="Default"/>
        <w:spacing w:line="276" w:lineRule="auto"/>
        <w:jc w:val="both"/>
        <w:rPr>
          <w:b/>
          <w:sz w:val="22"/>
          <w:szCs w:val="22"/>
        </w:rPr>
      </w:pPr>
      <w:r>
        <w:rPr>
          <w:b/>
          <w:sz w:val="22"/>
          <w:szCs w:val="22"/>
        </w:rPr>
        <w:lastRenderedPageBreak/>
        <w:t>“</w:t>
      </w:r>
      <w:r w:rsidR="00F85C74" w:rsidRPr="00F6406E">
        <w:rPr>
          <w:b/>
          <w:sz w:val="22"/>
          <w:szCs w:val="22"/>
        </w:rPr>
        <w:t xml:space="preserve">Lineamientos para la solicitud y sustanciación del procedimiento de resolución de desacuerdos de interconexión entre concesionarios </w:t>
      </w:r>
      <w:r w:rsidR="00CE68D5">
        <w:rPr>
          <w:b/>
          <w:sz w:val="22"/>
          <w:szCs w:val="22"/>
        </w:rPr>
        <w:t xml:space="preserve">que operen </w:t>
      </w:r>
      <w:r w:rsidR="00F85C74" w:rsidRPr="00F6406E">
        <w:rPr>
          <w:b/>
          <w:sz w:val="22"/>
          <w:szCs w:val="22"/>
        </w:rPr>
        <w:t xml:space="preserve">redes públicas de telecomunicaciones de conformidad con el procedimiento previsto en el artículo 129 de la </w:t>
      </w:r>
      <w:r w:rsidR="00F85C74">
        <w:rPr>
          <w:b/>
          <w:sz w:val="22"/>
          <w:szCs w:val="22"/>
        </w:rPr>
        <w:t>L</w:t>
      </w:r>
      <w:r w:rsidR="00F85C74" w:rsidRPr="00F6406E">
        <w:rPr>
          <w:b/>
          <w:sz w:val="22"/>
          <w:szCs w:val="22"/>
        </w:rPr>
        <w:t xml:space="preserve">ey </w:t>
      </w:r>
      <w:r w:rsidR="00F85C74">
        <w:rPr>
          <w:b/>
          <w:sz w:val="22"/>
          <w:szCs w:val="22"/>
        </w:rPr>
        <w:t>F</w:t>
      </w:r>
      <w:r w:rsidR="00F85C74" w:rsidRPr="00F6406E">
        <w:rPr>
          <w:b/>
          <w:sz w:val="22"/>
          <w:szCs w:val="22"/>
        </w:rPr>
        <w:t xml:space="preserve">ederal de </w:t>
      </w:r>
      <w:r w:rsidR="00F85C74">
        <w:rPr>
          <w:b/>
          <w:sz w:val="22"/>
          <w:szCs w:val="22"/>
        </w:rPr>
        <w:t>T</w:t>
      </w:r>
      <w:r w:rsidR="00F85C74" w:rsidRPr="00F6406E">
        <w:rPr>
          <w:b/>
          <w:sz w:val="22"/>
          <w:szCs w:val="22"/>
        </w:rPr>
        <w:t xml:space="preserve">elecomunicaciones y </w:t>
      </w:r>
      <w:r w:rsidR="00F85C74">
        <w:rPr>
          <w:b/>
          <w:sz w:val="22"/>
          <w:szCs w:val="22"/>
        </w:rPr>
        <w:t>R</w:t>
      </w:r>
      <w:r w:rsidR="00F85C74" w:rsidRPr="00F6406E">
        <w:rPr>
          <w:b/>
          <w:sz w:val="22"/>
          <w:szCs w:val="22"/>
        </w:rPr>
        <w:t xml:space="preserve">adiodifusión, mediante el uso optativo de medios electrónicos a través de la Ventanilla </w:t>
      </w:r>
      <w:r w:rsidR="00F85C74">
        <w:rPr>
          <w:b/>
          <w:sz w:val="22"/>
          <w:szCs w:val="22"/>
        </w:rPr>
        <w:t>E</w:t>
      </w:r>
      <w:r w:rsidR="00F85C74" w:rsidRPr="00F6406E">
        <w:rPr>
          <w:b/>
          <w:sz w:val="22"/>
          <w:szCs w:val="22"/>
        </w:rPr>
        <w:t xml:space="preserve">lectrónica del </w:t>
      </w:r>
      <w:r w:rsidR="00F85C74">
        <w:rPr>
          <w:b/>
          <w:sz w:val="22"/>
          <w:szCs w:val="22"/>
        </w:rPr>
        <w:t>I</w:t>
      </w:r>
      <w:r w:rsidR="00F85C74" w:rsidRPr="00F6406E">
        <w:rPr>
          <w:b/>
          <w:sz w:val="22"/>
          <w:szCs w:val="22"/>
        </w:rPr>
        <w:t xml:space="preserve">nstituto Federal de </w:t>
      </w:r>
      <w:r w:rsidR="00F85C74">
        <w:rPr>
          <w:b/>
          <w:sz w:val="22"/>
          <w:szCs w:val="22"/>
        </w:rPr>
        <w:t>T</w:t>
      </w:r>
      <w:r w:rsidR="00F85C74" w:rsidRPr="00F6406E">
        <w:rPr>
          <w:b/>
          <w:sz w:val="22"/>
          <w:szCs w:val="22"/>
        </w:rPr>
        <w:t>elecomunicaciones.</w:t>
      </w:r>
    </w:p>
    <w:p w14:paraId="1CE324B0" w14:textId="77777777" w:rsidR="00F85C74" w:rsidRPr="00F6406E" w:rsidRDefault="00F85C74" w:rsidP="00F85C74">
      <w:pPr>
        <w:pStyle w:val="Default"/>
        <w:spacing w:line="276" w:lineRule="auto"/>
        <w:jc w:val="center"/>
        <w:rPr>
          <w:b/>
          <w:bCs/>
          <w:sz w:val="22"/>
          <w:szCs w:val="22"/>
        </w:rPr>
      </w:pPr>
    </w:p>
    <w:p w14:paraId="51033786" w14:textId="77777777" w:rsidR="00F85C74" w:rsidRPr="00F6406E" w:rsidRDefault="00F85C74" w:rsidP="00F85C74">
      <w:pPr>
        <w:pStyle w:val="Default"/>
        <w:spacing w:line="276" w:lineRule="auto"/>
        <w:jc w:val="center"/>
        <w:rPr>
          <w:b/>
          <w:sz w:val="22"/>
          <w:szCs w:val="22"/>
        </w:rPr>
      </w:pPr>
      <w:r w:rsidRPr="00F6406E">
        <w:rPr>
          <w:b/>
          <w:sz w:val="22"/>
          <w:szCs w:val="22"/>
        </w:rPr>
        <w:t>Capítulo I</w:t>
      </w:r>
    </w:p>
    <w:p w14:paraId="0375E361" w14:textId="77777777" w:rsidR="00F85C74" w:rsidRPr="00F6406E" w:rsidRDefault="00F85C74" w:rsidP="00F85C74">
      <w:pPr>
        <w:pStyle w:val="Default"/>
        <w:spacing w:line="276" w:lineRule="auto"/>
        <w:jc w:val="center"/>
        <w:rPr>
          <w:b/>
          <w:sz w:val="22"/>
          <w:szCs w:val="22"/>
        </w:rPr>
      </w:pPr>
      <w:r w:rsidRPr="00F6406E">
        <w:rPr>
          <w:b/>
          <w:sz w:val="22"/>
          <w:szCs w:val="22"/>
        </w:rPr>
        <w:t>Disposiciones Generales</w:t>
      </w:r>
    </w:p>
    <w:p w14:paraId="5CA0AF97" w14:textId="77777777" w:rsidR="00F85C74" w:rsidRPr="00F6406E" w:rsidRDefault="00F85C74" w:rsidP="00F85C74">
      <w:pPr>
        <w:pStyle w:val="Default"/>
        <w:spacing w:line="276" w:lineRule="auto"/>
        <w:jc w:val="both"/>
        <w:rPr>
          <w:sz w:val="22"/>
          <w:szCs w:val="22"/>
        </w:rPr>
      </w:pPr>
    </w:p>
    <w:p w14:paraId="1B7D2C45" w14:textId="02AC56E1" w:rsidR="00F85C74" w:rsidRPr="00F6406E" w:rsidRDefault="00F85C74" w:rsidP="00F85C74">
      <w:pPr>
        <w:pStyle w:val="Default"/>
        <w:spacing w:line="276" w:lineRule="auto"/>
        <w:jc w:val="both"/>
        <w:rPr>
          <w:sz w:val="22"/>
          <w:szCs w:val="22"/>
        </w:rPr>
      </w:pPr>
      <w:r w:rsidRPr="00F6406E">
        <w:rPr>
          <w:b/>
          <w:bCs/>
          <w:color w:val="auto"/>
          <w:sz w:val="22"/>
          <w:szCs w:val="22"/>
        </w:rPr>
        <w:t xml:space="preserve">PRIMERO. - </w:t>
      </w:r>
      <w:r w:rsidRPr="00F6406E">
        <w:rPr>
          <w:bCs/>
          <w:color w:val="auto"/>
          <w:sz w:val="22"/>
          <w:szCs w:val="22"/>
        </w:rPr>
        <w:t xml:space="preserve">Los presentes Lineamientos tienen por objeto </w:t>
      </w:r>
      <w:r w:rsidRPr="00F6406E">
        <w:rPr>
          <w:sz w:val="22"/>
          <w:szCs w:val="22"/>
        </w:rPr>
        <w:t>establecer las disposiciones aplicables para el uso de Medios Electrónicos para la solicitud y sustanciación de los desacuerdos de interconexión a</w:t>
      </w:r>
      <w:r w:rsidRPr="00F6406E">
        <w:rPr>
          <w:bCs/>
          <w:sz w:val="22"/>
          <w:szCs w:val="22"/>
        </w:rPr>
        <w:t xml:space="preserve"> que se refiere el artículo 129 de la Ley Federal de Telecomunicaciones y Radiodifusión, a las que deberán sujetarse los concesionarios</w:t>
      </w:r>
      <w:r w:rsidR="00CE68D5">
        <w:rPr>
          <w:bCs/>
          <w:sz w:val="22"/>
          <w:szCs w:val="22"/>
        </w:rPr>
        <w:t xml:space="preserve"> que operen</w:t>
      </w:r>
      <w:r w:rsidRPr="00F6406E">
        <w:rPr>
          <w:bCs/>
          <w:sz w:val="22"/>
          <w:szCs w:val="22"/>
        </w:rPr>
        <w:t xml:space="preserve"> redes públicas de telecomunicaciones que </w:t>
      </w:r>
      <w:r w:rsidRPr="00F6406E">
        <w:rPr>
          <w:sz w:val="22"/>
          <w:szCs w:val="22"/>
        </w:rPr>
        <w:t xml:space="preserve">opten por la utilización de dichos medios conforme lo establecido en los Lineamientos de Ventanilla Electrónica. </w:t>
      </w:r>
    </w:p>
    <w:p w14:paraId="2C180293" w14:textId="77777777" w:rsidR="00F85C74" w:rsidRPr="00F6406E" w:rsidRDefault="00F85C74" w:rsidP="00F85C74">
      <w:pPr>
        <w:pStyle w:val="Default"/>
        <w:spacing w:line="276" w:lineRule="auto"/>
        <w:jc w:val="both"/>
        <w:rPr>
          <w:bCs/>
          <w:color w:val="auto"/>
          <w:sz w:val="22"/>
          <w:szCs w:val="22"/>
        </w:rPr>
      </w:pPr>
    </w:p>
    <w:p w14:paraId="30277B06" w14:textId="77777777" w:rsidR="00F85C74" w:rsidRPr="00F6406E" w:rsidRDefault="00F85C74" w:rsidP="00F85C74">
      <w:pPr>
        <w:pStyle w:val="Default"/>
        <w:tabs>
          <w:tab w:val="left" w:pos="5190"/>
        </w:tabs>
        <w:spacing w:line="276" w:lineRule="auto"/>
        <w:jc w:val="both"/>
        <w:rPr>
          <w:bCs/>
          <w:sz w:val="22"/>
          <w:szCs w:val="22"/>
        </w:rPr>
      </w:pPr>
      <w:r w:rsidRPr="00F6406E">
        <w:rPr>
          <w:b/>
          <w:bCs/>
          <w:sz w:val="22"/>
          <w:szCs w:val="22"/>
        </w:rPr>
        <w:t>SEGUNDO. -</w:t>
      </w:r>
      <w:r w:rsidRPr="00F6406E">
        <w:rPr>
          <w:bCs/>
          <w:sz w:val="22"/>
          <w:szCs w:val="22"/>
        </w:rPr>
        <w:t xml:space="preserve"> </w:t>
      </w:r>
      <w:r>
        <w:rPr>
          <w:bCs/>
          <w:sz w:val="22"/>
          <w:szCs w:val="22"/>
        </w:rPr>
        <w:t>P</w:t>
      </w:r>
      <w:r w:rsidRPr="00F6406E">
        <w:rPr>
          <w:bCs/>
          <w:sz w:val="22"/>
          <w:szCs w:val="22"/>
        </w:rPr>
        <w:t>ara efectos de los presentes Lineamientos</w:t>
      </w:r>
      <w:r>
        <w:rPr>
          <w:bCs/>
          <w:sz w:val="22"/>
          <w:szCs w:val="22"/>
        </w:rPr>
        <w:t>, además de las definiciones previstas en la Ley Federal de Telecomunicaciones y Radiodifusión y</w:t>
      </w:r>
      <w:r w:rsidRPr="00F6406E">
        <w:rPr>
          <w:bCs/>
          <w:sz w:val="22"/>
          <w:szCs w:val="22"/>
        </w:rPr>
        <w:t xml:space="preserve"> </w:t>
      </w:r>
      <w:r>
        <w:rPr>
          <w:bCs/>
          <w:sz w:val="22"/>
          <w:szCs w:val="22"/>
        </w:rPr>
        <w:t xml:space="preserve">en </w:t>
      </w:r>
      <w:r w:rsidRPr="00F6406E">
        <w:rPr>
          <w:bCs/>
          <w:sz w:val="22"/>
          <w:szCs w:val="22"/>
        </w:rPr>
        <w:t>las definiciones establecidas en los Lineamie</w:t>
      </w:r>
      <w:r>
        <w:rPr>
          <w:bCs/>
          <w:sz w:val="22"/>
          <w:szCs w:val="22"/>
        </w:rPr>
        <w:t>ntos de Ventanilla Electrónica serán aplicables las siguientes</w:t>
      </w:r>
      <w:r w:rsidRPr="00F6406E">
        <w:rPr>
          <w:bCs/>
          <w:sz w:val="22"/>
          <w:szCs w:val="22"/>
        </w:rPr>
        <w:t>:</w:t>
      </w:r>
    </w:p>
    <w:p w14:paraId="75A762CD" w14:textId="77777777" w:rsidR="00F85C74" w:rsidRPr="00F6406E" w:rsidRDefault="00F85C74" w:rsidP="00F85C74">
      <w:pPr>
        <w:pStyle w:val="texto0"/>
        <w:spacing w:after="0" w:line="240" w:lineRule="auto"/>
        <w:ind w:firstLine="0"/>
        <w:rPr>
          <w:color w:val="000000" w:themeColor="text1"/>
          <w:sz w:val="22"/>
          <w:szCs w:val="22"/>
        </w:rPr>
      </w:pPr>
    </w:p>
    <w:p w14:paraId="31865992" w14:textId="2DC9CB57"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 xml:space="preserve">Actuación Electrónica inicial: </w:t>
      </w:r>
      <w:r w:rsidRPr="00F6406E">
        <w:rPr>
          <w:color w:val="000000" w:themeColor="text1"/>
          <w:sz w:val="22"/>
          <w:szCs w:val="22"/>
        </w:rPr>
        <w:t>es la primer</w:t>
      </w:r>
      <w:r w:rsidR="005D7D3B">
        <w:rPr>
          <w:color w:val="000000" w:themeColor="text1"/>
          <w:sz w:val="22"/>
          <w:szCs w:val="22"/>
        </w:rPr>
        <w:t>a</w:t>
      </w:r>
      <w:r w:rsidRPr="00F6406E">
        <w:rPr>
          <w:color w:val="000000" w:themeColor="text1"/>
          <w:sz w:val="22"/>
          <w:szCs w:val="22"/>
        </w:rPr>
        <w:t xml:space="preserve"> Actuación Electrónica presentada por el </w:t>
      </w:r>
      <w:proofErr w:type="spellStart"/>
      <w:r w:rsidRPr="00F6406E">
        <w:rPr>
          <w:color w:val="000000" w:themeColor="text1"/>
          <w:sz w:val="22"/>
          <w:szCs w:val="22"/>
        </w:rPr>
        <w:t>Promovente</w:t>
      </w:r>
      <w:proofErr w:type="spellEnd"/>
      <w:r w:rsidRPr="00F6406E">
        <w:rPr>
          <w:color w:val="000000" w:themeColor="text1"/>
          <w:sz w:val="22"/>
          <w:szCs w:val="22"/>
        </w:rPr>
        <w:t xml:space="preserve"> por Medios Electrónicos</w:t>
      </w:r>
      <w:r w:rsidR="005D7D3B">
        <w:rPr>
          <w:color w:val="000000" w:themeColor="text1"/>
          <w:sz w:val="22"/>
          <w:szCs w:val="22"/>
        </w:rPr>
        <w:t>,</w:t>
      </w:r>
      <w:r w:rsidRPr="00F6406E">
        <w:rPr>
          <w:color w:val="000000" w:themeColor="text1"/>
          <w:sz w:val="22"/>
          <w:szCs w:val="22"/>
        </w:rPr>
        <w:t xml:space="preserve"> a través de la Ventanilla Electrónica, con la finalidad de presentar al Instituto la </w:t>
      </w:r>
      <w:r w:rsidR="00D03FFE">
        <w:rPr>
          <w:color w:val="000000" w:themeColor="text1"/>
          <w:sz w:val="22"/>
          <w:szCs w:val="22"/>
        </w:rPr>
        <w:t>s</w:t>
      </w:r>
      <w:r w:rsidRPr="00F6406E">
        <w:rPr>
          <w:color w:val="000000" w:themeColor="text1"/>
          <w:sz w:val="22"/>
          <w:szCs w:val="22"/>
        </w:rPr>
        <w:t xml:space="preserve">olicitud de </w:t>
      </w:r>
      <w:r w:rsidR="00D03FFE">
        <w:rPr>
          <w:color w:val="000000" w:themeColor="text1"/>
          <w:sz w:val="22"/>
          <w:szCs w:val="22"/>
        </w:rPr>
        <w:t>r</w:t>
      </w:r>
      <w:r w:rsidRPr="00F6406E">
        <w:rPr>
          <w:color w:val="000000" w:themeColor="text1"/>
          <w:sz w:val="22"/>
          <w:szCs w:val="22"/>
        </w:rPr>
        <w:t xml:space="preserve">esolución; </w:t>
      </w:r>
    </w:p>
    <w:p w14:paraId="0A26FCB3" w14:textId="77777777"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CFPC</w:t>
      </w:r>
      <w:r w:rsidRPr="00F6406E">
        <w:rPr>
          <w:color w:val="000000" w:themeColor="text1"/>
          <w:sz w:val="22"/>
          <w:szCs w:val="22"/>
        </w:rPr>
        <w:t>: Código Federal de Procedimientos Civiles;</w:t>
      </w:r>
    </w:p>
    <w:p w14:paraId="14B91D85" w14:textId="38C31E17"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 xml:space="preserve">Concesionario Solicitado: </w:t>
      </w:r>
      <w:r w:rsidRPr="00F6406E">
        <w:rPr>
          <w:color w:val="000000" w:themeColor="text1"/>
          <w:sz w:val="22"/>
          <w:szCs w:val="22"/>
        </w:rPr>
        <w:t>concesionario</w:t>
      </w:r>
      <w:r w:rsidR="00F7796B">
        <w:rPr>
          <w:color w:val="000000" w:themeColor="text1"/>
          <w:sz w:val="22"/>
          <w:szCs w:val="22"/>
        </w:rPr>
        <w:t xml:space="preserve"> </w:t>
      </w:r>
      <w:r w:rsidR="00CE68D5">
        <w:rPr>
          <w:color w:val="000000" w:themeColor="text1"/>
          <w:sz w:val="22"/>
          <w:szCs w:val="22"/>
        </w:rPr>
        <w:t xml:space="preserve">que opera </w:t>
      </w:r>
      <w:r w:rsidRPr="00F6406E">
        <w:rPr>
          <w:color w:val="000000" w:themeColor="text1"/>
          <w:sz w:val="22"/>
          <w:szCs w:val="22"/>
        </w:rPr>
        <w:t xml:space="preserve">red pública de telecomunicaciones que adquiere el carácter de contraparte en </w:t>
      </w:r>
      <w:r w:rsidR="000B3AF1">
        <w:rPr>
          <w:color w:val="000000" w:themeColor="text1"/>
          <w:sz w:val="22"/>
          <w:szCs w:val="22"/>
        </w:rPr>
        <w:t xml:space="preserve">el Procedimiento </w:t>
      </w:r>
      <w:r w:rsidRPr="00F6406E">
        <w:rPr>
          <w:color w:val="000000" w:themeColor="text1"/>
          <w:sz w:val="22"/>
          <w:szCs w:val="22"/>
        </w:rPr>
        <w:t xml:space="preserve">de Resolución; </w:t>
      </w:r>
    </w:p>
    <w:p w14:paraId="1CAE3D87" w14:textId="77777777"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Documento Adjunto</w:t>
      </w:r>
      <w:r w:rsidRPr="00F6406E">
        <w:rPr>
          <w:color w:val="000000" w:themeColor="text1"/>
          <w:sz w:val="22"/>
          <w:szCs w:val="22"/>
        </w:rPr>
        <w:t>: el documento firmado electrónicamente que se adjunta a las Actuaciones Electrónicas o Actos Administrativos Electrónicos</w:t>
      </w:r>
      <w:r w:rsidRPr="00F6406E" w:rsidDel="001B67ED">
        <w:rPr>
          <w:color w:val="000000" w:themeColor="text1"/>
          <w:sz w:val="22"/>
          <w:szCs w:val="22"/>
        </w:rPr>
        <w:t xml:space="preserve"> </w:t>
      </w:r>
      <w:r w:rsidRPr="00F6406E">
        <w:rPr>
          <w:color w:val="000000" w:themeColor="text1"/>
          <w:sz w:val="22"/>
          <w:szCs w:val="22"/>
        </w:rPr>
        <w:t xml:space="preserve">por parte del </w:t>
      </w:r>
      <w:proofErr w:type="spellStart"/>
      <w:r w:rsidRPr="00F6406E">
        <w:rPr>
          <w:color w:val="000000" w:themeColor="text1"/>
          <w:sz w:val="22"/>
          <w:szCs w:val="22"/>
        </w:rPr>
        <w:t>Promovente</w:t>
      </w:r>
      <w:proofErr w:type="spellEnd"/>
      <w:r w:rsidRPr="00F6406E">
        <w:rPr>
          <w:color w:val="000000" w:themeColor="text1"/>
          <w:sz w:val="22"/>
          <w:szCs w:val="22"/>
        </w:rPr>
        <w:t>, Concesionario Solicitado y/o el Instituto;</w:t>
      </w:r>
    </w:p>
    <w:p w14:paraId="637B1F16" w14:textId="5E07A0E0"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Expediente Electrónico:</w:t>
      </w:r>
      <w:r w:rsidRPr="00F6406E">
        <w:rPr>
          <w:color w:val="000000" w:themeColor="text1"/>
          <w:sz w:val="22"/>
          <w:szCs w:val="22"/>
        </w:rPr>
        <w:t xml:space="preserve"> unidad constituida por uno o varios archivos electrónicos de Documentos Digitalizados, Documentos Adjuntos y/o </w:t>
      </w:r>
      <w:r w:rsidRPr="00F6406E">
        <w:rPr>
          <w:sz w:val="22"/>
          <w:szCs w:val="22"/>
        </w:rPr>
        <w:t xml:space="preserve">Documentos Generados Electrónicamente </w:t>
      </w:r>
      <w:r w:rsidRPr="00F6406E">
        <w:rPr>
          <w:color w:val="000000" w:themeColor="text1"/>
          <w:sz w:val="22"/>
          <w:szCs w:val="22"/>
        </w:rPr>
        <w:t xml:space="preserve">relacionados con </w:t>
      </w:r>
      <w:r w:rsidR="000B3AF1">
        <w:rPr>
          <w:color w:val="000000" w:themeColor="text1"/>
          <w:sz w:val="22"/>
          <w:szCs w:val="22"/>
        </w:rPr>
        <w:t xml:space="preserve">el Procedimiento </w:t>
      </w:r>
      <w:r w:rsidRPr="00F6406E">
        <w:rPr>
          <w:color w:val="000000" w:themeColor="text1"/>
          <w:sz w:val="22"/>
          <w:szCs w:val="22"/>
        </w:rPr>
        <w:t>de Resolución;</w:t>
      </w:r>
    </w:p>
    <w:p w14:paraId="05646DEE" w14:textId="77777777"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Instituto:</w:t>
      </w:r>
      <w:r w:rsidRPr="00F6406E">
        <w:rPr>
          <w:color w:val="000000" w:themeColor="text1"/>
          <w:sz w:val="22"/>
          <w:szCs w:val="22"/>
        </w:rPr>
        <w:t xml:space="preserve"> Instituto Federal de Telecomunicaciones;</w:t>
      </w:r>
    </w:p>
    <w:p w14:paraId="78D9FC41" w14:textId="77777777"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LFPA:</w:t>
      </w:r>
      <w:r w:rsidRPr="00F6406E">
        <w:rPr>
          <w:color w:val="000000" w:themeColor="text1"/>
          <w:sz w:val="22"/>
          <w:szCs w:val="22"/>
        </w:rPr>
        <w:t xml:space="preserve"> Ley Federal de Procedimiento Administrativo;</w:t>
      </w:r>
    </w:p>
    <w:p w14:paraId="5DAF3DAD" w14:textId="77777777"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LFTR:</w:t>
      </w:r>
      <w:r w:rsidRPr="00F6406E">
        <w:rPr>
          <w:color w:val="000000" w:themeColor="text1"/>
          <w:sz w:val="22"/>
          <w:szCs w:val="22"/>
        </w:rPr>
        <w:t xml:space="preserve"> Ley Federal de Telecomunicaciones y Radiodifusión;</w:t>
      </w:r>
    </w:p>
    <w:p w14:paraId="26DDFDA0" w14:textId="1A111D68"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Lineamientos:</w:t>
      </w:r>
      <w:r w:rsidRPr="00F6406E">
        <w:rPr>
          <w:color w:val="000000" w:themeColor="text1"/>
          <w:sz w:val="22"/>
          <w:szCs w:val="22"/>
        </w:rPr>
        <w:t xml:space="preserve"> los presentes Lineamientos</w:t>
      </w:r>
      <w:r>
        <w:rPr>
          <w:color w:val="000000" w:themeColor="text1"/>
          <w:sz w:val="22"/>
          <w:szCs w:val="22"/>
        </w:rPr>
        <w:t xml:space="preserve"> </w:t>
      </w:r>
      <w:r w:rsidRPr="000362A3">
        <w:rPr>
          <w:color w:val="000000" w:themeColor="text1"/>
          <w:sz w:val="22"/>
          <w:szCs w:val="22"/>
        </w:rPr>
        <w:t>para la solicitud y sustanciación del procedimiento de resolución de desacuerdos de int</w:t>
      </w:r>
      <w:r w:rsidR="00F7796B">
        <w:rPr>
          <w:color w:val="000000" w:themeColor="text1"/>
          <w:sz w:val="22"/>
          <w:szCs w:val="22"/>
        </w:rPr>
        <w:t>erconexión entre concesionarios</w:t>
      </w:r>
      <w:r w:rsidRPr="000362A3">
        <w:rPr>
          <w:color w:val="000000" w:themeColor="text1"/>
          <w:sz w:val="22"/>
          <w:szCs w:val="22"/>
        </w:rPr>
        <w:t xml:space="preserve"> </w:t>
      </w:r>
      <w:r w:rsidR="00CE68D5">
        <w:rPr>
          <w:color w:val="000000" w:themeColor="text1"/>
          <w:sz w:val="22"/>
          <w:szCs w:val="22"/>
        </w:rPr>
        <w:t xml:space="preserve">que operen </w:t>
      </w:r>
      <w:r w:rsidRPr="000362A3">
        <w:rPr>
          <w:color w:val="000000" w:themeColor="text1"/>
          <w:sz w:val="22"/>
          <w:szCs w:val="22"/>
        </w:rPr>
        <w:t xml:space="preserve">redes públicas de telecomunicaciones a que se refiere el artículo 129 de la Ley Federal de Telecomunicaciones y </w:t>
      </w:r>
      <w:r w:rsidRPr="000362A3">
        <w:rPr>
          <w:color w:val="000000" w:themeColor="text1"/>
          <w:sz w:val="22"/>
          <w:szCs w:val="22"/>
        </w:rPr>
        <w:lastRenderedPageBreak/>
        <w:t>Radiodifusión, mediante el uso optativo de medios electrónicos a través de la Ventanilla Electrónica del Instituto Federal de Telecomunicaciones</w:t>
      </w:r>
      <w:r w:rsidRPr="00F6406E">
        <w:rPr>
          <w:color w:val="000000" w:themeColor="text1"/>
          <w:sz w:val="22"/>
          <w:szCs w:val="22"/>
        </w:rPr>
        <w:t>;</w:t>
      </w:r>
    </w:p>
    <w:p w14:paraId="2D57AC8E" w14:textId="77777777"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Lineamientos de Ventanilla Electrónica:</w:t>
      </w:r>
      <w:r w:rsidRPr="00F6406E">
        <w:t xml:space="preserve"> </w:t>
      </w:r>
      <w:r w:rsidRPr="00F6406E">
        <w:rPr>
          <w:color w:val="000000" w:themeColor="text1"/>
          <w:sz w:val="22"/>
          <w:szCs w:val="22"/>
        </w:rPr>
        <w:t>los Lineamientos para la sustanciación de los trámites y servicios que se realicen ante el Instituto Federal de Telecomunicaciones, a través de la Ventanilla Electrónica, publicados en el Diario Oficial de la Federación el 5 de noviembre de 2019</w:t>
      </w:r>
      <w:r>
        <w:rPr>
          <w:color w:val="000000" w:themeColor="text1"/>
          <w:sz w:val="22"/>
          <w:szCs w:val="22"/>
        </w:rPr>
        <w:t>, así como sus subsecuentes modificaciones</w:t>
      </w:r>
      <w:r w:rsidRPr="00F6406E">
        <w:rPr>
          <w:color w:val="000000" w:themeColor="text1"/>
          <w:sz w:val="22"/>
          <w:szCs w:val="22"/>
        </w:rPr>
        <w:t>;</w:t>
      </w:r>
    </w:p>
    <w:p w14:paraId="17839DBA" w14:textId="27D118E8"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 xml:space="preserve">Partes: </w:t>
      </w:r>
      <w:r w:rsidRPr="00F6406E">
        <w:rPr>
          <w:color w:val="000000" w:themeColor="text1"/>
          <w:sz w:val="22"/>
          <w:szCs w:val="22"/>
        </w:rPr>
        <w:t xml:space="preserve">el </w:t>
      </w:r>
      <w:proofErr w:type="spellStart"/>
      <w:r w:rsidRPr="00F6406E">
        <w:rPr>
          <w:color w:val="000000" w:themeColor="text1"/>
          <w:sz w:val="22"/>
          <w:szCs w:val="22"/>
        </w:rPr>
        <w:t>Promovente</w:t>
      </w:r>
      <w:proofErr w:type="spellEnd"/>
      <w:r w:rsidRPr="00F6406E">
        <w:rPr>
          <w:color w:val="000000" w:themeColor="text1"/>
          <w:sz w:val="22"/>
          <w:szCs w:val="22"/>
        </w:rPr>
        <w:t xml:space="preserve"> y el Concesionario Solicitado que forman parte de un</w:t>
      </w:r>
      <w:r w:rsidR="000B3AF1">
        <w:rPr>
          <w:color w:val="000000" w:themeColor="text1"/>
          <w:sz w:val="22"/>
          <w:szCs w:val="22"/>
        </w:rPr>
        <w:t xml:space="preserve"> Procedimiento </w:t>
      </w:r>
      <w:r w:rsidRPr="00F6406E">
        <w:rPr>
          <w:color w:val="000000" w:themeColor="text1"/>
          <w:sz w:val="22"/>
          <w:szCs w:val="22"/>
        </w:rPr>
        <w:t>de Resolución;</w:t>
      </w:r>
    </w:p>
    <w:p w14:paraId="2F46AFC1" w14:textId="0DABFFEE" w:rsidR="00F85C74" w:rsidRPr="00F6406E" w:rsidRDefault="00C80855" w:rsidP="00F85C74">
      <w:pPr>
        <w:pStyle w:val="ROMANOS"/>
        <w:numPr>
          <w:ilvl w:val="0"/>
          <w:numId w:val="5"/>
        </w:numPr>
        <w:tabs>
          <w:tab w:val="clear" w:pos="720"/>
        </w:tabs>
        <w:spacing w:after="0" w:line="276" w:lineRule="auto"/>
        <w:ind w:left="851" w:right="476" w:hanging="284"/>
        <w:rPr>
          <w:color w:val="000000" w:themeColor="text1"/>
          <w:sz w:val="22"/>
          <w:szCs w:val="22"/>
        </w:rPr>
      </w:pPr>
      <w:r>
        <w:rPr>
          <w:b/>
          <w:color w:val="000000" w:themeColor="text1"/>
          <w:sz w:val="22"/>
          <w:szCs w:val="22"/>
        </w:rPr>
        <w:t>Procedimiento</w:t>
      </w:r>
      <w:r w:rsidRPr="00F6406E">
        <w:rPr>
          <w:b/>
          <w:color w:val="000000" w:themeColor="text1"/>
          <w:sz w:val="22"/>
          <w:szCs w:val="22"/>
        </w:rPr>
        <w:t xml:space="preserve"> </w:t>
      </w:r>
      <w:r w:rsidR="00F85C74" w:rsidRPr="00F6406E">
        <w:rPr>
          <w:b/>
          <w:color w:val="000000" w:themeColor="text1"/>
          <w:sz w:val="22"/>
          <w:szCs w:val="22"/>
        </w:rPr>
        <w:t xml:space="preserve">de Resolución: </w:t>
      </w:r>
      <w:r w:rsidR="00BA1357" w:rsidRPr="000B3AF1">
        <w:rPr>
          <w:color w:val="000000" w:themeColor="text1"/>
          <w:sz w:val="22"/>
          <w:szCs w:val="22"/>
        </w:rPr>
        <w:t xml:space="preserve">es la sustanciación del procedimiento </w:t>
      </w:r>
      <w:r w:rsidR="00FC5F7B">
        <w:rPr>
          <w:color w:val="000000" w:themeColor="text1"/>
          <w:sz w:val="22"/>
          <w:szCs w:val="22"/>
        </w:rPr>
        <w:t>que inicia</w:t>
      </w:r>
      <w:r w:rsidR="00BA1357" w:rsidRPr="000B3AF1">
        <w:rPr>
          <w:color w:val="000000" w:themeColor="text1"/>
          <w:sz w:val="22"/>
          <w:szCs w:val="22"/>
        </w:rPr>
        <w:t xml:space="preserve"> con </w:t>
      </w:r>
      <w:r w:rsidR="00BA1357" w:rsidRPr="00AB38D2">
        <w:rPr>
          <w:color w:val="000000" w:themeColor="text1"/>
          <w:sz w:val="22"/>
          <w:szCs w:val="22"/>
        </w:rPr>
        <w:t xml:space="preserve">la solicitud realizada al Instituto por el (los) </w:t>
      </w:r>
      <w:proofErr w:type="spellStart"/>
      <w:r w:rsidR="00BA1357" w:rsidRPr="00AB38D2">
        <w:rPr>
          <w:color w:val="000000" w:themeColor="text1"/>
          <w:sz w:val="22"/>
          <w:szCs w:val="22"/>
        </w:rPr>
        <w:t>Promovente</w:t>
      </w:r>
      <w:proofErr w:type="spellEnd"/>
      <w:r w:rsidR="00BA1357" w:rsidRPr="00AB38D2">
        <w:rPr>
          <w:color w:val="000000" w:themeColor="text1"/>
          <w:sz w:val="22"/>
          <w:szCs w:val="22"/>
        </w:rPr>
        <w:t xml:space="preserve"> (s) </w:t>
      </w:r>
      <w:r w:rsidR="00BA1357" w:rsidRPr="000B3AF1">
        <w:rPr>
          <w:color w:val="000000" w:themeColor="text1"/>
          <w:sz w:val="22"/>
          <w:szCs w:val="22"/>
        </w:rPr>
        <w:t xml:space="preserve">para que el </w:t>
      </w:r>
      <w:r w:rsidR="00FC5F7B" w:rsidRPr="000B3AF1">
        <w:rPr>
          <w:color w:val="000000" w:themeColor="text1"/>
          <w:sz w:val="22"/>
          <w:szCs w:val="22"/>
        </w:rPr>
        <w:t>Instituto resuelva</w:t>
      </w:r>
      <w:r w:rsidR="00BA1357" w:rsidRPr="00AB38D2">
        <w:rPr>
          <w:color w:val="000000" w:themeColor="text1"/>
          <w:sz w:val="22"/>
          <w:szCs w:val="22"/>
        </w:rPr>
        <w:t xml:space="preserve"> sobre las condiciones que no haya podido convenir con el Concesionario Solicitado </w:t>
      </w:r>
      <w:r w:rsidR="00F85C74" w:rsidRPr="00AB38D2">
        <w:rPr>
          <w:color w:val="000000" w:themeColor="text1"/>
          <w:sz w:val="22"/>
          <w:szCs w:val="22"/>
        </w:rPr>
        <w:t>a través de Medios Electrónicos o Medios Tradicionales</w:t>
      </w:r>
      <w:r w:rsidR="00F27731" w:rsidRPr="000B3AF1">
        <w:rPr>
          <w:color w:val="000000" w:themeColor="text1"/>
          <w:sz w:val="22"/>
          <w:szCs w:val="22"/>
        </w:rPr>
        <w:t xml:space="preserve"> conforme al procedimiento</w:t>
      </w:r>
      <w:r w:rsidR="00F27731" w:rsidRPr="00F27731">
        <w:rPr>
          <w:color w:val="000000" w:themeColor="text1"/>
          <w:sz w:val="22"/>
          <w:szCs w:val="22"/>
        </w:rPr>
        <w:t xml:space="preserve"> previsto en el artículo 129 de la LFTR</w:t>
      </w:r>
      <w:r w:rsidR="00F85C74" w:rsidRPr="00F6406E">
        <w:rPr>
          <w:color w:val="000000" w:themeColor="text1"/>
          <w:sz w:val="22"/>
          <w:szCs w:val="22"/>
        </w:rPr>
        <w:t>;</w:t>
      </w:r>
    </w:p>
    <w:p w14:paraId="45D14805" w14:textId="2FD4311E" w:rsidR="00F85C74" w:rsidRPr="00F6406E" w:rsidRDefault="00F85C74" w:rsidP="00F85C74">
      <w:pPr>
        <w:pStyle w:val="ROMANOS"/>
        <w:numPr>
          <w:ilvl w:val="0"/>
          <w:numId w:val="5"/>
        </w:numPr>
        <w:tabs>
          <w:tab w:val="clear" w:pos="720"/>
        </w:tabs>
        <w:spacing w:after="0" w:line="276" w:lineRule="auto"/>
        <w:ind w:left="851" w:right="476" w:hanging="284"/>
        <w:rPr>
          <w:color w:val="000000" w:themeColor="text1"/>
          <w:sz w:val="22"/>
          <w:szCs w:val="22"/>
        </w:rPr>
      </w:pPr>
      <w:r w:rsidRPr="00F6406E">
        <w:rPr>
          <w:b/>
          <w:color w:val="000000" w:themeColor="text1"/>
          <w:sz w:val="22"/>
          <w:szCs w:val="22"/>
        </w:rPr>
        <w:t>Sustanciación Mixta:</w:t>
      </w:r>
      <w:r w:rsidRPr="00F6406E">
        <w:rPr>
          <w:color w:val="000000" w:themeColor="text1"/>
          <w:sz w:val="22"/>
          <w:szCs w:val="22"/>
        </w:rPr>
        <w:t xml:space="preserve"> son </w:t>
      </w:r>
      <w:r w:rsidR="00456A42">
        <w:rPr>
          <w:color w:val="000000" w:themeColor="text1"/>
          <w:sz w:val="22"/>
          <w:szCs w:val="22"/>
        </w:rPr>
        <w:t xml:space="preserve">los Procedimientos de Resolución </w:t>
      </w:r>
      <w:r w:rsidRPr="00F6406E">
        <w:rPr>
          <w:color w:val="000000" w:themeColor="text1"/>
          <w:sz w:val="22"/>
          <w:szCs w:val="22"/>
        </w:rPr>
        <w:t>en l</w:t>
      </w:r>
      <w:r w:rsidR="00456A42">
        <w:rPr>
          <w:color w:val="000000" w:themeColor="text1"/>
          <w:sz w:val="22"/>
          <w:szCs w:val="22"/>
        </w:rPr>
        <w:t>o</w:t>
      </w:r>
      <w:r w:rsidRPr="00F6406E">
        <w:rPr>
          <w:color w:val="000000" w:themeColor="text1"/>
          <w:sz w:val="22"/>
          <w:szCs w:val="22"/>
        </w:rPr>
        <w:t xml:space="preserve">s cuales el </w:t>
      </w:r>
      <w:proofErr w:type="spellStart"/>
      <w:r w:rsidRPr="00F6406E">
        <w:rPr>
          <w:color w:val="000000" w:themeColor="text1"/>
          <w:sz w:val="22"/>
          <w:szCs w:val="22"/>
        </w:rPr>
        <w:t>Promovente</w:t>
      </w:r>
      <w:proofErr w:type="spellEnd"/>
      <w:r w:rsidRPr="00F6406E">
        <w:rPr>
          <w:color w:val="000000" w:themeColor="text1"/>
          <w:sz w:val="22"/>
          <w:szCs w:val="22"/>
        </w:rPr>
        <w:t xml:space="preserve"> y el Concesionario Solicitado optaron por diferentes medios</w:t>
      </w:r>
      <w:r w:rsidR="00456A42">
        <w:rPr>
          <w:color w:val="000000" w:themeColor="text1"/>
          <w:sz w:val="22"/>
          <w:szCs w:val="22"/>
        </w:rPr>
        <w:t>;</w:t>
      </w:r>
      <w:r w:rsidRPr="00F6406E">
        <w:rPr>
          <w:color w:val="000000" w:themeColor="text1"/>
          <w:sz w:val="22"/>
          <w:szCs w:val="22"/>
        </w:rPr>
        <w:t xml:space="preserve"> </w:t>
      </w:r>
    </w:p>
    <w:p w14:paraId="08C4B78B" w14:textId="77777777" w:rsidR="00F85C74" w:rsidRPr="00F6406E" w:rsidRDefault="00F85C74" w:rsidP="00F85C74">
      <w:pPr>
        <w:pStyle w:val="ROMANOS"/>
        <w:spacing w:after="0" w:line="276" w:lineRule="auto"/>
        <w:ind w:left="851" w:right="476" w:firstLine="0"/>
        <w:rPr>
          <w:color w:val="000000" w:themeColor="text1"/>
          <w:sz w:val="22"/>
          <w:szCs w:val="22"/>
        </w:rPr>
      </w:pPr>
    </w:p>
    <w:p w14:paraId="7DC20D29" w14:textId="77777777" w:rsidR="00F85C74" w:rsidRPr="00F6406E" w:rsidRDefault="00F85C74" w:rsidP="00F85C74">
      <w:pPr>
        <w:pStyle w:val="Default"/>
        <w:spacing w:line="276" w:lineRule="auto"/>
        <w:jc w:val="both"/>
        <w:rPr>
          <w:color w:val="000000" w:themeColor="text1"/>
          <w:sz w:val="22"/>
          <w:szCs w:val="22"/>
        </w:rPr>
      </w:pPr>
      <w:r w:rsidRPr="00F6406E">
        <w:rPr>
          <w:color w:val="000000" w:themeColor="text1"/>
          <w:sz w:val="22"/>
          <w:szCs w:val="22"/>
        </w:rPr>
        <w:t>Las definiciones comprendidas en la presente disposición pueden ser utilizadas indistintamente en singular o plural.</w:t>
      </w:r>
    </w:p>
    <w:p w14:paraId="187FCA8B" w14:textId="77777777" w:rsidR="00F85C74" w:rsidRPr="00F6406E" w:rsidRDefault="00F85C74" w:rsidP="00F85C74">
      <w:pPr>
        <w:pStyle w:val="Default"/>
        <w:spacing w:line="276" w:lineRule="auto"/>
        <w:jc w:val="both"/>
        <w:rPr>
          <w:sz w:val="22"/>
          <w:szCs w:val="22"/>
        </w:rPr>
      </w:pPr>
    </w:p>
    <w:p w14:paraId="7989F8A8" w14:textId="7A6D12DA" w:rsidR="00F85C74" w:rsidRPr="00F6406E" w:rsidRDefault="00F85C74" w:rsidP="00F85C74">
      <w:pPr>
        <w:pStyle w:val="Default"/>
        <w:spacing w:line="276" w:lineRule="auto"/>
        <w:jc w:val="both"/>
        <w:rPr>
          <w:bCs/>
          <w:sz w:val="22"/>
          <w:szCs w:val="22"/>
        </w:rPr>
      </w:pPr>
      <w:r w:rsidRPr="00F6406E">
        <w:rPr>
          <w:b/>
          <w:bCs/>
          <w:sz w:val="22"/>
          <w:szCs w:val="22"/>
        </w:rPr>
        <w:t>TERCERO. –</w:t>
      </w:r>
      <w:r w:rsidRPr="00F6406E">
        <w:rPr>
          <w:bCs/>
          <w:sz w:val="22"/>
          <w:szCs w:val="22"/>
        </w:rPr>
        <w:t xml:space="preserve"> </w:t>
      </w:r>
      <w:r w:rsidR="00943166">
        <w:rPr>
          <w:bCs/>
          <w:sz w:val="22"/>
          <w:szCs w:val="22"/>
        </w:rPr>
        <w:t>El Procedimiento</w:t>
      </w:r>
      <w:r w:rsidRPr="00F6406E">
        <w:rPr>
          <w:bCs/>
          <w:sz w:val="22"/>
          <w:szCs w:val="22"/>
        </w:rPr>
        <w:t xml:space="preserve"> de Resolución incluyendo sus notificaciones por Medios Electrónicos, a través de la Ventanilla Electrónica del Instituto, se realizarán conforme al procedimiento establecido en el artículo 129 de la LFTR, la LFPA y el CFPC, cuya aplicación es de carácter supletorio de conformidad con las fracciones IV y VII del artículo 6 de la LFTR.</w:t>
      </w:r>
    </w:p>
    <w:p w14:paraId="3D152DC8" w14:textId="77777777" w:rsidR="00F85C74" w:rsidRPr="00F6406E" w:rsidRDefault="00F85C74" w:rsidP="00F85C74">
      <w:pPr>
        <w:pStyle w:val="Default"/>
        <w:spacing w:line="276" w:lineRule="auto"/>
        <w:jc w:val="both"/>
        <w:rPr>
          <w:bCs/>
          <w:sz w:val="22"/>
          <w:szCs w:val="22"/>
        </w:rPr>
      </w:pPr>
    </w:p>
    <w:p w14:paraId="708A2918" w14:textId="21F7FBCC" w:rsidR="00F85C74" w:rsidRPr="00F6406E" w:rsidRDefault="00F85C74" w:rsidP="00F85C74">
      <w:pPr>
        <w:pStyle w:val="Default"/>
        <w:spacing w:line="276" w:lineRule="auto"/>
        <w:jc w:val="both"/>
        <w:rPr>
          <w:bCs/>
          <w:sz w:val="22"/>
          <w:szCs w:val="22"/>
        </w:rPr>
      </w:pPr>
      <w:r w:rsidRPr="00F6406E">
        <w:rPr>
          <w:b/>
          <w:color w:val="auto"/>
          <w:sz w:val="22"/>
          <w:szCs w:val="22"/>
        </w:rPr>
        <w:t>CUARTO. –</w:t>
      </w:r>
      <w:r w:rsidRPr="00F6406E">
        <w:rPr>
          <w:color w:val="auto"/>
          <w:sz w:val="22"/>
          <w:szCs w:val="22"/>
        </w:rPr>
        <w:t xml:space="preserve"> Los concesionarios </w:t>
      </w:r>
      <w:r w:rsidR="00CE68D5">
        <w:rPr>
          <w:color w:val="auto"/>
          <w:sz w:val="22"/>
          <w:szCs w:val="22"/>
        </w:rPr>
        <w:t xml:space="preserve">que operen </w:t>
      </w:r>
      <w:r w:rsidRPr="00F6406E">
        <w:rPr>
          <w:color w:val="auto"/>
          <w:sz w:val="22"/>
          <w:szCs w:val="22"/>
        </w:rPr>
        <w:t xml:space="preserve">redes públicas de telecomunicaciones podrán presentar la </w:t>
      </w:r>
      <w:r w:rsidR="00943166">
        <w:rPr>
          <w:color w:val="auto"/>
          <w:sz w:val="22"/>
          <w:szCs w:val="22"/>
        </w:rPr>
        <w:t>Actuación Electrónica ini</w:t>
      </w:r>
      <w:r w:rsidR="00456A42">
        <w:rPr>
          <w:color w:val="auto"/>
          <w:sz w:val="22"/>
          <w:szCs w:val="22"/>
        </w:rPr>
        <w:t>ci</w:t>
      </w:r>
      <w:r w:rsidR="00943166">
        <w:rPr>
          <w:color w:val="auto"/>
          <w:sz w:val="22"/>
          <w:szCs w:val="22"/>
        </w:rPr>
        <w:t>al</w:t>
      </w:r>
      <w:r w:rsidRPr="00F6406E">
        <w:rPr>
          <w:color w:val="auto"/>
          <w:sz w:val="22"/>
          <w:szCs w:val="22"/>
        </w:rPr>
        <w:t xml:space="preserve">, </w:t>
      </w:r>
      <w:r w:rsidR="00456A42">
        <w:rPr>
          <w:color w:val="auto"/>
          <w:sz w:val="22"/>
          <w:szCs w:val="22"/>
        </w:rPr>
        <w:t xml:space="preserve">llevar </w:t>
      </w:r>
      <w:r w:rsidR="00DA68F2">
        <w:rPr>
          <w:color w:val="auto"/>
          <w:sz w:val="22"/>
          <w:szCs w:val="22"/>
        </w:rPr>
        <w:t>el Procedimiento de Resolución</w:t>
      </w:r>
      <w:r w:rsidRPr="00F6406E">
        <w:rPr>
          <w:color w:val="auto"/>
          <w:sz w:val="22"/>
          <w:szCs w:val="22"/>
        </w:rPr>
        <w:t xml:space="preserve"> y recibir las notificaciones correspondientes por Medios Electrónicos a través de la Ventanilla Electrónica, los</w:t>
      </w:r>
      <w:r w:rsidRPr="00F6406E">
        <w:rPr>
          <w:sz w:val="22"/>
          <w:szCs w:val="22"/>
        </w:rPr>
        <w:t xml:space="preserve"> cuales se realizarán por dichos medios </w:t>
      </w:r>
      <w:r>
        <w:rPr>
          <w:sz w:val="22"/>
          <w:szCs w:val="22"/>
        </w:rPr>
        <w:t>en</w:t>
      </w:r>
      <w:r w:rsidRPr="00F6406E">
        <w:rPr>
          <w:sz w:val="22"/>
          <w:szCs w:val="22"/>
        </w:rPr>
        <w:t xml:space="preserve"> relación </w:t>
      </w:r>
      <w:r>
        <w:rPr>
          <w:sz w:val="22"/>
          <w:szCs w:val="22"/>
        </w:rPr>
        <w:t>con e</w:t>
      </w:r>
      <w:r w:rsidRPr="00F6406E">
        <w:rPr>
          <w:sz w:val="22"/>
          <w:szCs w:val="22"/>
        </w:rPr>
        <w:t>l concesionario de red pública de telecomunicaciones que así lo haya elegido</w:t>
      </w:r>
      <w:r w:rsidRPr="00F6406E">
        <w:rPr>
          <w:bCs/>
          <w:sz w:val="22"/>
          <w:szCs w:val="22"/>
        </w:rPr>
        <w:t>.</w:t>
      </w:r>
    </w:p>
    <w:p w14:paraId="7F577CF2" w14:textId="77777777" w:rsidR="00F85C74" w:rsidRPr="00F6406E" w:rsidRDefault="00F85C74" w:rsidP="00F85C74">
      <w:pPr>
        <w:pStyle w:val="Default"/>
        <w:spacing w:line="276" w:lineRule="auto"/>
        <w:jc w:val="both"/>
        <w:rPr>
          <w:bCs/>
          <w:sz w:val="22"/>
          <w:szCs w:val="22"/>
        </w:rPr>
      </w:pPr>
    </w:p>
    <w:p w14:paraId="5A613A3C" w14:textId="0F78CBC0" w:rsidR="00F85C74" w:rsidRPr="00F6406E" w:rsidRDefault="00DA68F2" w:rsidP="00F85C74">
      <w:pPr>
        <w:pStyle w:val="Default"/>
        <w:spacing w:line="276" w:lineRule="auto"/>
        <w:jc w:val="both"/>
        <w:rPr>
          <w:sz w:val="22"/>
          <w:szCs w:val="22"/>
        </w:rPr>
      </w:pPr>
      <w:r>
        <w:rPr>
          <w:sz w:val="22"/>
          <w:szCs w:val="22"/>
        </w:rPr>
        <w:t>E</w:t>
      </w:r>
      <w:r w:rsidR="00943166">
        <w:rPr>
          <w:sz w:val="22"/>
          <w:szCs w:val="22"/>
        </w:rPr>
        <w:t xml:space="preserve">l Procedimiento de </w:t>
      </w:r>
      <w:r w:rsidR="00456A42">
        <w:rPr>
          <w:sz w:val="22"/>
          <w:szCs w:val="22"/>
        </w:rPr>
        <w:t>Resolución</w:t>
      </w:r>
      <w:r w:rsidR="00F85C74" w:rsidRPr="00F6406E">
        <w:rPr>
          <w:sz w:val="22"/>
          <w:szCs w:val="22"/>
        </w:rPr>
        <w:t xml:space="preserve">, incluyendo las notificaciones, se </w:t>
      </w:r>
      <w:r w:rsidR="000407A9">
        <w:rPr>
          <w:sz w:val="22"/>
          <w:szCs w:val="22"/>
        </w:rPr>
        <w:t>realizará</w:t>
      </w:r>
      <w:r w:rsidR="000407A9" w:rsidRPr="00F6406E">
        <w:rPr>
          <w:sz w:val="22"/>
          <w:szCs w:val="22"/>
        </w:rPr>
        <w:t xml:space="preserve"> </w:t>
      </w:r>
      <w:r w:rsidR="00F85C74" w:rsidRPr="00F6406E">
        <w:rPr>
          <w:sz w:val="22"/>
          <w:szCs w:val="22"/>
        </w:rPr>
        <w:t xml:space="preserve">desde su inicio hasta su conclusión, por el medio en el que originalmente se presentó. </w:t>
      </w:r>
    </w:p>
    <w:p w14:paraId="5F040668" w14:textId="77777777" w:rsidR="00F85C74" w:rsidRPr="00F6406E" w:rsidRDefault="00F85C74" w:rsidP="00F85C74">
      <w:pPr>
        <w:pStyle w:val="Default"/>
        <w:spacing w:line="276" w:lineRule="auto"/>
        <w:jc w:val="both"/>
        <w:rPr>
          <w:bCs/>
          <w:sz w:val="22"/>
          <w:szCs w:val="22"/>
        </w:rPr>
      </w:pPr>
    </w:p>
    <w:p w14:paraId="3876B23A" w14:textId="78810698" w:rsidR="00F85C74" w:rsidRPr="00F6406E" w:rsidRDefault="00F85C74" w:rsidP="00F85C74">
      <w:pPr>
        <w:pStyle w:val="Default"/>
        <w:spacing w:line="276" w:lineRule="auto"/>
        <w:jc w:val="both"/>
        <w:rPr>
          <w:sz w:val="22"/>
          <w:szCs w:val="22"/>
        </w:rPr>
      </w:pPr>
      <w:r w:rsidRPr="00F6406E">
        <w:rPr>
          <w:b/>
          <w:sz w:val="22"/>
          <w:szCs w:val="22"/>
        </w:rPr>
        <w:t>QUINTO. –</w:t>
      </w:r>
      <w:r w:rsidRPr="00F6406E">
        <w:rPr>
          <w:sz w:val="22"/>
          <w:szCs w:val="22"/>
        </w:rPr>
        <w:t xml:space="preserve"> El acceso a la Ventanilla Electrónica, la presentación de Actuaciones Electrónicas, la emisión de Actos Administrativos Electrónicos, el Expediente </w:t>
      </w:r>
      <w:r w:rsidR="00BA7876">
        <w:rPr>
          <w:sz w:val="22"/>
          <w:szCs w:val="22"/>
        </w:rPr>
        <w:t>Electrónico</w:t>
      </w:r>
      <w:r w:rsidRPr="00F6406E">
        <w:rPr>
          <w:sz w:val="22"/>
          <w:szCs w:val="22"/>
        </w:rPr>
        <w:t>, así como la seguridad de la información, se sujetarán a lo establecido en los Lineamientos de Ventanilla Electrónica.</w:t>
      </w:r>
    </w:p>
    <w:p w14:paraId="3CA02ADF" w14:textId="77777777" w:rsidR="00F85C74" w:rsidRPr="00F6406E" w:rsidRDefault="00F85C74" w:rsidP="00F85C74">
      <w:pPr>
        <w:pStyle w:val="Default"/>
        <w:spacing w:line="276" w:lineRule="auto"/>
        <w:jc w:val="both"/>
        <w:rPr>
          <w:sz w:val="22"/>
          <w:szCs w:val="22"/>
        </w:rPr>
      </w:pPr>
    </w:p>
    <w:p w14:paraId="679971A5" w14:textId="4C187ABF" w:rsidR="00F85C74" w:rsidRPr="00F6406E" w:rsidRDefault="00F85C74" w:rsidP="00F85C74">
      <w:pPr>
        <w:pStyle w:val="ROMANOS"/>
        <w:spacing w:after="0" w:line="276" w:lineRule="auto"/>
        <w:ind w:left="0" w:firstLine="0"/>
        <w:rPr>
          <w:rFonts w:eastAsiaTheme="minorHAnsi"/>
          <w:color w:val="000000"/>
          <w:sz w:val="22"/>
          <w:szCs w:val="22"/>
          <w:lang w:eastAsia="en-US"/>
        </w:rPr>
      </w:pPr>
      <w:r w:rsidRPr="00F6406E">
        <w:rPr>
          <w:rFonts w:eastAsiaTheme="minorHAnsi"/>
          <w:color w:val="000000"/>
          <w:sz w:val="22"/>
          <w:szCs w:val="22"/>
          <w:lang w:eastAsia="en-US"/>
        </w:rPr>
        <w:t>Para la utilización de la Firma Electrónica Avanzada</w:t>
      </w:r>
      <w:r w:rsidR="00456A42">
        <w:rPr>
          <w:rFonts w:eastAsiaTheme="minorHAnsi"/>
          <w:color w:val="000000"/>
          <w:sz w:val="22"/>
          <w:szCs w:val="22"/>
          <w:lang w:eastAsia="en-US"/>
        </w:rPr>
        <w:t>,</w:t>
      </w:r>
      <w:r w:rsidRPr="00F6406E">
        <w:rPr>
          <w:rFonts w:eastAsiaTheme="minorHAnsi"/>
          <w:color w:val="000000"/>
          <w:sz w:val="22"/>
          <w:szCs w:val="22"/>
          <w:lang w:eastAsia="en-US"/>
        </w:rPr>
        <w:t xml:space="preserve"> así como para recibir las notificaciones de los Actos Administrativos Electrónicos</w:t>
      </w:r>
      <w:r w:rsidR="00456A42">
        <w:rPr>
          <w:rFonts w:eastAsiaTheme="minorHAnsi"/>
          <w:color w:val="000000"/>
          <w:sz w:val="22"/>
          <w:szCs w:val="22"/>
          <w:lang w:eastAsia="en-US"/>
        </w:rPr>
        <w:t>,</w:t>
      </w:r>
      <w:r w:rsidRPr="00F6406E">
        <w:rPr>
          <w:rFonts w:eastAsiaTheme="minorHAnsi"/>
          <w:color w:val="000000"/>
          <w:sz w:val="22"/>
          <w:szCs w:val="22"/>
          <w:lang w:eastAsia="en-US"/>
        </w:rPr>
        <w:t xml:space="preserve"> </w:t>
      </w:r>
      <w:r>
        <w:rPr>
          <w:rFonts w:eastAsiaTheme="minorHAnsi"/>
          <w:color w:val="000000"/>
          <w:sz w:val="22"/>
          <w:szCs w:val="22"/>
          <w:lang w:eastAsia="en-US"/>
        </w:rPr>
        <w:t xml:space="preserve">se estará al </w:t>
      </w:r>
      <w:r w:rsidRPr="00F6406E">
        <w:rPr>
          <w:rFonts w:eastAsiaTheme="minorHAnsi"/>
          <w:color w:val="000000"/>
          <w:sz w:val="22"/>
          <w:szCs w:val="22"/>
          <w:lang w:eastAsia="en-US"/>
        </w:rPr>
        <w:t>consentimiento expreso</w:t>
      </w:r>
      <w:r>
        <w:rPr>
          <w:rFonts w:eastAsiaTheme="minorHAnsi"/>
          <w:color w:val="000000"/>
          <w:sz w:val="22"/>
          <w:szCs w:val="22"/>
          <w:lang w:eastAsia="en-US"/>
        </w:rPr>
        <w:t xml:space="preserve"> que los concesionarios </w:t>
      </w:r>
      <w:r w:rsidR="00CE68D5">
        <w:rPr>
          <w:rFonts w:eastAsiaTheme="minorHAnsi"/>
          <w:color w:val="000000"/>
          <w:sz w:val="22"/>
          <w:szCs w:val="22"/>
          <w:lang w:eastAsia="en-US"/>
        </w:rPr>
        <w:t xml:space="preserve">que operen </w:t>
      </w:r>
      <w:r>
        <w:rPr>
          <w:rFonts w:eastAsiaTheme="minorHAnsi"/>
          <w:color w:val="000000"/>
          <w:sz w:val="22"/>
          <w:szCs w:val="22"/>
          <w:lang w:eastAsia="en-US"/>
        </w:rPr>
        <w:t>redes públicas de telecomunicaciones otorgaron</w:t>
      </w:r>
      <w:r w:rsidRPr="00F6406E">
        <w:rPr>
          <w:rFonts w:eastAsiaTheme="minorHAnsi"/>
          <w:color w:val="000000"/>
          <w:sz w:val="22"/>
          <w:szCs w:val="22"/>
          <w:lang w:eastAsia="en-US"/>
        </w:rPr>
        <w:t xml:space="preserve"> de </w:t>
      </w:r>
      <w:r w:rsidRPr="00F6406E">
        <w:rPr>
          <w:rFonts w:eastAsiaTheme="minorHAnsi"/>
          <w:color w:val="000000"/>
          <w:sz w:val="22"/>
          <w:szCs w:val="22"/>
          <w:lang w:eastAsia="en-US"/>
        </w:rPr>
        <w:lastRenderedPageBreak/>
        <w:t xml:space="preserve">conformidad con lo establecido en los Lineamientos Décimo Quinto y Décimo Séptimo de los Lineamientos de Ventanilla Electrónica. </w:t>
      </w:r>
    </w:p>
    <w:p w14:paraId="04A9AF78" w14:textId="77777777" w:rsidR="00F85C74" w:rsidRPr="00F6406E" w:rsidRDefault="00F85C74" w:rsidP="00F85C74">
      <w:pPr>
        <w:pStyle w:val="Default"/>
        <w:spacing w:line="276" w:lineRule="auto"/>
        <w:jc w:val="center"/>
        <w:rPr>
          <w:b/>
          <w:sz w:val="22"/>
          <w:szCs w:val="22"/>
        </w:rPr>
      </w:pPr>
    </w:p>
    <w:p w14:paraId="7CBD50FA" w14:textId="77777777" w:rsidR="00F85C74" w:rsidRPr="00F6406E" w:rsidRDefault="00F85C74" w:rsidP="00F85C74">
      <w:pPr>
        <w:pStyle w:val="Default"/>
        <w:spacing w:line="276" w:lineRule="auto"/>
        <w:jc w:val="center"/>
        <w:rPr>
          <w:b/>
          <w:sz w:val="22"/>
          <w:szCs w:val="22"/>
        </w:rPr>
      </w:pPr>
      <w:r w:rsidRPr="00F6406E">
        <w:rPr>
          <w:b/>
          <w:sz w:val="22"/>
          <w:szCs w:val="22"/>
        </w:rPr>
        <w:t>Capítulo II</w:t>
      </w:r>
    </w:p>
    <w:p w14:paraId="05D8847B" w14:textId="77777777" w:rsidR="00F85C74" w:rsidRPr="00F6406E" w:rsidRDefault="00F85C74" w:rsidP="00F85C74">
      <w:pPr>
        <w:pStyle w:val="Default"/>
        <w:spacing w:line="276" w:lineRule="auto"/>
        <w:jc w:val="center"/>
        <w:rPr>
          <w:b/>
          <w:sz w:val="22"/>
          <w:szCs w:val="22"/>
        </w:rPr>
      </w:pPr>
      <w:r w:rsidRPr="00F6406E">
        <w:rPr>
          <w:b/>
          <w:sz w:val="22"/>
          <w:szCs w:val="22"/>
        </w:rPr>
        <w:t xml:space="preserve">De las Actuaciones Electrónicas </w:t>
      </w:r>
    </w:p>
    <w:p w14:paraId="5E5F0752" w14:textId="77777777" w:rsidR="00F85C74" w:rsidRPr="00F6406E" w:rsidRDefault="00F85C74" w:rsidP="00F85C74">
      <w:pPr>
        <w:pStyle w:val="Default"/>
        <w:spacing w:line="276" w:lineRule="auto"/>
        <w:jc w:val="both"/>
        <w:rPr>
          <w:sz w:val="22"/>
          <w:szCs w:val="22"/>
        </w:rPr>
      </w:pPr>
    </w:p>
    <w:p w14:paraId="7EA8CE2B" w14:textId="6851B792" w:rsidR="00F85C74" w:rsidRDefault="00F85C74" w:rsidP="00F85C74">
      <w:pPr>
        <w:pStyle w:val="Default"/>
        <w:spacing w:line="276" w:lineRule="auto"/>
        <w:jc w:val="both"/>
        <w:rPr>
          <w:sz w:val="22"/>
          <w:szCs w:val="22"/>
        </w:rPr>
      </w:pPr>
      <w:r w:rsidRPr="00F6406E">
        <w:rPr>
          <w:b/>
          <w:sz w:val="22"/>
          <w:szCs w:val="22"/>
        </w:rPr>
        <w:t xml:space="preserve">SEXTO. - </w:t>
      </w:r>
      <w:r w:rsidRPr="00F6406E">
        <w:rPr>
          <w:sz w:val="22"/>
          <w:szCs w:val="22"/>
        </w:rPr>
        <w:t>Las Actuaciones Electrónicas correspondientes al</w:t>
      </w:r>
      <w:r w:rsidR="00943166">
        <w:rPr>
          <w:sz w:val="22"/>
          <w:szCs w:val="22"/>
        </w:rPr>
        <w:t xml:space="preserve"> Procedimiento</w:t>
      </w:r>
      <w:r w:rsidRPr="00F6406E">
        <w:rPr>
          <w:sz w:val="22"/>
          <w:szCs w:val="22"/>
        </w:rPr>
        <w:t xml:space="preserve"> de </w:t>
      </w:r>
      <w:proofErr w:type="gramStart"/>
      <w:r w:rsidRPr="00F6406E">
        <w:rPr>
          <w:sz w:val="22"/>
          <w:szCs w:val="22"/>
        </w:rPr>
        <w:t>Resolución  presentadas</w:t>
      </w:r>
      <w:proofErr w:type="gramEnd"/>
      <w:r w:rsidRPr="00F6406E">
        <w:rPr>
          <w:sz w:val="22"/>
          <w:szCs w:val="22"/>
        </w:rPr>
        <w:t xml:space="preserve"> en días </w:t>
      </w:r>
      <w:r w:rsidR="001A645F">
        <w:rPr>
          <w:sz w:val="22"/>
          <w:szCs w:val="22"/>
        </w:rPr>
        <w:t>in</w:t>
      </w:r>
      <w:r w:rsidRPr="00F6406E">
        <w:rPr>
          <w:sz w:val="22"/>
          <w:szCs w:val="22"/>
        </w:rPr>
        <w:t>hábiles a través de la Ventanilla Electrónic</w:t>
      </w:r>
      <w:r w:rsidR="001A645F">
        <w:rPr>
          <w:sz w:val="22"/>
          <w:szCs w:val="22"/>
        </w:rPr>
        <w:t>a, se tendrán por presentadas al día hábil siguiente al de su presentación.</w:t>
      </w:r>
      <w:r w:rsidRPr="00F6406E">
        <w:rPr>
          <w:sz w:val="22"/>
          <w:szCs w:val="22"/>
        </w:rPr>
        <w:t xml:space="preserve"> </w:t>
      </w:r>
    </w:p>
    <w:p w14:paraId="2CFA51B7" w14:textId="77777777" w:rsidR="00F85C74" w:rsidRDefault="00F85C74" w:rsidP="00F85C74">
      <w:pPr>
        <w:pStyle w:val="Default"/>
        <w:spacing w:line="276" w:lineRule="auto"/>
        <w:jc w:val="both"/>
        <w:rPr>
          <w:sz w:val="22"/>
          <w:szCs w:val="22"/>
        </w:rPr>
      </w:pPr>
    </w:p>
    <w:p w14:paraId="1A1DAA55" w14:textId="21FC5337" w:rsidR="00F85C74" w:rsidRPr="00F6406E" w:rsidRDefault="00F85C74" w:rsidP="00F85C74">
      <w:pPr>
        <w:pStyle w:val="Default"/>
        <w:spacing w:line="276" w:lineRule="auto"/>
        <w:jc w:val="both"/>
        <w:rPr>
          <w:sz w:val="22"/>
          <w:szCs w:val="22"/>
        </w:rPr>
      </w:pPr>
      <w:r w:rsidRPr="00A15776">
        <w:rPr>
          <w:sz w:val="22"/>
          <w:szCs w:val="22"/>
        </w:rPr>
        <w:t xml:space="preserve">Tratándose de la </w:t>
      </w:r>
      <w:r w:rsidR="00456A42">
        <w:rPr>
          <w:sz w:val="22"/>
          <w:szCs w:val="22"/>
        </w:rPr>
        <w:t>A</w:t>
      </w:r>
      <w:r w:rsidRPr="00A15776">
        <w:rPr>
          <w:sz w:val="22"/>
          <w:szCs w:val="22"/>
        </w:rPr>
        <w:t>ctuación Electrónica inicial, podrá presentarse el día que corresponda, a fin de cumplir con lo establecido en el penúltimo párrafo del artículo 129 de la LFTR.</w:t>
      </w:r>
    </w:p>
    <w:p w14:paraId="7F1C31FA" w14:textId="77777777" w:rsidR="00F85C74" w:rsidRPr="00F6406E" w:rsidRDefault="00F85C74" w:rsidP="00F85C74">
      <w:pPr>
        <w:pStyle w:val="Default"/>
        <w:spacing w:line="276" w:lineRule="auto"/>
        <w:jc w:val="both"/>
        <w:rPr>
          <w:sz w:val="22"/>
          <w:szCs w:val="22"/>
        </w:rPr>
      </w:pPr>
    </w:p>
    <w:p w14:paraId="77B63F60" w14:textId="681127D0" w:rsidR="00F85C74" w:rsidRPr="00F6406E" w:rsidRDefault="00F85C74" w:rsidP="00F85C74">
      <w:pPr>
        <w:pStyle w:val="Default"/>
        <w:spacing w:line="276" w:lineRule="auto"/>
        <w:jc w:val="both"/>
        <w:rPr>
          <w:sz w:val="22"/>
          <w:szCs w:val="22"/>
        </w:rPr>
      </w:pPr>
      <w:r w:rsidRPr="00F6406E">
        <w:rPr>
          <w:sz w:val="22"/>
          <w:szCs w:val="22"/>
        </w:rPr>
        <w:t xml:space="preserve">Cualquier representante o apoderado legal del </w:t>
      </w:r>
      <w:proofErr w:type="spellStart"/>
      <w:r w:rsidRPr="00F6406E">
        <w:rPr>
          <w:sz w:val="22"/>
          <w:szCs w:val="22"/>
        </w:rPr>
        <w:t>Promovente</w:t>
      </w:r>
      <w:proofErr w:type="spellEnd"/>
      <w:r w:rsidRPr="00F6406E">
        <w:rPr>
          <w:sz w:val="22"/>
          <w:szCs w:val="22"/>
        </w:rPr>
        <w:t xml:space="preserve"> y/o del Concesionario Solicitado que cuente con acceso a la Ventanilla Electrónica podrá presentar las Actuaciones Electrónicas correspondientes a</w:t>
      </w:r>
      <w:r w:rsidR="00456A42">
        <w:rPr>
          <w:sz w:val="22"/>
          <w:szCs w:val="22"/>
        </w:rPr>
        <w:t>l Procedimiento de Resolución.</w:t>
      </w:r>
    </w:p>
    <w:p w14:paraId="25AA33F2" w14:textId="77777777" w:rsidR="00F85C74" w:rsidRPr="00F6406E" w:rsidRDefault="00F85C74" w:rsidP="00F85C74">
      <w:pPr>
        <w:pStyle w:val="Default"/>
        <w:spacing w:line="276" w:lineRule="auto"/>
        <w:jc w:val="both"/>
        <w:rPr>
          <w:sz w:val="20"/>
          <w:szCs w:val="20"/>
        </w:rPr>
      </w:pPr>
    </w:p>
    <w:p w14:paraId="0D979E50" w14:textId="0229579B" w:rsidR="00F85C74" w:rsidRPr="00F6406E" w:rsidRDefault="00F85C74" w:rsidP="00F85C74">
      <w:pPr>
        <w:pStyle w:val="Default"/>
        <w:spacing w:line="276" w:lineRule="auto"/>
        <w:jc w:val="both"/>
        <w:rPr>
          <w:sz w:val="22"/>
          <w:szCs w:val="22"/>
        </w:rPr>
      </w:pPr>
      <w:r w:rsidRPr="00F6406E">
        <w:rPr>
          <w:b/>
          <w:sz w:val="22"/>
          <w:szCs w:val="22"/>
        </w:rPr>
        <w:t>SÉPTIMO.</w:t>
      </w:r>
      <w:r w:rsidRPr="00F6406E">
        <w:rPr>
          <w:sz w:val="22"/>
          <w:szCs w:val="22"/>
        </w:rPr>
        <w:t xml:space="preserve"> - Las Actuaciones Electrónicas presentadas por el </w:t>
      </w:r>
      <w:proofErr w:type="spellStart"/>
      <w:r w:rsidRPr="00F6406E">
        <w:rPr>
          <w:sz w:val="22"/>
          <w:szCs w:val="22"/>
        </w:rPr>
        <w:t>Promovente</w:t>
      </w:r>
      <w:proofErr w:type="spellEnd"/>
      <w:r w:rsidRPr="00F6406E">
        <w:rPr>
          <w:sz w:val="22"/>
          <w:szCs w:val="22"/>
        </w:rPr>
        <w:t xml:space="preserve"> y/o el Concesionario Solicitado correspondientes a</w:t>
      </w:r>
      <w:r w:rsidR="00DA68F2">
        <w:rPr>
          <w:sz w:val="22"/>
          <w:szCs w:val="22"/>
        </w:rPr>
        <w:t xml:space="preserve">l </w:t>
      </w:r>
      <w:r w:rsidR="00943166">
        <w:rPr>
          <w:sz w:val="22"/>
          <w:szCs w:val="22"/>
        </w:rPr>
        <w:t>Procedimiento</w:t>
      </w:r>
      <w:r w:rsidR="00943166" w:rsidRPr="00F6406E">
        <w:rPr>
          <w:sz w:val="22"/>
          <w:szCs w:val="22"/>
        </w:rPr>
        <w:t xml:space="preserve"> </w:t>
      </w:r>
      <w:r w:rsidRPr="00F6406E">
        <w:rPr>
          <w:sz w:val="22"/>
          <w:szCs w:val="22"/>
        </w:rPr>
        <w:t>de Resolución se conformarán por los Documentos Generados Electrónicamente y/o los Documentos Adjuntos los cuales deben ser firmados con la Firma Electrónica Avanzada</w:t>
      </w:r>
      <w:r>
        <w:rPr>
          <w:sz w:val="22"/>
          <w:szCs w:val="22"/>
        </w:rPr>
        <w:t>.</w:t>
      </w:r>
    </w:p>
    <w:p w14:paraId="0CA11CE9" w14:textId="77777777" w:rsidR="00F85C74" w:rsidRPr="00F6406E" w:rsidRDefault="00F85C74" w:rsidP="00F85C74">
      <w:pPr>
        <w:pStyle w:val="Default"/>
        <w:spacing w:line="276" w:lineRule="auto"/>
        <w:jc w:val="both"/>
        <w:rPr>
          <w:sz w:val="22"/>
          <w:szCs w:val="22"/>
        </w:rPr>
      </w:pPr>
    </w:p>
    <w:p w14:paraId="1BDED2D1" w14:textId="77777777" w:rsidR="00F85C74" w:rsidRPr="00F6406E" w:rsidRDefault="00F85C74" w:rsidP="00F85C74">
      <w:pPr>
        <w:pStyle w:val="Default"/>
        <w:spacing w:line="276" w:lineRule="auto"/>
        <w:jc w:val="both"/>
        <w:rPr>
          <w:sz w:val="22"/>
          <w:szCs w:val="22"/>
        </w:rPr>
      </w:pPr>
      <w:r w:rsidRPr="00F6406E">
        <w:rPr>
          <w:sz w:val="22"/>
          <w:szCs w:val="22"/>
        </w:rPr>
        <w:t>Por cada Actuación Electrónica presentada se generará un Acuse de Recibo Electrónico.</w:t>
      </w:r>
    </w:p>
    <w:p w14:paraId="4E4A49EE" w14:textId="77777777" w:rsidR="00F85C74" w:rsidRPr="00F6406E" w:rsidRDefault="00F85C74" w:rsidP="00F85C74">
      <w:pPr>
        <w:pStyle w:val="Default"/>
        <w:spacing w:line="276" w:lineRule="auto"/>
        <w:jc w:val="both"/>
        <w:rPr>
          <w:sz w:val="22"/>
          <w:szCs w:val="22"/>
        </w:rPr>
      </w:pPr>
    </w:p>
    <w:p w14:paraId="13031D89" w14:textId="6E1BF86B" w:rsidR="00F85C74" w:rsidRPr="00F6406E" w:rsidRDefault="00F85C74" w:rsidP="00F85C74">
      <w:pPr>
        <w:pStyle w:val="Default"/>
        <w:spacing w:line="276" w:lineRule="auto"/>
        <w:jc w:val="both"/>
        <w:rPr>
          <w:sz w:val="22"/>
          <w:szCs w:val="22"/>
        </w:rPr>
      </w:pPr>
      <w:r w:rsidRPr="00F6406E">
        <w:rPr>
          <w:b/>
          <w:sz w:val="22"/>
          <w:szCs w:val="22"/>
        </w:rPr>
        <w:t>OCTAVO. –</w:t>
      </w:r>
      <w:r w:rsidRPr="00F6406E">
        <w:rPr>
          <w:sz w:val="22"/>
          <w:szCs w:val="22"/>
        </w:rPr>
        <w:t xml:space="preserve"> </w:t>
      </w:r>
      <w:r w:rsidR="00F67E6A">
        <w:rPr>
          <w:sz w:val="22"/>
          <w:szCs w:val="22"/>
        </w:rPr>
        <w:t>U</w:t>
      </w:r>
      <w:r w:rsidR="00F67E6A" w:rsidRPr="00F6406E">
        <w:rPr>
          <w:sz w:val="22"/>
          <w:szCs w:val="22"/>
        </w:rPr>
        <w:t xml:space="preserve">na vez presentada </w:t>
      </w:r>
      <w:r w:rsidRPr="00F6406E">
        <w:rPr>
          <w:sz w:val="22"/>
          <w:szCs w:val="22"/>
        </w:rPr>
        <w:t>la Actuación Electrónica inicial, se asignará un número de expediente al</w:t>
      </w:r>
      <w:r w:rsidR="00943166">
        <w:rPr>
          <w:sz w:val="22"/>
          <w:szCs w:val="22"/>
        </w:rPr>
        <w:t xml:space="preserve"> Procedimiento</w:t>
      </w:r>
      <w:r w:rsidRPr="00F6406E">
        <w:rPr>
          <w:sz w:val="22"/>
          <w:szCs w:val="22"/>
        </w:rPr>
        <w:t xml:space="preserve"> de Resolución y se generará el Acuse de Recibo Electrónico. </w:t>
      </w:r>
    </w:p>
    <w:p w14:paraId="7990BDB9" w14:textId="77777777" w:rsidR="00F85C74" w:rsidRPr="00F6406E" w:rsidRDefault="00F85C74" w:rsidP="00F85C74">
      <w:pPr>
        <w:pStyle w:val="Default"/>
        <w:spacing w:line="276" w:lineRule="auto"/>
        <w:jc w:val="both"/>
        <w:rPr>
          <w:sz w:val="22"/>
          <w:szCs w:val="22"/>
        </w:rPr>
      </w:pPr>
    </w:p>
    <w:p w14:paraId="40CB61CF" w14:textId="77777777" w:rsidR="00F85C74" w:rsidRPr="00F6406E" w:rsidRDefault="00F85C74" w:rsidP="00F85C74">
      <w:pPr>
        <w:pStyle w:val="Default"/>
        <w:spacing w:line="276" w:lineRule="auto"/>
        <w:jc w:val="center"/>
        <w:rPr>
          <w:b/>
          <w:sz w:val="22"/>
          <w:szCs w:val="22"/>
        </w:rPr>
      </w:pPr>
      <w:r w:rsidRPr="00F6406E">
        <w:rPr>
          <w:b/>
          <w:sz w:val="22"/>
          <w:szCs w:val="22"/>
        </w:rPr>
        <w:t>Capítulo III</w:t>
      </w:r>
    </w:p>
    <w:p w14:paraId="557428ED" w14:textId="77777777" w:rsidR="00F85C74" w:rsidRPr="00F6406E" w:rsidRDefault="00F85C74" w:rsidP="00F85C74">
      <w:pPr>
        <w:pStyle w:val="Default"/>
        <w:spacing w:line="276" w:lineRule="auto"/>
        <w:jc w:val="center"/>
        <w:rPr>
          <w:b/>
          <w:sz w:val="22"/>
          <w:szCs w:val="22"/>
        </w:rPr>
      </w:pPr>
      <w:r w:rsidRPr="00F6406E">
        <w:rPr>
          <w:b/>
          <w:sz w:val="22"/>
          <w:szCs w:val="22"/>
        </w:rPr>
        <w:t>De los Actos Administrativos Electrónicos</w:t>
      </w:r>
    </w:p>
    <w:p w14:paraId="6452E70F" w14:textId="77777777" w:rsidR="00F85C74" w:rsidRPr="00F6406E" w:rsidRDefault="00F85C74" w:rsidP="00F85C74">
      <w:pPr>
        <w:pStyle w:val="Default"/>
        <w:spacing w:line="276" w:lineRule="auto"/>
        <w:jc w:val="both"/>
        <w:rPr>
          <w:b/>
          <w:sz w:val="22"/>
          <w:szCs w:val="22"/>
        </w:rPr>
      </w:pPr>
    </w:p>
    <w:p w14:paraId="5B7717EB" w14:textId="15EAB410" w:rsidR="00F85C74" w:rsidRPr="00F6406E" w:rsidRDefault="00F85C74" w:rsidP="00F85C74">
      <w:pPr>
        <w:pStyle w:val="Default"/>
        <w:spacing w:line="276" w:lineRule="auto"/>
        <w:jc w:val="both"/>
        <w:rPr>
          <w:sz w:val="22"/>
          <w:szCs w:val="22"/>
        </w:rPr>
      </w:pPr>
      <w:r>
        <w:rPr>
          <w:b/>
          <w:sz w:val="22"/>
          <w:szCs w:val="22"/>
        </w:rPr>
        <w:t>NOVENO</w:t>
      </w:r>
      <w:r w:rsidRPr="00F6406E">
        <w:rPr>
          <w:b/>
          <w:sz w:val="22"/>
          <w:szCs w:val="22"/>
        </w:rPr>
        <w:t>.</w:t>
      </w:r>
      <w:r w:rsidRPr="00F6406E">
        <w:rPr>
          <w:sz w:val="22"/>
          <w:szCs w:val="22"/>
        </w:rPr>
        <w:t xml:space="preserve"> - Los Actos Administrativos Electrónicos correspondientes al </w:t>
      </w:r>
      <w:r w:rsidR="00943166">
        <w:rPr>
          <w:sz w:val="22"/>
          <w:szCs w:val="22"/>
        </w:rPr>
        <w:t>Procedimiento</w:t>
      </w:r>
      <w:r w:rsidR="00943166" w:rsidRPr="00F6406E">
        <w:rPr>
          <w:sz w:val="22"/>
          <w:szCs w:val="22"/>
        </w:rPr>
        <w:t xml:space="preserve"> </w:t>
      </w:r>
      <w:r w:rsidRPr="00F6406E">
        <w:rPr>
          <w:sz w:val="22"/>
          <w:szCs w:val="22"/>
        </w:rPr>
        <w:t>de Resolución deben ser firmados con la Firma Electrónica Avanzada del servidor público competente.</w:t>
      </w:r>
    </w:p>
    <w:p w14:paraId="02DD7AAD" w14:textId="77777777" w:rsidR="00F85C74" w:rsidRDefault="00F85C74" w:rsidP="00F85C74">
      <w:pPr>
        <w:pStyle w:val="Default"/>
        <w:spacing w:line="276" w:lineRule="auto"/>
        <w:jc w:val="both"/>
        <w:rPr>
          <w:sz w:val="22"/>
          <w:szCs w:val="22"/>
        </w:rPr>
      </w:pPr>
    </w:p>
    <w:p w14:paraId="05B7EC55" w14:textId="77777777" w:rsidR="00F85C74" w:rsidRPr="00F6406E" w:rsidRDefault="00F85C74" w:rsidP="00F85C74">
      <w:pPr>
        <w:pStyle w:val="Default"/>
        <w:spacing w:line="276" w:lineRule="auto"/>
        <w:jc w:val="both"/>
        <w:rPr>
          <w:sz w:val="22"/>
          <w:szCs w:val="22"/>
        </w:rPr>
      </w:pPr>
      <w:r w:rsidRPr="00F6406E">
        <w:rPr>
          <w:sz w:val="22"/>
          <w:szCs w:val="22"/>
        </w:rPr>
        <w:t xml:space="preserve">Por cada </w:t>
      </w:r>
      <w:r>
        <w:rPr>
          <w:sz w:val="22"/>
          <w:szCs w:val="22"/>
        </w:rPr>
        <w:t>Acto Administrativo Electrónico</w:t>
      </w:r>
      <w:r w:rsidRPr="00F6406E">
        <w:rPr>
          <w:sz w:val="22"/>
          <w:szCs w:val="22"/>
        </w:rPr>
        <w:t xml:space="preserve"> </w:t>
      </w:r>
      <w:r>
        <w:rPr>
          <w:sz w:val="22"/>
          <w:szCs w:val="22"/>
        </w:rPr>
        <w:t>depositado en el Tablero Electrónico</w:t>
      </w:r>
      <w:r w:rsidRPr="00F6406E">
        <w:rPr>
          <w:sz w:val="22"/>
          <w:szCs w:val="22"/>
        </w:rPr>
        <w:t xml:space="preserve"> se generará un Acuse de Recibo Electrónico.</w:t>
      </w:r>
    </w:p>
    <w:p w14:paraId="7BF2362B" w14:textId="77777777" w:rsidR="00F85C74" w:rsidRPr="00F6406E" w:rsidRDefault="00F85C74" w:rsidP="00F85C74">
      <w:pPr>
        <w:pStyle w:val="Default"/>
        <w:spacing w:line="276" w:lineRule="auto"/>
        <w:jc w:val="both"/>
        <w:rPr>
          <w:sz w:val="22"/>
          <w:szCs w:val="22"/>
        </w:rPr>
      </w:pPr>
    </w:p>
    <w:p w14:paraId="161516C9" w14:textId="77777777" w:rsidR="00F85C74" w:rsidRPr="00F6406E" w:rsidRDefault="00F85C74" w:rsidP="00F85C74">
      <w:pPr>
        <w:pStyle w:val="Default"/>
        <w:spacing w:line="276" w:lineRule="auto"/>
        <w:jc w:val="both"/>
        <w:rPr>
          <w:sz w:val="22"/>
          <w:szCs w:val="22"/>
        </w:rPr>
      </w:pPr>
      <w:r w:rsidRPr="00F6406E">
        <w:rPr>
          <w:b/>
          <w:sz w:val="22"/>
          <w:szCs w:val="22"/>
        </w:rPr>
        <w:t>DÉCIMO. –</w:t>
      </w:r>
      <w:r w:rsidRPr="00F6406E">
        <w:rPr>
          <w:sz w:val="22"/>
          <w:szCs w:val="22"/>
        </w:rPr>
        <w:t xml:space="preserve"> Cualquier representante o apoderado legal del </w:t>
      </w:r>
      <w:proofErr w:type="spellStart"/>
      <w:r w:rsidRPr="00F6406E">
        <w:rPr>
          <w:sz w:val="22"/>
          <w:szCs w:val="22"/>
        </w:rPr>
        <w:t>Promovente</w:t>
      </w:r>
      <w:proofErr w:type="spellEnd"/>
      <w:r w:rsidRPr="00F6406E">
        <w:rPr>
          <w:sz w:val="22"/>
          <w:szCs w:val="22"/>
        </w:rPr>
        <w:t xml:space="preserve"> y/o del Concesionario Solicitado que cuente con acceso a la Ventanilla Electrónica podrá atender o consultar los Actos Administrativos Electrónicos.</w:t>
      </w:r>
    </w:p>
    <w:p w14:paraId="4217DB6F" w14:textId="77777777" w:rsidR="00F85C74" w:rsidRPr="00F6406E" w:rsidRDefault="00F85C74" w:rsidP="00F85C74">
      <w:pPr>
        <w:pStyle w:val="Default"/>
        <w:spacing w:line="276" w:lineRule="auto"/>
        <w:jc w:val="both"/>
        <w:rPr>
          <w:sz w:val="22"/>
          <w:szCs w:val="22"/>
        </w:rPr>
      </w:pPr>
    </w:p>
    <w:p w14:paraId="284A16EE" w14:textId="77777777" w:rsidR="00F85C74" w:rsidRPr="00F6406E" w:rsidRDefault="00F85C74" w:rsidP="00F85C74">
      <w:pPr>
        <w:pStyle w:val="Default"/>
        <w:spacing w:line="276" w:lineRule="auto"/>
        <w:jc w:val="both"/>
        <w:rPr>
          <w:sz w:val="22"/>
          <w:szCs w:val="22"/>
        </w:rPr>
      </w:pPr>
      <w:r w:rsidRPr="00F6406E">
        <w:rPr>
          <w:b/>
          <w:sz w:val="22"/>
          <w:szCs w:val="22"/>
        </w:rPr>
        <w:t xml:space="preserve">DÉCIMO </w:t>
      </w:r>
      <w:r>
        <w:rPr>
          <w:b/>
          <w:sz w:val="22"/>
          <w:szCs w:val="22"/>
        </w:rPr>
        <w:t>PRIMERO</w:t>
      </w:r>
      <w:r w:rsidRPr="00F6406E">
        <w:rPr>
          <w:b/>
          <w:sz w:val="22"/>
          <w:szCs w:val="22"/>
        </w:rPr>
        <w:t>. -</w:t>
      </w:r>
      <w:r w:rsidRPr="00F6406E">
        <w:rPr>
          <w:sz w:val="22"/>
          <w:szCs w:val="22"/>
        </w:rPr>
        <w:t xml:space="preserve"> Las notificaciones de los Actos Administrativos Electrónicos surtirán efectos jurídicos el día en el que el Acto Administrativo Electrónico se encuentre disponible </w:t>
      </w:r>
      <w:r w:rsidRPr="00F6406E">
        <w:rPr>
          <w:sz w:val="22"/>
          <w:szCs w:val="22"/>
        </w:rPr>
        <w:lastRenderedPageBreak/>
        <w:t xml:space="preserve">en el Tablero Electrónico de la Ventanilla Electrónica para su atención o consulta, por lo que los plazos empezarán a correr a partir del día hábil siguiente. </w:t>
      </w:r>
    </w:p>
    <w:p w14:paraId="3D5E67A0" w14:textId="77777777" w:rsidR="00F85C74" w:rsidRPr="00F6406E" w:rsidRDefault="00F85C74" w:rsidP="00F85C74">
      <w:pPr>
        <w:pStyle w:val="Default"/>
        <w:spacing w:line="276" w:lineRule="auto"/>
        <w:jc w:val="both"/>
        <w:rPr>
          <w:sz w:val="22"/>
          <w:szCs w:val="22"/>
        </w:rPr>
      </w:pPr>
    </w:p>
    <w:p w14:paraId="69BA43AF" w14:textId="77777777" w:rsidR="00F85C74" w:rsidRPr="00F6406E" w:rsidRDefault="00F85C74" w:rsidP="00F85C74">
      <w:pPr>
        <w:pStyle w:val="Default"/>
        <w:spacing w:line="276" w:lineRule="auto"/>
        <w:jc w:val="center"/>
        <w:rPr>
          <w:b/>
          <w:sz w:val="22"/>
          <w:szCs w:val="22"/>
        </w:rPr>
      </w:pPr>
      <w:r w:rsidRPr="00F6406E">
        <w:rPr>
          <w:b/>
          <w:sz w:val="22"/>
          <w:szCs w:val="22"/>
        </w:rPr>
        <w:t>Capítulo IV</w:t>
      </w:r>
    </w:p>
    <w:p w14:paraId="29C37342" w14:textId="1C62F161" w:rsidR="00F85C74" w:rsidRPr="00F6406E" w:rsidRDefault="00F7796B" w:rsidP="00F85C74">
      <w:pPr>
        <w:pStyle w:val="Default"/>
        <w:spacing w:line="276" w:lineRule="auto"/>
        <w:jc w:val="center"/>
        <w:rPr>
          <w:b/>
          <w:sz w:val="22"/>
          <w:szCs w:val="22"/>
        </w:rPr>
      </w:pPr>
      <w:r>
        <w:rPr>
          <w:b/>
          <w:sz w:val="22"/>
          <w:szCs w:val="22"/>
        </w:rPr>
        <w:t>Del desahogo de las pruebas</w:t>
      </w:r>
    </w:p>
    <w:p w14:paraId="4A2966EB" w14:textId="77777777" w:rsidR="00F85C74" w:rsidRPr="00F6406E" w:rsidRDefault="00F85C74" w:rsidP="00F85C74">
      <w:pPr>
        <w:pStyle w:val="Default"/>
        <w:spacing w:line="276" w:lineRule="auto"/>
        <w:jc w:val="both"/>
        <w:rPr>
          <w:sz w:val="22"/>
          <w:szCs w:val="22"/>
        </w:rPr>
      </w:pPr>
    </w:p>
    <w:p w14:paraId="315E2B33" w14:textId="551BE7E2" w:rsidR="00F85C74" w:rsidRPr="00F6406E" w:rsidRDefault="00F85C74" w:rsidP="00F85C74">
      <w:pPr>
        <w:pStyle w:val="Default"/>
        <w:spacing w:line="276" w:lineRule="auto"/>
        <w:jc w:val="both"/>
        <w:rPr>
          <w:sz w:val="22"/>
          <w:szCs w:val="22"/>
        </w:rPr>
      </w:pPr>
      <w:r w:rsidRPr="00F6406E">
        <w:rPr>
          <w:b/>
          <w:sz w:val="22"/>
          <w:szCs w:val="22"/>
        </w:rPr>
        <w:t xml:space="preserve">DÉCIMO </w:t>
      </w:r>
      <w:r>
        <w:rPr>
          <w:b/>
          <w:sz w:val="22"/>
          <w:szCs w:val="22"/>
        </w:rPr>
        <w:t>SEGUNDO</w:t>
      </w:r>
      <w:r w:rsidRPr="00F6406E">
        <w:rPr>
          <w:b/>
          <w:sz w:val="22"/>
          <w:szCs w:val="22"/>
        </w:rPr>
        <w:t>. –</w:t>
      </w:r>
      <w:r w:rsidRPr="00F6406E">
        <w:rPr>
          <w:sz w:val="22"/>
          <w:szCs w:val="22"/>
        </w:rPr>
        <w:t xml:space="preserve"> Cuando una o ambas Partes hubieren ofrecido </w:t>
      </w:r>
      <w:r w:rsidR="008128CE">
        <w:rPr>
          <w:sz w:val="22"/>
          <w:szCs w:val="22"/>
        </w:rPr>
        <w:t xml:space="preserve">pruebas en las que deba generarse acta circunstanciada, </w:t>
      </w:r>
      <w:r w:rsidRPr="00F6406E">
        <w:rPr>
          <w:sz w:val="22"/>
          <w:szCs w:val="22"/>
        </w:rPr>
        <w:t>ésta</w:t>
      </w:r>
      <w:r w:rsidR="008128CE">
        <w:rPr>
          <w:sz w:val="22"/>
          <w:szCs w:val="22"/>
        </w:rPr>
        <w:t>s</w:t>
      </w:r>
      <w:r w:rsidRPr="00F6406E">
        <w:rPr>
          <w:sz w:val="22"/>
          <w:szCs w:val="22"/>
        </w:rPr>
        <w:t xml:space="preserve"> deberá</w:t>
      </w:r>
      <w:r w:rsidR="008128CE">
        <w:rPr>
          <w:sz w:val="22"/>
          <w:szCs w:val="22"/>
        </w:rPr>
        <w:t>n</w:t>
      </w:r>
      <w:r w:rsidRPr="00F6406E">
        <w:rPr>
          <w:sz w:val="22"/>
          <w:szCs w:val="22"/>
        </w:rPr>
        <w:t xml:space="preserve"> desahogarse de conformidad con lo establecido en el CFPC</w:t>
      </w:r>
      <w:r w:rsidR="008128CE">
        <w:rPr>
          <w:sz w:val="22"/>
          <w:szCs w:val="22"/>
        </w:rPr>
        <w:t>,</w:t>
      </w:r>
      <w:r w:rsidRPr="00F6406E">
        <w:rPr>
          <w:sz w:val="22"/>
          <w:szCs w:val="22"/>
        </w:rPr>
        <w:t xml:space="preserve"> por lo que, </w:t>
      </w:r>
      <w:r w:rsidR="008128CE">
        <w:rPr>
          <w:sz w:val="22"/>
          <w:szCs w:val="22"/>
        </w:rPr>
        <w:t xml:space="preserve">dicha </w:t>
      </w:r>
      <w:r w:rsidRPr="00F6406E">
        <w:rPr>
          <w:sz w:val="22"/>
          <w:szCs w:val="22"/>
        </w:rPr>
        <w:t xml:space="preserve">acta constará en Documento Original y contendrá la firma autógrafa de las personas y de los servidores públicos que intervinieron en la misma. </w:t>
      </w:r>
    </w:p>
    <w:p w14:paraId="04AC179A" w14:textId="77777777" w:rsidR="00F85C74" w:rsidRPr="00F6406E" w:rsidRDefault="00F85C74" w:rsidP="00F85C74">
      <w:pPr>
        <w:pStyle w:val="Default"/>
        <w:spacing w:line="276" w:lineRule="auto"/>
        <w:jc w:val="both"/>
        <w:rPr>
          <w:sz w:val="22"/>
          <w:szCs w:val="22"/>
        </w:rPr>
      </w:pPr>
    </w:p>
    <w:p w14:paraId="59121AC7" w14:textId="77777777" w:rsidR="00F85C74" w:rsidRPr="00F6406E" w:rsidRDefault="00F85C74" w:rsidP="00F85C74">
      <w:pPr>
        <w:pStyle w:val="Default"/>
        <w:spacing w:line="276" w:lineRule="auto"/>
        <w:jc w:val="both"/>
        <w:rPr>
          <w:sz w:val="22"/>
          <w:szCs w:val="22"/>
        </w:rPr>
      </w:pPr>
      <w:r w:rsidRPr="00F6406E">
        <w:rPr>
          <w:sz w:val="22"/>
          <w:szCs w:val="22"/>
        </w:rPr>
        <w:t xml:space="preserve">Dicha acta se digitalizará y se incluirá en el Expediente Electrónico correspondiente y se resguardará en </w:t>
      </w:r>
      <w:r>
        <w:rPr>
          <w:sz w:val="22"/>
          <w:szCs w:val="22"/>
        </w:rPr>
        <w:t>el expediente abierto por Medios Tradicionales</w:t>
      </w:r>
      <w:r w:rsidRPr="00F6406E">
        <w:rPr>
          <w:sz w:val="22"/>
          <w:szCs w:val="22"/>
        </w:rPr>
        <w:t xml:space="preserve">. </w:t>
      </w:r>
    </w:p>
    <w:p w14:paraId="269A2819" w14:textId="77777777" w:rsidR="00F85C74" w:rsidRPr="00F6406E" w:rsidRDefault="00F85C74" w:rsidP="00F85C74">
      <w:pPr>
        <w:pStyle w:val="Default"/>
        <w:spacing w:line="276" w:lineRule="auto"/>
        <w:jc w:val="both"/>
        <w:rPr>
          <w:sz w:val="22"/>
          <w:szCs w:val="22"/>
        </w:rPr>
      </w:pPr>
    </w:p>
    <w:p w14:paraId="03011ED4" w14:textId="2A9BAF9B" w:rsidR="00F85C74" w:rsidRPr="00F6406E" w:rsidRDefault="008128CE" w:rsidP="00F85C74">
      <w:pPr>
        <w:pStyle w:val="Default"/>
        <w:spacing w:line="276" w:lineRule="auto"/>
        <w:jc w:val="both"/>
        <w:rPr>
          <w:sz w:val="22"/>
          <w:szCs w:val="22"/>
        </w:rPr>
      </w:pPr>
      <w:r>
        <w:rPr>
          <w:sz w:val="22"/>
          <w:szCs w:val="22"/>
        </w:rPr>
        <w:t>En la prueba pericial, l</w:t>
      </w:r>
      <w:r w:rsidR="00F85C74" w:rsidRPr="00F6406E">
        <w:rPr>
          <w:sz w:val="22"/>
          <w:szCs w:val="22"/>
        </w:rPr>
        <w:t xml:space="preserve">os peritos designados por cada una de las Partes, deberán presentar su dictamen pericial por Medios Tradicionales, en la Oficialía de Partes Común. Dichos dictámenes periciales se integrarán al Expediente Electrónico correspondiente y/o al </w:t>
      </w:r>
      <w:r w:rsidR="00F85C74">
        <w:rPr>
          <w:sz w:val="22"/>
          <w:szCs w:val="22"/>
        </w:rPr>
        <w:t>expediente abierto por Medios Tradicionales</w:t>
      </w:r>
      <w:r w:rsidR="00F85C74" w:rsidRPr="00F6406E">
        <w:rPr>
          <w:sz w:val="22"/>
          <w:szCs w:val="22"/>
        </w:rPr>
        <w:t>.</w:t>
      </w:r>
    </w:p>
    <w:p w14:paraId="5D085307" w14:textId="77777777" w:rsidR="00F85C74" w:rsidRPr="00F6406E" w:rsidRDefault="00F85C74" w:rsidP="00F85C74">
      <w:pPr>
        <w:pStyle w:val="Default"/>
        <w:spacing w:line="276" w:lineRule="auto"/>
        <w:jc w:val="both"/>
        <w:rPr>
          <w:sz w:val="22"/>
          <w:szCs w:val="22"/>
        </w:rPr>
      </w:pPr>
    </w:p>
    <w:p w14:paraId="23660D3D" w14:textId="77777777" w:rsidR="00F85C74" w:rsidRPr="00F6406E" w:rsidRDefault="00F85C74" w:rsidP="00F85C74">
      <w:pPr>
        <w:pStyle w:val="Default"/>
        <w:spacing w:line="276" w:lineRule="auto"/>
        <w:jc w:val="center"/>
        <w:rPr>
          <w:b/>
          <w:sz w:val="22"/>
          <w:szCs w:val="22"/>
        </w:rPr>
      </w:pPr>
      <w:r w:rsidRPr="00F6406E">
        <w:rPr>
          <w:b/>
          <w:sz w:val="22"/>
          <w:szCs w:val="22"/>
        </w:rPr>
        <w:t>Capítulo V</w:t>
      </w:r>
    </w:p>
    <w:p w14:paraId="1D16918A" w14:textId="77777777" w:rsidR="00F85C74" w:rsidRPr="00F6406E" w:rsidRDefault="00F85C74" w:rsidP="00F85C74">
      <w:pPr>
        <w:pStyle w:val="Default"/>
        <w:spacing w:line="276" w:lineRule="auto"/>
        <w:jc w:val="center"/>
        <w:rPr>
          <w:b/>
          <w:sz w:val="22"/>
          <w:szCs w:val="22"/>
        </w:rPr>
      </w:pPr>
      <w:r w:rsidRPr="00F6406E">
        <w:rPr>
          <w:b/>
          <w:sz w:val="22"/>
          <w:szCs w:val="22"/>
        </w:rPr>
        <w:t xml:space="preserve">De la </w:t>
      </w:r>
      <w:r>
        <w:rPr>
          <w:b/>
          <w:sz w:val="22"/>
          <w:szCs w:val="22"/>
        </w:rPr>
        <w:t>S</w:t>
      </w:r>
      <w:r w:rsidRPr="00F6406E">
        <w:rPr>
          <w:b/>
          <w:sz w:val="22"/>
          <w:szCs w:val="22"/>
        </w:rPr>
        <w:t>ustanciación Mixta</w:t>
      </w:r>
    </w:p>
    <w:p w14:paraId="05DA0D57" w14:textId="77777777" w:rsidR="00F85C74" w:rsidRPr="00F6406E" w:rsidRDefault="00F85C74" w:rsidP="00F85C74">
      <w:pPr>
        <w:pStyle w:val="Default"/>
        <w:spacing w:line="276" w:lineRule="auto"/>
        <w:jc w:val="both"/>
        <w:rPr>
          <w:sz w:val="22"/>
          <w:szCs w:val="22"/>
        </w:rPr>
      </w:pPr>
    </w:p>
    <w:p w14:paraId="193E6A8C" w14:textId="76050B16" w:rsidR="00F85C74" w:rsidRDefault="00F85C74" w:rsidP="00F85C74">
      <w:pPr>
        <w:pStyle w:val="Default"/>
        <w:spacing w:line="276" w:lineRule="auto"/>
        <w:jc w:val="both"/>
        <w:rPr>
          <w:sz w:val="22"/>
          <w:szCs w:val="22"/>
        </w:rPr>
      </w:pPr>
      <w:r w:rsidRPr="00A15776">
        <w:rPr>
          <w:b/>
          <w:sz w:val="22"/>
          <w:szCs w:val="22"/>
        </w:rPr>
        <w:t xml:space="preserve">DÉCIMO TERCERO. – </w:t>
      </w:r>
      <w:r w:rsidRPr="00A15776">
        <w:rPr>
          <w:sz w:val="22"/>
          <w:szCs w:val="22"/>
        </w:rPr>
        <w:t>Cuando el Concesionario Solicitado no cuente con acceso a la Ventanilla Electrónica</w:t>
      </w:r>
      <w:r w:rsidR="00456A42">
        <w:rPr>
          <w:sz w:val="22"/>
          <w:szCs w:val="22"/>
        </w:rPr>
        <w:t>,</w:t>
      </w:r>
      <w:r w:rsidRPr="00A15776">
        <w:rPr>
          <w:sz w:val="22"/>
          <w:szCs w:val="22"/>
        </w:rPr>
        <w:t xml:space="preserve"> </w:t>
      </w:r>
      <w:r w:rsidR="00943166">
        <w:rPr>
          <w:sz w:val="22"/>
          <w:szCs w:val="22"/>
        </w:rPr>
        <w:t>el Procedimiento</w:t>
      </w:r>
      <w:r w:rsidRPr="00A15776">
        <w:rPr>
          <w:sz w:val="22"/>
          <w:szCs w:val="22"/>
        </w:rPr>
        <w:t xml:space="preserve"> de Resolución se </w:t>
      </w:r>
      <w:r w:rsidR="00DA0EEE">
        <w:rPr>
          <w:sz w:val="22"/>
          <w:szCs w:val="22"/>
        </w:rPr>
        <w:t>realizará</w:t>
      </w:r>
      <w:r w:rsidR="00DA0EEE" w:rsidRPr="00A15776">
        <w:rPr>
          <w:sz w:val="22"/>
          <w:szCs w:val="22"/>
        </w:rPr>
        <w:t xml:space="preserve"> </w:t>
      </w:r>
      <w:r w:rsidRPr="00A15776">
        <w:rPr>
          <w:sz w:val="22"/>
          <w:szCs w:val="22"/>
        </w:rPr>
        <w:t xml:space="preserve">con relación a </w:t>
      </w:r>
      <w:r w:rsidR="001A645F">
        <w:rPr>
          <w:sz w:val="22"/>
          <w:szCs w:val="22"/>
        </w:rPr>
        <w:t>é</w:t>
      </w:r>
      <w:r w:rsidRPr="00A15776">
        <w:rPr>
          <w:sz w:val="22"/>
          <w:szCs w:val="22"/>
        </w:rPr>
        <w:t>ste por Medios Tradicionales.</w:t>
      </w:r>
    </w:p>
    <w:p w14:paraId="0A8A2938" w14:textId="77777777" w:rsidR="00F85C74" w:rsidRPr="00F6406E" w:rsidRDefault="00F85C74" w:rsidP="00F85C74">
      <w:pPr>
        <w:pStyle w:val="Default"/>
        <w:spacing w:line="276" w:lineRule="auto"/>
        <w:jc w:val="both"/>
        <w:rPr>
          <w:sz w:val="22"/>
          <w:szCs w:val="22"/>
        </w:rPr>
      </w:pPr>
    </w:p>
    <w:p w14:paraId="715C1133" w14:textId="77777777" w:rsidR="00F85C74" w:rsidRPr="00F6406E" w:rsidRDefault="00F85C74" w:rsidP="00F85C74">
      <w:pPr>
        <w:pStyle w:val="Default"/>
        <w:spacing w:line="276" w:lineRule="auto"/>
        <w:jc w:val="both"/>
        <w:rPr>
          <w:b/>
          <w:bCs/>
          <w:sz w:val="22"/>
          <w:szCs w:val="22"/>
        </w:rPr>
      </w:pPr>
      <w:r w:rsidRPr="00F6406E">
        <w:rPr>
          <w:b/>
          <w:sz w:val="22"/>
          <w:szCs w:val="22"/>
        </w:rPr>
        <w:t xml:space="preserve">DÉCIMO </w:t>
      </w:r>
      <w:r>
        <w:rPr>
          <w:b/>
          <w:sz w:val="22"/>
          <w:szCs w:val="22"/>
        </w:rPr>
        <w:t>CUARTO</w:t>
      </w:r>
      <w:r w:rsidRPr="00F6406E">
        <w:rPr>
          <w:b/>
          <w:sz w:val="22"/>
          <w:szCs w:val="22"/>
        </w:rPr>
        <w:t xml:space="preserve">. - </w:t>
      </w:r>
      <w:r w:rsidRPr="00F6406E">
        <w:rPr>
          <w:sz w:val="22"/>
          <w:szCs w:val="22"/>
        </w:rPr>
        <w:t xml:space="preserve">El Expediente Electrónico </w:t>
      </w:r>
      <w:r>
        <w:rPr>
          <w:sz w:val="22"/>
          <w:szCs w:val="22"/>
        </w:rPr>
        <w:t>y las actuaciones y actos administrativos realizados por Medios Tradicionales podrán</w:t>
      </w:r>
      <w:r w:rsidRPr="00F6406E">
        <w:rPr>
          <w:sz w:val="22"/>
          <w:szCs w:val="22"/>
        </w:rPr>
        <w:t xml:space="preserve"> ser consultado</w:t>
      </w:r>
      <w:r>
        <w:rPr>
          <w:sz w:val="22"/>
          <w:szCs w:val="22"/>
        </w:rPr>
        <w:t xml:space="preserve"> (s)</w:t>
      </w:r>
      <w:r w:rsidRPr="00F6406E">
        <w:rPr>
          <w:sz w:val="22"/>
          <w:szCs w:val="22"/>
        </w:rPr>
        <w:t xml:space="preserve"> por </w:t>
      </w:r>
      <w:r w:rsidRPr="00F6406E" w:rsidDel="00584366">
        <w:rPr>
          <w:sz w:val="22"/>
          <w:szCs w:val="22"/>
        </w:rPr>
        <w:t>e</w:t>
      </w:r>
      <w:r w:rsidRPr="00F6406E">
        <w:rPr>
          <w:sz w:val="22"/>
          <w:szCs w:val="22"/>
        </w:rPr>
        <w:t xml:space="preserve">l (los) apoderado (s) o representante(s) legal (es) del </w:t>
      </w:r>
      <w:proofErr w:type="spellStart"/>
      <w:r w:rsidRPr="00F6406E">
        <w:rPr>
          <w:sz w:val="22"/>
          <w:szCs w:val="22"/>
        </w:rPr>
        <w:t>Promovente</w:t>
      </w:r>
      <w:proofErr w:type="spellEnd"/>
      <w:r w:rsidRPr="00F6406E">
        <w:rPr>
          <w:sz w:val="22"/>
          <w:szCs w:val="22"/>
        </w:rPr>
        <w:t xml:space="preserve"> y/o el Concesionario Solicitado. </w:t>
      </w:r>
    </w:p>
    <w:p w14:paraId="740CB2C8" w14:textId="77777777" w:rsidR="00F85C74" w:rsidRPr="00F6406E" w:rsidRDefault="00F85C74" w:rsidP="00F85C74">
      <w:pPr>
        <w:pStyle w:val="Default"/>
        <w:spacing w:line="276" w:lineRule="auto"/>
        <w:jc w:val="both"/>
        <w:rPr>
          <w:sz w:val="22"/>
          <w:szCs w:val="22"/>
        </w:rPr>
      </w:pPr>
    </w:p>
    <w:p w14:paraId="26339A2B" w14:textId="77777777" w:rsidR="00F85C74" w:rsidRPr="00F6406E" w:rsidRDefault="00F85C74" w:rsidP="00F85C74">
      <w:pPr>
        <w:pStyle w:val="Default"/>
        <w:spacing w:line="276" w:lineRule="auto"/>
        <w:jc w:val="both"/>
        <w:rPr>
          <w:bCs/>
          <w:sz w:val="22"/>
          <w:szCs w:val="22"/>
        </w:rPr>
      </w:pPr>
      <w:r>
        <w:rPr>
          <w:bCs/>
          <w:sz w:val="22"/>
          <w:szCs w:val="22"/>
        </w:rPr>
        <w:t>Dicha</w:t>
      </w:r>
      <w:r w:rsidRPr="00F6406E">
        <w:rPr>
          <w:bCs/>
          <w:sz w:val="22"/>
          <w:szCs w:val="22"/>
        </w:rPr>
        <w:t xml:space="preserve"> consulta se realizará en las instalaciones del Instituto, ubicadas en Insurgentes Sur 1143, Colonia Noche Buena, C.P. 03720, Demarcación Territorial Benito Juárez, en la Ciudad de México, en días y horas hábiles. </w:t>
      </w:r>
    </w:p>
    <w:p w14:paraId="24AE32AC" w14:textId="77777777" w:rsidR="00F85C74" w:rsidRPr="00F6406E" w:rsidRDefault="00F85C74" w:rsidP="00F85C74">
      <w:pPr>
        <w:pStyle w:val="Default"/>
        <w:tabs>
          <w:tab w:val="left" w:pos="2980"/>
        </w:tabs>
        <w:spacing w:line="276" w:lineRule="auto"/>
        <w:jc w:val="both"/>
        <w:rPr>
          <w:sz w:val="22"/>
          <w:szCs w:val="22"/>
        </w:rPr>
      </w:pPr>
      <w:r w:rsidRPr="00F6406E">
        <w:rPr>
          <w:sz w:val="22"/>
          <w:szCs w:val="22"/>
        </w:rPr>
        <w:tab/>
      </w:r>
    </w:p>
    <w:p w14:paraId="49DABC29" w14:textId="360B7D51" w:rsidR="00F85C74" w:rsidRPr="00F6406E" w:rsidRDefault="00F85C74" w:rsidP="00F85C74">
      <w:pPr>
        <w:pStyle w:val="Default"/>
        <w:spacing w:line="276" w:lineRule="auto"/>
        <w:jc w:val="both"/>
        <w:rPr>
          <w:sz w:val="22"/>
          <w:szCs w:val="22"/>
        </w:rPr>
      </w:pPr>
      <w:r>
        <w:rPr>
          <w:b/>
          <w:sz w:val="22"/>
          <w:szCs w:val="22"/>
        </w:rPr>
        <w:t>DÉCIMO QUINTO</w:t>
      </w:r>
      <w:r w:rsidRPr="00F6406E">
        <w:rPr>
          <w:b/>
          <w:sz w:val="22"/>
          <w:szCs w:val="22"/>
        </w:rPr>
        <w:t xml:space="preserve">. – </w:t>
      </w:r>
      <w:r w:rsidRPr="00F6406E">
        <w:rPr>
          <w:sz w:val="22"/>
          <w:szCs w:val="22"/>
        </w:rPr>
        <w:t>Cuando vari</w:t>
      </w:r>
      <w:r w:rsidR="00943166">
        <w:rPr>
          <w:sz w:val="22"/>
          <w:szCs w:val="22"/>
        </w:rPr>
        <w:t>o</w:t>
      </w:r>
      <w:r w:rsidRPr="00F6406E">
        <w:rPr>
          <w:sz w:val="22"/>
          <w:szCs w:val="22"/>
        </w:rPr>
        <w:t xml:space="preserve">s </w:t>
      </w:r>
      <w:r w:rsidR="00943166">
        <w:rPr>
          <w:sz w:val="22"/>
          <w:szCs w:val="22"/>
        </w:rPr>
        <w:t>Procedimientos</w:t>
      </w:r>
      <w:r>
        <w:rPr>
          <w:sz w:val="22"/>
          <w:szCs w:val="22"/>
        </w:rPr>
        <w:t xml:space="preserve"> de Resolución</w:t>
      </w:r>
      <w:r w:rsidRPr="00F6406E">
        <w:rPr>
          <w:sz w:val="22"/>
          <w:szCs w:val="22"/>
        </w:rPr>
        <w:t xml:space="preserve"> se </w:t>
      </w:r>
      <w:r w:rsidR="00304464">
        <w:rPr>
          <w:sz w:val="22"/>
          <w:szCs w:val="22"/>
        </w:rPr>
        <w:t xml:space="preserve">lleven </w:t>
      </w:r>
      <w:r w:rsidRPr="00F6406E">
        <w:rPr>
          <w:sz w:val="22"/>
          <w:szCs w:val="22"/>
        </w:rPr>
        <w:t>por uno o ambos medios, esto es</w:t>
      </w:r>
      <w:r w:rsidR="00304464">
        <w:rPr>
          <w:sz w:val="22"/>
          <w:szCs w:val="22"/>
        </w:rPr>
        <w:t>,</w:t>
      </w:r>
      <w:r w:rsidRPr="00F6406E">
        <w:rPr>
          <w:sz w:val="22"/>
          <w:szCs w:val="22"/>
        </w:rPr>
        <w:t xml:space="preserve"> a través de Medios Electrónicos y Medios Tradicionales y</w:t>
      </w:r>
      <w:r w:rsidR="00304464">
        <w:rPr>
          <w:sz w:val="22"/>
          <w:szCs w:val="22"/>
        </w:rPr>
        <w:t>,</w:t>
      </w:r>
      <w:r w:rsidRPr="00F6406E">
        <w:rPr>
          <w:sz w:val="22"/>
          <w:szCs w:val="22"/>
        </w:rPr>
        <w:t xml:space="preserve"> resulte procedente que se decidan en una sola resolución, se acordará su acumulación, de conformidad con las disposiciones jurídicas aplicables.</w:t>
      </w:r>
      <w:r w:rsidR="002E2B7F">
        <w:rPr>
          <w:sz w:val="22"/>
          <w:szCs w:val="22"/>
        </w:rPr>
        <w:t>”</w:t>
      </w:r>
      <w:r w:rsidRPr="00F6406E">
        <w:rPr>
          <w:sz w:val="22"/>
          <w:szCs w:val="22"/>
        </w:rPr>
        <w:t xml:space="preserve"> </w:t>
      </w:r>
    </w:p>
    <w:p w14:paraId="67715C44" w14:textId="77777777" w:rsidR="00F85C74" w:rsidRPr="00F6406E" w:rsidRDefault="00F85C74" w:rsidP="00F85C74">
      <w:pPr>
        <w:pStyle w:val="Default"/>
        <w:spacing w:line="276" w:lineRule="auto"/>
        <w:jc w:val="both"/>
        <w:rPr>
          <w:sz w:val="22"/>
          <w:szCs w:val="22"/>
        </w:rPr>
      </w:pPr>
    </w:p>
    <w:p w14:paraId="02ED81B6" w14:textId="77777777" w:rsidR="00F85C74" w:rsidRPr="00F6406E" w:rsidRDefault="00F85C74" w:rsidP="00F85C74">
      <w:pPr>
        <w:pStyle w:val="Default"/>
        <w:spacing w:line="276" w:lineRule="auto"/>
        <w:jc w:val="both"/>
        <w:rPr>
          <w:sz w:val="22"/>
          <w:szCs w:val="22"/>
        </w:rPr>
      </w:pPr>
    </w:p>
    <w:p w14:paraId="6C95D0E5" w14:textId="77777777" w:rsidR="00F85C74" w:rsidRPr="00F6406E" w:rsidRDefault="00F85C74" w:rsidP="00F85C74">
      <w:pPr>
        <w:spacing w:after="0" w:line="276" w:lineRule="auto"/>
        <w:jc w:val="center"/>
        <w:rPr>
          <w:rFonts w:ascii="Arial" w:hAnsi="Arial" w:cs="Arial"/>
          <w:b/>
        </w:rPr>
      </w:pPr>
      <w:r w:rsidRPr="00F6406E">
        <w:rPr>
          <w:rFonts w:ascii="Arial" w:hAnsi="Arial" w:cs="Arial"/>
          <w:b/>
        </w:rPr>
        <w:t>TRANSITORIOS</w:t>
      </w:r>
    </w:p>
    <w:p w14:paraId="4A7BE0B9" w14:textId="77777777" w:rsidR="00F85C74" w:rsidRPr="00F6406E" w:rsidRDefault="00F85C74" w:rsidP="00F85C74">
      <w:pPr>
        <w:spacing w:after="0" w:line="276" w:lineRule="auto"/>
        <w:jc w:val="both"/>
        <w:rPr>
          <w:rFonts w:ascii="Arial" w:hAnsi="Arial" w:cs="Arial"/>
        </w:rPr>
      </w:pPr>
    </w:p>
    <w:p w14:paraId="59A99350" w14:textId="0D5DD0F4" w:rsidR="002E2B7F" w:rsidRDefault="00466735" w:rsidP="00F85C74">
      <w:pPr>
        <w:pStyle w:val="Default"/>
        <w:spacing w:line="276" w:lineRule="auto"/>
        <w:jc w:val="both"/>
        <w:rPr>
          <w:bCs/>
          <w:sz w:val="22"/>
          <w:szCs w:val="22"/>
        </w:rPr>
      </w:pPr>
      <w:r w:rsidRPr="00046DAD">
        <w:rPr>
          <w:b/>
          <w:sz w:val="22"/>
          <w:szCs w:val="22"/>
        </w:rPr>
        <w:lastRenderedPageBreak/>
        <w:t>PRIMERO.</w:t>
      </w:r>
      <w:r>
        <w:rPr>
          <w:b/>
          <w:sz w:val="22"/>
          <w:szCs w:val="22"/>
        </w:rPr>
        <w:t xml:space="preserve"> -</w:t>
      </w:r>
      <w:r w:rsidR="00F85C74" w:rsidRPr="00046DAD">
        <w:rPr>
          <w:b/>
          <w:sz w:val="22"/>
          <w:szCs w:val="22"/>
        </w:rPr>
        <w:t xml:space="preserve"> </w:t>
      </w:r>
      <w:r w:rsidR="002E2B7F" w:rsidRPr="002E2B7F">
        <w:rPr>
          <w:bCs/>
          <w:sz w:val="22"/>
          <w:szCs w:val="22"/>
        </w:rPr>
        <w:t>Publíquese el presente Acuerdo en el Diario Oficial de la Federación, de conformidad con lo dispuesto en el artículo 46 de la Ley Federal de Telecomunicaciones y Radiodifusión</w:t>
      </w:r>
      <w:r w:rsidR="003B4637">
        <w:rPr>
          <w:bCs/>
          <w:sz w:val="22"/>
          <w:szCs w:val="22"/>
        </w:rPr>
        <w:t>.</w:t>
      </w:r>
    </w:p>
    <w:p w14:paraId="69930258" w14:textId="77777777" w:rsidR="002E2B7F" w:rsidRDefault="002E2B7F" w:rsidP="00F85C74">
      <w:pPr>
        <w:pStyle w:val="Default"/>
        <w:spacing w:line="276" w:lineRule="auto"/>
        <w:jc w:val="both"/>
        <w:rPr>
          <w:bCs/>
          <w:sz w:val="22"/>
          <w:szCs w:val="22"/>
        </w:rPr>
      </w:pPr>
    </w:p>
    <w:p w14:paraId="0D68E99C" w14:textId="028F2985" w:rsidR="00F85C74" w:rsidRDefault="00466735" w:rsidP="00F85C74">
      <w:pPr>
        <w:pStyle w:val="Default"/>
        <w:spacing w:line="276" w:lineRule="auto"/>
        <w:jc w:val="both"/>
        <w:rPr>
          <w:sz w:val="22"/>
          <w:szCs w:val="22"/>
        </w:rPr>
      </w:pPr>
      <w:r w:rsidRPr="002E2B7F">
        <w:rPr>
          <w:b/>
          <w:sz w:val="22"/>
          <w:szCs w:val="22"/>
        </w:rPr>
        <w:t>SEGUNDO. -</w:t>
      </w:r>
      <w:r w:rsidR="002E2B7F">
        <w:rPr>
          <w:bCs/>
          <w:sz w:val="22"/>
          <w:szCs w:val="22"/>
        </w:rPr>
        <w:t xml:space="preserve"> </w:t>
      </w:r>
      <w:r w:rsidR="003B4637">
        <w:rPr>
          <w:bCs/>
          <w:sz w:val="22"/>
          <w:szCs w:val="22"/>
        </w:rPr>
        <w:t>El</w:t>
      </w:r>
      <w:r w:rsidR="00F85C74" w:rsidRPr="00046DAD">
        <w:rPr>
          <w:sz w:val="22"/>
          <w:szCs w:val="22"/>
        </w:rPr>
        <w:t xml:space="preserve"> presente </w:t>
      </w:r>
      <w:r w:rsidR="003B4637">
        <w:rPr>
          <w:sz w:val="22"/>
          <w:szCs w:val="22"/>
        </w:rPr>
        <w:t>Acuerdo</w:t>
      </w:r>
      <w:r w:rsidR="00F85C74" w:rsidRPr="00046DAD">
        <w:rPr>
          <w:sz w:val="22"/>
          <w:szCs w:val="22"/>
        </w:rPr>
        <w:t xml:space="preserve"> entrará en vigor al día siguiente de su publicación en el Diario Oficial de la Federación.</w:t>
      </w:r>
    </w:p>
    <w:p w14:paraId="2881D25C" w14:textId="3A52E782" w:rsidR="00466735" w:rsidRDefault="00466735" w:rsidP="00F85C74">
      <w:pPr>
        <w:pStyle w:val="Default"/>
        <w:spacing w:line="276" w:lineRule="auto"/>
        <w:jc w:val="both"/>
        <w:rPr>
          <w:sz w:val="22"/>
          <w:szCs w:val="22"/>
        </w:rPr>
      </w:pPr>
    </w:p>
    <w:p w14:paraId="1988271E" w14:textId="05AEF7BD" w:rsidR="00466735" w:rsidRPr="00466735" w:rsidRDefault="00466735" w:rsidP="00F85C74">
      <w:pPr>
        <w:pStyle w:val="Default"/>
        <w:spacing w:line="276" w:lineRule="auto"/>
        <w:jc w:val="both"/>
        <w:rPr>
          <w:b/>
          <w:sz w:val="22"/>
          <w:szCs w:val="22"/>
        </w:rPr>
      </w:pPr>
      <w:r w:rsidRPr="00466735">
        <w:rPr>
          <w:b/>
          <w:sz w:val="22"/>
          <w:szCs w:val="22"/>
        </w:rPr>
        <w:t xml:space="preserve">TERCERO. </w:t>
      </w:r>
      <w:r w:rsidR="00E20304">
        <w:rPr>
          <w:b/>
          <w:sz w:val="22"/>
          <w:szCs w:val="22"/>
        </w:rPr>
        <w:t>–</w:t>
      </w:r>
      <w:r w:rsidR="00F451D6">
        <w:rPr>
          <w:b/>
          <w:sz w:val="22"/>
          <w:szCs w:val="22"/>
        </w:rPr>
        <w:t xml:space="preserve"> </w:t>
      </w:r>
      <w:r w:rsidR="00962F02" w:rsidRPr="00962F02">
        <w:rPr>
          <w:sz w:val="22"/>
          <w:szCs w:val="22"/>
        </w:rPr>
        <w:t>El Procedimiento de Res</w:t>
      </w:r>
      <w:r w:rsidR="00124441">
        <w:rPr>
          <w:sz w:val="22"/>
          <w:szCs w:val="22"/>
        </w:rPr>
        <w:t>olución por Medios Electrónicos</w:t>
      </w:r>
      <w:r w:rsidR="00962F02" w:rsidRPr="00962F02">
        <w:rPr>
          <w:sz w:val="22"/>
          <w:szCs w:val="22"/>
        </w:rPr>
        <w:t xml:space="preserve"> a través de l</w:t>
      </w:r>
      <w:r w:rsidR="00962F02">
        <w:rPr>
          <w:sz w:val="22"/>
          <w:szCs w:val="22"/>
        </w:rPr>
        <w:t>a Ventanilla Electrónica se encontrará</w:t>
      </w:r>
      <w:r w:rsidR="00962F02" w:rsidRPr="00962F02">
        <w:rPr>
          <w:sz w:val="22"/>
          <w:szCs w:val="22"/>
        </w:rPr>
        <w:t xml:space="preserve"> habilitado a</w:t>
      </w:r>
      <w:r w:rsidR="00962F02">
        <w:rPr>
          <w:sz w:val="22"/>
          <w:szCs w:val="22"/>
        </w:rPr>
        <w:t xml:space="preserve"> partir del 21 de junio de 2021</w:t>
      </w:r>
      <w:r w:rsidR="00F451D6" w:rsidRPr="00962F02">
        <w:rPr>
          <w:color w:val="000000" w:themeColor="text1"/>
          <w:sz w:val="22"/>
          <w:szCs w:val="22"/>
        </w:rPr>
        <w:t>.</w:t>
      </w:r>
      <w:r>
        <w:rPr>
          <w:b/>
          <w:sz w:val="22"/>
          <w:szCs w:val="22"/>
        </w:rPr>
        <w:t xml:space="preserve"> </w:t>
      </w:r>
    </w:p>
    <w:p w14:paraId="0CD6B554" w14:textId="77777777" w:rsidR="00F85C74" w:rsidRPr="00046DAD" w:rsidRDefault="00F85C74" w:rsidP="00F85C74">
      <w:pPr>
        <w:spacing w:after="0" w:line="276" w:lineRule="auto"/>
        <w:jc w:val="both"/>
        <w:rPr>
          <w:rFonts w:ascii="Arial" w:hAnsi="Arial" w:cs="Arial"/>
        </w:rPr>
      </w:pPr>
    </w:p>
    <w:p w14:paraId="23F71F13" w14:textId="0590EC7D" w:rsidR="00F85C74" w:rsidRDefault="00466735" w:rsidP="00F85C74">
      <w:pPr>
        <w:pStyle w:val="Default"/>
        <w:spacing w:line="276" w:lineRule="auto"/>
        <w:jc w:val="both"/>
        <w:rPr>
          <w:sz w:val="22"/>
          <w:szCs w:val="22"/>
        </w:rPr>
      </w:pPr>
      <w:r>
        <w:rPr>
          <w:b/>
          <w:sz w:val="22"/>
          <w:szCs w:val="22"/>
        </w:rPr>
        <w:t>CUARTO</w:t>
      </w:r>
      <w:r w:rsidR="00F85C74" w:rsidRPr="0020716B">
        <w:rPr>
          <w:b/>
          <w:sz w:val="22"/>
          <w:szCs w:val="22"/>
        </w:rPr>
        <w:t>.-</w:t>
      </w:r>
      <w:r w:rsidR="00F85C74" w:rsidRPr="0020716B">
        <w:rPr>
          <w:sz w:val="22"/>
          <w:szCs w:val="22"/>
        </w:rPr>
        <w:t xml:space="preserve"> </w:t>
      </w:r>
      <w:r w:rsidR="00F85C74" w:rsidRPr="00046DAD">
        <w:rPr>
          <w:sz w:val="22"/>
          <w:szCs w:val="22"/>
        </w:rPr>
        <w:t xml:space="preserve">Los concesionarios </w:t>
      </w:r>
      <w:r w:rsidR="00F85C74" w:rsidRPr="002D4BDF">
        <w:rPr>
          <w:sz w:val="22"/>
          <w:szCs w:val="22"/>
        </w:rPr>
        <w:t xml:space="preserve">que </w:t>
      </w:r>
      <w:r w:rsidR="001A645F">
        <w:rPr>
          <w:sz w:val="22"/>
          <w:szCs w:val="22"/>
        </w:rPr>
        <w:t>a la entrada en vigor de los Lineamientos,</w:t>
      </w:r>
      <w:r w:rsidR="001A645F" w:rsidRPr="002D4BDF">
        <w:rPr>
          <w:sz w:val="22"/>
          <w:szCs w:val="22"/>
        </w:rPr>
        <w:t xml:space="preserve"> </w:t>
      </w:r>
      <w:r w:rsidR="00F85C74" w:rsidRPr="002D4BDF">
        <w:rPr>
          <w:sz w:val="22"/>
          <w:szCs w:val="22"/>
        </w:rPr>
        <w:t xml:space="preserve">ya cuenten con acceso a la Ventanilla Electrónica podrán </w:t>
      </w:r>
      <w:r w:rsidR="00F85C74">
        <w:rPr>
          <w:sz w:val="22"/>
          <w:szCs w:val="22"/>
        </w:rPr>
        <w:t>manifestar</w:t>
      </w:r>
      <w:r w:rsidR="00F85C74" w:rsidRPr="002D4BDF">
        <w:rPr>
          <w:sz w:val="22"/>
          <w:szCs w:val="22"/>
        </w:rPr>
        <w:t xml:space="preserve"> anticipadamente su consentimiento expreso para </w:t>
      </w:r>
      <w:r w:rsidR="001A645F">
        <w:rPr>
          <w:sz w:val="22"/>
          <w:szCs w:val="22"/>
        </w:rPr>
        <w:t xml:space="preserve">la utilización de la Firma Electrónica Avanzada, </w:t>
      </w:r>
      <w:r w:rsidR="00F85C74" w:rsidRPr="002D4BDF">
        <w:rPr>
          <w:sz w:val="22"/>
          <w:szCs w:val="22"/>
        </w:rPr>
        <w:t xml:space="preserve">recibir notificaciones y </w:t>
      </w:r>
      <w:r w:rsidR="00F85C74" w:rsidRPr="00046DAD">
        <w:rPr>
          <w:sz w:val="22"/>
          <w:szCs w:val="22"/>
        </w:rPr>
        <w:t xml:space="preserve">realizar la sustanciación de los desacuerdos de interconexión presentados a través de la Ventanilla Electrónica en los cuales pudieran adquirir el carácter de contraparte presentando un escrito ante la Oficialía de Partes Común del Instituto Federal de Telecomunicaciones en el que manifiesten dicho consentimiento </w:t>
      </w:r>
      <w:r w:rsidR="00F85C74">
        <w:rPr>
          <w:sz w:val="22"/>
          <w:szCs w:val="22"/>
        </w:rPr>
        <w:t>dentro de los 30 (treinta)</w:t>
      </w:r>
      <w:r w:rsidR="00F85C74" w:rsidRPr="0020716B">
        <w:rPr>
          <w:sz w:val="22"/>
          <w:szCs w:val="22"/>
        </w:rPr>
        <w:t xml:space="preserve"> días hábiles siguientes a la entrada en vigor de los Lineamientos.</w:t>
      </w:r>
      <w:r w:rsidR="00F85C74" w:rsidRPr="00046DAD">
        <w:rPr>
          <w:sz w:val="22"/>
          <w:szCs w:val="22"/>
        </w:rPr>
        <w:t xml:space="preserve">   </w:t>
      </w:r>
    </w:p>
    <w:p w14:paraId="4BA79F9B" w14:textId="78A2CDEE" w:rsidR="00740312" w:rsidRDefault="00740312" w:rsidP="00F85C74">
      <w:pPr>
        <w:pStyle w:val="Default"/>
        <w:spacing w:line="276" w:lineRule="auto"/>
        <w:jc w:val="both"/>
        <w:rPr>
          <w:sz w:val="22"/>
          <w:szCs w:val="22"/>
        </w:rPr>
      </w:pPr>
    </w:p>
    <w:p w14:paraId="0E0BA73D" w14:textId="79144A5A" w:rsidR="00740312" w:rsidRPr="00FA046D" w:rsidRDefault="00466735" w:rsidP="00740312">
      <w:pPr>
        <w:pStyle w:val="Default"/>
        <w:spacing w:line="276" w:lineRule="auto"/>
        <w:jc w:val="both"/>
        <w:rPr>
          <w:sz w:val="22"/>
          <w:szCs w:val="22"/>
        </w:rPr>
      </w:pPr>
      <w:r>
        <w:rPr>
          <w:b/>
          <w:sz w:val="22"/>
          <w:szCs w:val="22"/>
        </w:rPr>
        <w:t>QUINTO</w:t>
      </w:r>
      <w:r w:rsidR="00740312">
        <w:rPr>
          <w:b/>
          <w:sz w:val="22"/>
          <w:szCs w:val="22"/>
        </w:rPr>
        <w:t>. –</w:t>
      </w:r>
      <w:r w:rsidR="00314E06">
        <w:rPr>
          <w:sz w:val="22"/>
          <w:szCs w:val="22"/>
        </w:rPr>
        <w:t xml:space="preserve"> E</w:t>
      </w:r>
      <w:r w:rsidR="00740312">
        <w:rPr>
          <w:sz w:val="22"/>
          <w:szCs w:val="22"/>
        </w:rPr>
        <w:t>l</w:t>
      </w:r>
      <w:r w:rsidR="00740312" w:rsidRPr="00E45590">
        <w:rPr>
          <w:sz w:val="22"/>
          <w:szCs w:val="22"/>
        </w:rPr>
        <w:t xml:space="preserve"> </w:t>
      </w:r>
      <w:r w:rsidR="00740312">
        <w:rPr>
          <w:sz w:val="22"/>
          <w:szCs w:val="22"/>
        </w:rPr>
        <w:t xml:space="preserve">Instituto migrará a la Ventanilla Electrónica el </w:t>
      </w:r>
      <w:r w:rsidR="00740312" w:rsidRPr="00E5744A">
        <w:rPr>
          <w:sz w:val="22"/>
          <w:szCs w:val="22"/>
        </w:rPr>
        <w:t xml:space="preserve">Anexo H del </w:t>
      </w:r>
      <w:r w:rsidR="00740312">
        <w:rPr>
          <w:sz w:val="22"/>
          <w:szCs w:val="22"/>
        </w:rPr>
        <w:t>“</w:t>
      </w:r>
      <w:r w:rsidR="00740312" w:rsidRPr="00E5744A">
        <w:rPr>
          <w:sz w:val="22"/>
          <w:szCs w:val="22"/>
        </w:rPr>
        <w:t xml:space="preserve">Acuerdo </w:t>
      </w:r>
      <w:r w:rsidR="00740312" w:rsidRPr="00E5744A">
        <w:rPr>
          <w:bCs/>
          <w:sz w:val="22"/>
          <w:szCs w:val="22"/>
        </w:rPr>
        <w:t>mediante el cual el Pleno del Instituto Federal de Telecomunicaciones emite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740312">
        <w:rPr>
          <w:bCs/>
          <w:sz w:val="22"/>
          <w:szCs w:val="22"/>
        </w:rPr>
        <w:t>”</w:t>
      </w:r>
      <w:r w:rsidR="00740312" w:rsidRPr="00E5744A">
        <w:rPr>
          <w:bCs/>
          <w:sz w:val="22"/>
          <w:szCs w:val="22"/>
        </w:rPr>
        <w:t>, publicado en el Diario Oficial de la Federación el 9 de febrero de 2021</w:t>
      </w:r>
      <w:r w:rsidR="00740312">
        <w:rPr>
          <w:bCs/>
          <w:sz w:val="22"/>
          <w:szCs w:val="22"/>
        </w:rPr>
        <w:t xml:space="preserve">, para la presentación de la </w:t>
      </w:r>
      <w:r w:rsidR="000B3AF1">
        <w:rPr>
          <w:sz w:val="22"/>
          <w:szCs w:val="22"/>
        </w:rPr>
        <w:t>s</w:t>
      </w:r>
      <w:r w:rsidR="00740312" w:rsidRPr="00F6406E">
        <w:rPr>
          <w:sz w:val="22"/>
          <w:szCs w:val="22"/>
        </w:rPr>
        <w:t xml:space="preserve">olicitud </w:t>
      </w:r>
      <w:r w:rsidR="00740312">
        <w:rPr>
          <w:sz w:val="22"/>
          <w:szCs w:val="22"/>
        </w:rPr>
        <w:t xml:space="preserve">de </w:t>
      </w:r>
      <w:r w:rsidR="000B3AF1">
        <w:rPr>
          <w:sz w:val="22"/>
          <w:szCs w:val="22"/>
        </w:rPr>
        <w:t>r</w:t>
      </w:r>
      <w:r w:rsidR="00740312">
        <w:rPr>
          <w:sz w:val="22"/>
          <w:szCs w:val="22"/>
        </w:rPr>
        <w:t>esolución, a través de dicho repositorio electrónico</w:t>
      </w:r>
      <w:r w:rsidR="00314E06">
        <w:rPr>
          <w:sz w:val="22"/>
          <w:szCs w:val="22"/>
        </w:rPr>
        <w:t xml:space="preserve"> a partir de</w:t>
      </w:r>
      <w:r w:rsidR="00C8616A">
        <w:rPr>
          <w:sz w:val="22"/>
          <w:szCs w:val="22"/>
        </w:rPr>
        <w:t xml:space="preserve"> la</w:t>
      </w:r>
      <w:r w:rsidR="00314E06">
        <w:rPr>
          <w:sz w:val="22"/>
          <w:szCs w:val="22"/>
        </w:rPr>
        <w:t xml:space="preserve"> fecha en la que se </w:t>
      </w:r>
      <w:r w:rsidR="008B5EA5">
        <w:rPr>
          <w:sz w:val="22"/>
          <w:szCs w:val="22"/>
        </w:rPr>
        <w:t>encuentre</w:t>
      </w:r>
      <w:r w:rsidR="00314E06">
        <w:rPr>
          <w:sz w:val="22"/>
          <w:szCs w:val="22"/>
        </w:rPr>
        <w:t xml:space="preserve"> habilitado el Procedimiento de Resolución</w:t>
      </w:r>
      <w:r w:rsidR="00740312" w:rsidRPr="00E5744A">
        <w:rPr>
          <w:bCs/>
          <w:sz w:val="22"/>
          <w:szCs w:val="22"/>
          <w:lang w:val="es-ES"/>
        </w:rPr>
        <w:t>.</w:t>
      </w:r>
      <w:r w:rsidR="00740312">
        <w:rPr>
          <w:bCs/>
          <w:sz w:val="22"/>
          <w:szCs w:val="22"/>
        </w:rPr>
        <w:t xml:space="preserve"> </w:t>
      </w:r>
    </w:p>
    <w:p w14:paraId="18C30E63" w14:textId="77777777" w:rsidR="00740312" w:rsidRPr="002D4BDF" w:rsidRDefault="00740312" w:rsidP="00F85C74">
      <w:pPr>
        <w:pStyle w:val="Default"/>
        <w:spacing w:line="276" w:lineRule="auto"/>
        <w:jc w:val="both"/>
        <w:rPr>
          <w:sz w:val="22"/>
          <w:szCs w:val="22"/>
        </w:rPr>
      </w:pPr>
    </w:p>
    <w:p w14:paraId="5A6FE149" w14:textId="77777777" w:rsidR="00F85C74" w:rsidRPr="0020716B" w:rsidRDefault="00F85C74" w:rsidP="00F85C74">
      <w:pPr>
        <w:spacing w:after="0" w:line="276" w:lineRule="auto"/>
        <w:jc w:val="both"/>
        <w:rPr>
          <w:rFonts w:ascii="Arial" w:hAnsi="Arial" w:cs="Arial"/>
          <w:b/>
        </w:rPr>
      </w:pPr>
    </w:p>
    <w:p w14:paraId="11228F01" w14:textId="77777777" w:rsidR="00F85C74" w:rsidRDefault="00F85C74" w:rsidP="00F85C74">
      <w:pPr>
        <w:spacing w:after="0" w:line="276" w:lineRule="auto"/>
        <w:jc w:val="both"/>
        <w:rPr>
          <w:rFonts w:ascii="Arial" w:hAnsi="Arial" w:cs="Arial"/>
        </w:rPr>
      </w:pPr>
    </w:p>
    <w:p w14:paraId="75D4D8E6" w14:textId="77777777" w:rsidR="00F85C74" w:rsidRDefault="00F85C74" w:rsidP="00F85C74">
      <w:pPr>
        <w:spacing w:after="0" w:line="276" w:lineRule="auto"/>
        <w:jc w:val="both"/>
        <w:rPr>
          <w:rFonts w:ascii="Arial" w:hAnsi="Arial" w:cs="Arial"/>
        </w:rPr>
      </w:pPr>
    </w:p>
    <w:p w14:paraId="0191F0F6" w14:textId="77777777" w:rsidR="00F85C74" w:rsidRPr="00FF6273" w:rsidRDefault="00F85C74" w:rsidP="00F85C74">
      <w:pPr>
        <w:spacing w:after="0" w:line="276" w:lineRule="auto"/>
        <w:jc w:val="both"/>
        <w:rPr>
          <w:rFonts w:ascii="Arial" w:hAnsi="Arial" w:cs="Arial"/>
        </w:rPr>
      </w:pPr>
    </w:p>
    <w:p w14:paraId="04D7B28F" w14:textId="07786AC3" w:rsidR="00951BB9" w:rsidRPr="00FF6273" w:rsidRDefault="00951BB9" w:rsidP="00F4284D">
      <w:pPr>
        <w:spacing w:line="276" w:lineRule="auto"/>
        <w:jc w:val="both"/>
        <w:rPr>
          <w:rFonts w:ascii="Arial" w:hAnsi="Arial" w:cs="Arial"/>
        </w:rPr>
      </w:pPr>
    </w:p>
    <w:sectPr w:rsidR="00951BB9" w:rsidRPr="00FF627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E477E" w16cex:dateUtc="2021-05-18T19:02:00Z"/>
  <w16cex:commentExtensible w16cex:durableId="244E3B9E" w16cex:dateUtc="2021-05-18T18:11:00Z"/>
  <w16cex:commentExtensible w16cex:durableId="244E3C13" w16cex:dateUtc="2021-05-18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E8B5C1" w16cid:durableId="244E477E"/>
  <w16cid:commentId w16cid:paraId="339DE371" w16cid:durableId="244E3B9E"/>
  <w16cid:commentId w16cid:paraId="55244623" w16cid:durableId="244E3C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89412" w14:textId="77777777" w:rsidR="00200CCE" w:rsidRDefault="00200CCE" w:rsidP="001A2A51">
      <w:pPr>
        <w:spacing w:after="0" w:line="240" w:lineRule="auto"/>
      </w:pPr>
      <w:r>
        <w:separator/>
      </w:r>
    </w:p>
  </w:endnote>
  <w:endnote w:type="continuationSeparator" w:id="0">
    <w:p w14:paraId="3EBA5504" w14:textId="77777777" w:rsidR="00200CCE" w:rsidRDefault="00200CCE" w:rsidP="001A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3564" w14:textId="77777777" w:rsidR="0044543B" w:rsidRDefault="004454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D01F" w14:textId="77777777" w:rsidR="0044543B" w:rsidRDefault="004454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1D32" w14:textId="77777777" w:rsidR="0044543B" w:rsidRDefault="004454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E1B8" w14:textId="77777777" w:rsidR="00200CCE" w:rsidRDefault="00200CCE" w:rsidP="001A2A51">
      <w:pPr>
        <w:spacing w:after="0" w:line="240" w:lineRule="auto"/>
      </w:pPr>
      <w:r>
        <w:separator/>
      </w:r>
    </w:p>
  </w:footnote>
  <w:footnote w:type="continuationSeparator" w:id="0">
    <w:p w14:paraId="4C608393" w14:textId="77777777" w:rsidR="00200CCE" w:rsidRDefault="00200CCE" w:rsidP="001A2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C9F5" w14:textId="4AEB2696" w:rsidR="0044543B" w:rsidRDefault="0044543B">
    <w:pPr>
      <w:pStyle w:val="Encabezado"/>
    </w:pPr>
    <w:r>
      <w:rPr>
        <w:noProof/>
      </w:rPr>
      <w:pict w14:anchorId="2C942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08282"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42DD" w14:textId="7B08D292" w:rsidR="0044543B" w:rsidRDefault="0044543B">
    <w:pPr>
      <w:pStyle w:val="Encabezado"/>
    </w:pPr>
    <w:r>
      <w:rPr>
        <w:noProof/>
      </w:rPr>
      <w:pict w14:anchorId="2C98B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08283" o:spid="_x0000_s2051"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1FFB" w14:textId="48D409AD" w:rsidR="0044543B" w:rsidRDefault="0044543B">
    <w:pPr>
      <w:pStyle w:val="Encabezado"/>
    </w:pPr>
    <w:r>
      <w:rPr>
        <w:noProof/>
      </w:rPr>
      <w:pict w14:anchorId="70034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08281"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80C"/>
    <w:multiLevelType w:val="hybridMultilevel"/>
    <w:tmpl w:val="D5A019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3228D"/>
    <w:multiLevelType w:val="hybridMultilevel"/>
    <w:tmpl w:val="7FB4B2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840A0B"/>
    <w:multiLevelType w:val="hybridMultilevel"/>
    <w:tmpl w:val="0D221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83605"/>
    <w:multiLevelType w:val="hybridMultilevel"/>
    <w:tmpl w:val="28DA96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AE1504"/>
    <w:multiLevelType w:val="hybridMultilevel"/>
    <w:tmpl w:val="BFFA79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612BF2"/>
    <w:multiLevelType w:val="hybridMultilevel"/>
    <w:tmpl w:val="577A52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F92F60"/>
    <w:multiLevelType w:val="hybridMultilevel"/>
    <w:tmpl w:val="6F6A939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01103C"/>
    <w:multiLevelType w:val="hybridMultilevel"/>
    <w:tmpl w:val="138C3F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96B30"/>
    <w:multiLevelType w:val="hybridMultilevel"/>
    <w:tmpl w:val="D75A24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BC3C93"/>
    <w:multiLevelType w:val="hybridMultilevel"/>
    <w:tmpl w:val="297CE2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FFE67B8"/>
    <w:multiLevelType w:val="hybridMultilevel"/>
    <w:tmpl w:val="8124B3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10EC8"/>
    <w:multiLevelType w:val="hybridMultilevel"/>
    <w:tmpl w:val="E73A4FF4"/>
    <w:lvl w:ilvl="0" w:tplc="1422B1D6">
      <w:start w:val="1"/>
      <w:numFmt w:val="upperRoman"/>
      <w:lvlText w:val="%1."/>
      <w:lvlJc w:val="right"/>
      <w:pPr>
        <w:ind w:left="3621" w:hanging="360"/>
      </w:pPr>
      <w:rPr>
        <w:b/>
      </w:rPr>
    </w:lvl>
    <w:lvl w:ilvl="1" w:tplc="D2B61002">
      <w:start w:val="1"/>
      <w:numFmt w:val="lowerLetter"/>
      <w:lvlText w:val="%2."/>
      <w:lvlJc w:val="left"/>
      <w:pPr>
        <w:ind w:left="1800" w:hanging="360"/>
      </w:pPr>
      <w:rPr>
        <w:rFonts w:ascii="ITC Avant Garde Std Bk" w:eastAsia="Times New Roman" w:hAnsi="ITC Avant Garde Std Bk" w:cs="Arial"/>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958063C"/>
    <w:multiLevelType w:val="hybridMultilevel"/>
    <w:tmpl w:val="75268C58"/>
    <w:lvl w:ilvl="0" w:tplc="00365C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96648"/>
    <w:multiLevelType w:val="hybridMultilevel"/>
    <w:tmpl w:val="295C31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2"/>
  </w:num>
  <w:num w:numId="5">
    <w:abstractNumId w:val="11"/>
  </w:num>
  <w:num w:numId="6">
    <w:abstractNumId w:val="3"/>
  </w:num>
  <w:num w:numId="7">
    <w:abstractNumId w:val="7"/>
  </w:num>
  <w:num w:numId="8">
    <w:abstractNumId w:val="13"/>
  </w:num>
  <w:num w:numId="9">
    <w:abstractNumId w:val="4"/>
  </w:num>
  <w:num w:numId="10">
    <w:abstractNumId w:val="10"/>
  </w:num>
  <w:num w:numId="11">
    <w:abstractNumId w:val="8"/>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B9"/>
    <w:rsid w:val="0001179B"/>
    <w:rsid w:val="00015947"/>
    <w:rsid w:val="000214A5"/>
    <w:rsid w:val="00025BAB"/>
    <w:rsid w:val="00025D8B"/>
    <w:rsid w:val="000262A4"/>
    <w:rsid w:val="000407A9"/>
    <w:rsid w:val="00041BF6"/>
    <w:rsid w:val="00060041"/>
    <w:rsid w:val="000653EF"/>
    <w:rsid w:val="00065E04"/>
    <w:rsid w:val="00071954"/>
    <w:rsid w:val="000843C6"/>
    <w:rsid w:val="000927BA"/>
    <w:rsid w:val="000A2715"/>
    <w:rsid w:val="000B3AF1"/>
    <w:rsid w:val="000D0BC1"/>
    <w:rsid w:val="000F1351"/>
    <w:rsid w:val="001044A0"/>
    <w:rsid w:val="00117575"/>
    <w:rsid w:val="0012201F"/>
    <w:rsid w:val="00124441"/>
    <w:rsid w:val="001323A4"/>
    <w:rsid w:val="00142094"/>
    <w:rsid w:val="00150587"/>
    <w:rsid w:val="00163080"/>
    <w:rsid w:val="00182F6B"/>
    <w:rsid w:val="00192F3A"/>
    <w:rsid w:val="00197898"/>
    <w:rsid w:val="001A2A51"/>
    <w:rsid w:val="001A645F"/>
    <w:rsid w:val="001B3C57"/>
    <w:rsid w:val="001C487B"/>
    <w:rsid w:val="001C7C1E"/>
    <w:rsid w:val="001E2E1A"/>
    <w:rsid w:val="001F2A8A"/>
    <w:rsid w:val="0020019E"/>
    <w:rsid w:val="00200CCE"/>
    <w:rsid w:val="0023098B"/>
    <w:rsid w:val="002343C9"/>
    <w:rsid w:val="00241AE8"/>
    <w:rsid w:val="00271B1A"/>
    <w:rsid w:val="00273D87"/>
    <w:rsid w:val="00277918"/>
    <w:rsid w:val="002A2FFB"/>
    <w:rsid w:val="002A3D4C"/>
    <w:rsid w:val="002B54AA"/>
    <w:rsid w:val="002D2297"/>
    <w:rsid w:val="002D52C7"/>
    <w:rsid w:val="002E2B7F"/>
    <w:rsid w:val="00304464"/>
    <w:rsid w:val="00313A44"/>
    <w:rsid w:val="00314E06"/>
    <w:rsid w:val="00324E95"/>
    <w:rsid w:val="003327CD"/>
    <w:rsid w:val="003523A4"/>
    <w:rsid w:val="00352EC7"/>
    <w:rsid w:val="00360876"/>
    <w:rsid w:val="0038053A"/>
    <w:rsid w:val="00382070"/>
    <w:rsid w:val="00382BC1"/>
    <w:rsid w:val="0038587F"/>
    <w:rsid w:val="003B4637"/>
    <w:rsid w:val="003C4801"/>
    <w:rsid w:val="003C4F8A"/>
    <w:rsid w:val="003D775E"/>
    <w:rsid w:val="003E24C6"/>
    <w:rsid w:val="003E385B"/>
    <w:rsid w:val="003F213E"/>
    <w:rsid w:val="00406010"/>
    <w:rsid w:val="00412F69"/>
    <w:rsid w:val="00420FDD"/>
    <w:rsid w:val="004359B4"/>
    <w:rsid w:val="00443827"/>
    <w:rsid w:val="0044543B"/>
    <w:rsid w:val="00456A42"/>
    <w:rsid w:val="00466735"/>
    <w:rsid w:val="004728D2"/>
    <w:rsid w:val="0048181C"/>
    <w:rsid w:val="004A7540"/>
    <w:rsid w:val="004B7FE4"/>
    <w:rsid w:val="004C570F"/>
    <w:rsid w:val="004C5AA1"/>
    <w:rsid w:val="004D34D9"/>
    <w:rsid w:val="005148E5"/>
    <w:rsid w:val="00515F1E"/>
    <w:rsid w:val="00555C82"/>
    <w:rsid w:val="005608AF"/>
    <w:rsid w:val="00584840"/>
    <w:rsid w:val="005A00E1"/>
    <w:rsid w:val="005A3259"/>
    <w:rsid w:val="005D7D3B"/>
    <w:rsid w:val="005F0738"/>
    <w:rsid w:val="005F799A"/>
    <w:rsid w:val="006034C9"/>
    <w:rsid w:val="00606F76"/>
    <w:rsid w:val="00612377"/>
    <w:rsid w:val="006139FC"/>
    <w:rsid w:val="00625BA9"/>
    <w:rsid w:val="00630B9C"/>
    <w:rsid w:val="006335CF"/>
    <w:rsid w:val="0064080F"/>
    <w:rsid w:val="006458B9"/>
    <w:rsid w:val="00645AC3"/>
    <w:rsid w:val="0065375F"/>
    <w:rsid w:val="00684CF7"/>
    <w:rsid w:val="006A109F"/>
    <w:rsid w:val="006A5466"/>
    <w:rsid w:val="006A64F8"/>
    <w:rsid w:val="006C3717"/>
    <w:rsid w:val="006D4644"/>
    <w:rsid w:val="006E0F94"/>
    <w:rsid w:val="006E6BF0"/>
    <w:rsid w:val="006F6739"/>
    <w:rsid w:val="00712486"/>
    <w:rsid w:val="00714708"/>
    <w:rsid w:val="00740312"/>
    <w:rsid w:val="00764E03"/>
    <w:rsid w:val="00772ADE"/>
    <w:rsid w:val="00772F78"/>
    <w:rsid w:val="00794700"/>
    <w:rsid w:val="00796A4B"/>
    <w:rsid w:val="007A4E26"/>
    <w:rsid w:val="007A4FBA"/>
    <w:rsid w:val="007B2BAE"/>
    <w:rsid w:val="007C5B0B"/>
    <w:rsid w:val="007C622E"/>
    <w:rsid w:val="007C6A65"/>
    <w:rsid w:val="007C6D6E"/>
    <w:rsid w:val="007F5392"/>
    <w:rsid w:val="007F7FF8"/>
    <w:rsid w:val="008128CE"/>
    <w:rsid w:val="008261EE"/>
    <w:rsid w:val="00836A69"/>
    <w:rsid w:val="00842907"/>
    <w:rsid w:val="008524F0"/>
    <w:rsid w:val="00882DE7"/>
    <w:rsid w:val="00886C6F"/>
    <w:rsid w:val="0089167C"/>
    <w:rsid w:val="008A1A9C"/>
    <w:rsid w:val="008A7087"/>
    <w:rsid w:val="008B082D"/>
    <w:rsid w:val="008B5EA5"/>
    <w:rsid w:val="008C5342"/>
    <w:rsid w:val="008E195A"/>
    <w:rsid w:val="008F29AD"/>
    <w:rsid w:val="008F3957"/>
    <w:rsid w:val="008F6014"/>
    <w:rsid w:val="009009ED"/>
    <w:rsid w:val="0090223E"/>
    <w:rsid w:val="00902418"/>
    <w:rsid w:val="00922A21"/>
    <w:rsid w:val="00943166"/>
    <w:rsid w:val="00951158"/>
    <w:rsid w:val="00951BB9"/>
    <w:rsid w:val="00951FDB"/>
    <w:rsid w:val="00962F02"/>
    <w:rsid w:val="00963109"/>
    <w:rsid w:val="009637F9"/>
    <w:rsid w:val="00974B84"/>
    <w:rsid w:val="00974BA8"/>
    <w:rsid w:val="00983441"/>
    <w:rsid w:val="00991ADC"/>
    <w:rsid w:val="0099333D"/>
    <w:rsid w:val="009A7F34"/>
    <w:rsid w:val="009B49FA"/>
    <w:rsid w:val="009B676C"/>
    <w:rsid w:val="009D0887"/>
    <w:rsid w:val="009D2B34"/>
    <w:rsid w:val="009E7CF4"/>
    <w:rsid w:val="009F2D57"/>
    <w:rsid w:val="009F605C"/>
    <w:rsid w:val="00A110AB"/>
    <w:rsid w:val="00A11B65"/>
    <w:rsid w:val="00A27497"/>
    <w:rsid w:val="00A43990"/>
    <w:rsid w:val="00A57D50"/>
    <w:rsid w:val="00A618BF"/>
    <w:rsid w:val="00A7078F"/>
    <w:rsid w:val="00A73DF8"/>
    <w:rsid w:val="00A77ADF"/>
    <w:rsid w:val="00AA2C28"/>
    <w:rsid w:val="00AA4585"/>
    <w:rsid w:val="00AB0A41"/>
    <w:rsid w:val="00AB38D2"/>
    <w:rsid w:val="00AE1085"/>
    <w:rsid w:val="00AE4395"/>
    <w:rsid w:val="00AF184F"/>
    <w:rsid w:val="00B517A4"/>
    <w:rsid w:val="00B51A80"/>
    <w:rsid w:val="00B52D0E"/>
    <w:rsid w:val="00B558BD"/>
    <w:rsid w:val="00B6365F"/>
    <w:rsid w:val="00B63C4B"/>
    <w:rsid w:val="00B66B43"/>
    <w:rsid w:val="00B72586"/>
    <w:rsid w:val="00B85AFA"/>
    <w:rsid w:val="00B86AF0"/>
    <w:rsid w:val="00B9159C"/>
    <w:rsid w:val="00BA1357"/>
    <w:rsid w:val="00BA7876"/>
    <w:rsid w:val="00BB4D05"/>
    <w:rsid w:val="00BD444B"/>
    <w:rsid w:val="00BE346F"/>
    <w:rsid w:val="00BF458D"/>
    <w:rsid w:val="00C06642"/>
    <w:rsid w:val="00C07488"/>
    <w:rsid w:val="00C36F39"/>
    <w:rsid w:val="00C42398"/>
    <w:rsid w:val="00C64636"/>
    <w:rsid w:val="00C80855"/>
    <w:rsid w:val="00C8616A"/>
    <w:rsid w:val="00C87837"/>
    <w:rsid w:val="00C945BE"/>
    <w:rsid w:val="00CB0D5B"/>
    <w:rsid w:val="00CD3302"/>
    <w:rsid w:val="00CD3B7B"/>
    <w:rsid w:val="00CE5D4A"/>
    <w:rsid w:val="00CE68D5"/>
    <w:rsid w:val="00CF08B7"/>
    <w:rsid w:val="00D03FFE"/>
    <w:rsid w:val="00D358A7"/>
    <w:rsid w:val="00D60761"/>
    <w:rsid w:val="00D60C91"/>
    <w:rsid w:val="00D63A68"/>
    <w:rsid w:val="00D920D4"/>
    <w:rsid w:val="00D964E4"/>
    <w:rsid w:val="00DA0EEE"/>
    <w:rsid w:val="00DA68F2"/>
    <w:rsid w:val="00DB048B"/>
    <w:rsid w:val="00DB49C4"/>
    <w:rsid w:val="00DC7D22"/>
    <w:rsid w:val="00DD1D9B"/>
    <w:rsid w:val="00E0407D"/>
    <w:rsid w:val="00E066D5"/>
    <w:rsid w:val="00E135DD"/>
    <w:rsid w:val="00E20304"/>
    <w:rsid w:val="00E2177A"/>
    <w:rsid w:val="00E37FD5"/>
    <w:rsid w:val="00E40F8B"/>
    <w:rsid w:val="00E446A7"/>
    <w:rsid w:val="00E665EC"/>
    <w:rsid w:val="00E67A96"/>
    <w:rsid w:val="00E76DFA"/>
    <w:rsid w:val="00E77675"/>
    <w:rsid w:val="00E870A5"/>
    <w:rsid w:val="00EB6CF6"/>
    <w:rsid w:val="00EC75C4"/>
    <w:rsid w:val="00ED5948"/>
    <w:rsid w:val="00EE551D"/>
    <w:rsid w:val="00EE65C0"/>
    <w:rsid w:val="00F0304C"/>
    <w:rsid w:val="00F23E84"/>
    <w:rsid w:val="00F27731"/>
    <w:rsid w:val="00F350AB"/>
    <w:rsid w:val="00F4284D"/>
    <w:rsid w:val="00F451D6"/>
    <w:rsid w:val="00F46C16"/>
    <w:rsid w:val="00F67E6A"/>
    <w:rsid w:val="00F75DFC"/>
    <w:rsid w:val="00F7796B"/>
    <w:rsid w:val="00F81A17"/>
    <w:rsid w:val="00F85C74"/>
    <w:rsid w:val="00F86541"/>
    <w:rsid w:val="00F94F7E"/>
    <w:rsid w:val="00F97C5D"/>
    <w:rsid w:val="00FB333E"/>
    <w:rsid w:val="00FB73B4"/>
    <w:rsid w:val="00FC5F7B"/>
    <w:rsid w:val="00FE46FB"/>
    <w:rsid w:val="00FF39FE"/>
    <w:rsid w:val="00FF6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9F48AA"/>
  <w15:chartTrackingRefBased/>
  <w15:docId w15:val="{2E2D08ED-5234-4A93-B4E8-D9A3773B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F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1BB9"/>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359B4"/>
    <w:rPr>
      <w:sz w:val="16"/>
      <w:szCs w:val="16"/>
    </w:rPr>
  </w:style>
  <w:style w:type="paragraph" w:styleId="Textocomentario">
    <w:name w:val="annotation text"/>
    <w:basedOn w:val="Normal"/>
    <w:link w:val="TextocomentarioCar"/>
    <w:uiPriority w:val="99"/>
    <w:unhideWhenUsed/>
    <w:rsid w:val="004359B4"/>
    <w:pPr>
      <w:spacing w:line="240" w:lineRule="auto"/>
    </w:pPr>
    <w:rPr>
      <w:sz w:val="20"/>
      <w:szCs w:val="20"/>
    </w:rPr>
  </w:style>
  <w:style w:type="character" w:customStyle="1" w:styleId="TextocomentarioCar">
    <w:name w:val="Texto comentario Car"/>
    <w:basedOn w:val="Fuentedeprrafopredeter"/>
    <w:link w:val="Textocomentario"/>
    <w:uiPriority w:val="99"/>
    <w:rsid w:val="004359B4"/>
    <w:rPr>
      <w:sz w:val="20"/>
      <w:szCs w:val="20"/>
    </w:rPr>
  </w:style>
  <w:style w:type="paragraph" w:styleId="Asuntodelcomentario">
    <w:name w:val="annotation subject"/>
    <w:basedOn w:val="Textocomentario"/>
    <w:next w:val="Textocomentario"/>
    <w:link w:val="AsuntodelcomentarioCar"/>
    <w:uiPriority w:val="99"/>
    <w:semiHidden/>
    <w:unhideWhenUsed/>
    <w:rsid w:val="004359B4"/>
    <w:rPr>
      <w:b/>
      <w:bCs/>
    </w:rPr>
  </w:style>
  <w:style w:type="character" w:customStyle="1" w:styleId="AsuntodelcomentarioCar">
    <w:name w:val="Asunto del comentario Car"/>
    <w:basedOn w:val="TextocomentarioCar"/>
    <w:link w:val="Asuntodelcomentario"/>
    <w:uiPriority w:val="99"/>
    <w:semiHidden/>
    <w:rsid w:val="004359B4"/>
    <w:rPr>
      <w:b/>
      <w:bCs/>
      <w:sz w:val="20"/>
      <w:szCs w:val="20"/>
    </w:rPr>
  </w:style>
  <w:style w:type="paragraph" w:styleId="Textodeglobo">
    <w:name w:val="Balloon Text"/>
    <w:basedOn w:val="Normal"/>
    <w:link w:val="TextodegloboCar"/>
    <w:uiPriority w:val="99"/>
    <w:semiHidden/>
    <w:unhideWhenUsed/>
    <w:rsid w:val="004359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9B4"/>
    <w:rPr>
      <w:rFonts w:ascii="Segoe UI" w:hAnsi="Segoe UI" w:cs="Segoe UI"/>
      <w:sz w:val="18"/>
      <w:szCs w:val="18"/>
    </w:rPr>
  </w:style>
  <w:style w:type="character" w:styleId="Hipervnculo">
    <w:name w:val="Hyperlink"/>
    <w:basedOn w:val="Fuentedeprrafopredeter"/>
    <w:uiPriority w:val="99"/>
    <w:unhideWhenUsed/>
    <w:rsid w:val="001044A0"/>
    <w:rPr>
      <w:color w:val="0563C1" w:themeColor="hyperlink"/>
      <w:u w:val="single"/>
    </w:rPr>
  </w:style>
  <w:style w:type="paragraph" w:styleId="Prrafodelista">
    <w:name w:val="List Paragraph"/>
    <w:aliases w:val="Romanos,4 Viñ 1nivel,Numeración 1,Cuadrícula media 1 - Énfasis 21,Listas,lp1,prueba1,Bullet List,FooterText,numbered,List Paragraph1,Paragraphe de liste1,Bulletr List Paragraph,列出段落,列出段落1,Cuadros,Lista general"/>
    <w:basedOn w:val="Normal"/>
    <w:link w:val="PrrafodelistaCar"/>
    <w:uiPriority w:val="34"/>
    <w:qFormat/>
    <w:rsid w:val="001044A0"/>
    <w:pPr>
      <w:ind w:left="720"/>
      <w:contextualSpacing/>
    </w:pPr>
  </w:style>
  <w:style w:type="paragraph" w:customStyle="1" w:styleId="Texto">
    <w:name w:val="Texto"/>
    <w:basedOn w:val="Normal"/>
    <w:link w:val="TextoCar"/>
    <w:rsid w:val="00836A6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36A69"/>
    <w:rPr>
      <w:rFonts w:ascii="Arial" w:eastAsia="Times New Roman" w:hAnsi="Arial" w:cs="Arial"/>
      <w:sz w:val="18"/>
      <w:szCs w:val="20"/>
      <w:lang w:val="es-ES" w:eastAsia="es-ES"/>
    </w:rPr>
  </w:style>
  <w:style w:type="paragraph" w:customStyle="1" w:styleId="ROMANOS">
    <w:name w:val="ROMANOS"/>
    <w:basedOn w:val="Normal"/>
    <w:link w:val="ROMANOSCar"/>
    <w:rsid w:val="001C487B"/>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1C487B"/>
    <w:rPr>
      <w:rFonts w:ascii="Arial" w:eastAsia="Times New Roman" w:hAnsi="Arial" w:cs="Arial"/>
      <w:sz w:val="18"/>
      <w:szCs w:val="18"/>
      <w:lang w:eastAsia="es-ES"/>
    </w:rPr>
  </w:style>
  <w:style w:type="paragraph" w:customStyle="1" w:styleId="texto0">
    <w:name w:val="texto"/>
    <w:basedOn w:val="Normal"/>
    <w:rsid w:val="001C487B"/>
    <w:pPr>
      <w:spacing w:after="101" w:line="216" w:lineRule="atLeast"/>
      <w:ind w:firstLine="288"/>
      <w:jc w:val="both"/>
    </w:pPr>
    <w:rPr>
      <w:rFonts w:ascii="Arial" w:eastAsia="Times New Roman" w:hAnsi="Arial" w:cs="Arial"/>
      <w:sz w:val="18"/>
      <w:szCs w:val="20"/>
      <w:lang w:val="es-ES_tradnl" w:eastAsia="es-MX"/>
    </w:rPr>
  </w:style>
  <w:style w:type="character" w:customStyle="1" w:styleId="PrrafodelistaCar">
    <w:name w:val="Párrafo de lista Car"/>
    <w:aliases w:val="Romanos Car,4 Viñ 1nivel Car,Numeración 1 Car,Cuadrícula media 1 - Énfasis 21 Car,Listas Car,lp1 Car,prueba1 Car,Bullet List Car,FooterText Car,numbered Car,List Paragraph1 Car,Paragraphe de liste1 Car,Bulletr List Paragraph Car"/>
    <w:link w:val="Prrafodelista"/>
    <w:uiPriority w:val="34"/>
    <w:qFormat/>
    <w:locked/>
    <w:rsid w:val="001C487B"/>
  </w:style>
  <w:style w:type="paragraph" w:styleId="Textonotapie">
    <w:name w:val="footnote text"/>
    <w:basedOn w:val="Normal"/>
    <w:link w:val="TextonotapieCar"/>
    <w:uiPriority w:val="99"/>
    <w:semiHidden/>
    <w:unhideWhenUsed/>
    <w:rsid w:val="001A2A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2A51"/>
    <w:rPr>
      <w:sz w:val="20"/>
      <w:szCs w:val="20"/>
    </w:rPr>
  </w:style>
  <w:style w:type="character" w:styleId="Refdenotaalpie">
    <w:name w:val="footnote reference"/>
    <w:basedOn w:val="Fuentedeprrafopredeter"/>
    <w:uiPriority w:val="99"/>
    <w:semiHidden/>
    <w:unhideWhenUsed/>
    <w:rsid w:val="001A2A51"/>
    <w:rPr>
      <w:vertAlign w:val="superscript"/>
    </w:rPr>
  </w:style>
  <w:style w:type="paragraph" w:styleId="Revisin">
    <w:name w:val="Revision"/>
    <w:hidden/>
    <w:uiPriority w:val="99"/>
    <w:semiHidden/>
    <w:rsid w:val="008F6014"/>
    <w:pPr>
      <w:spacing w:after="0" w:line="240" w:lineRule="auto"/>
    </w:pPr>
  </w:style>
  <w:style w:type="paragraph" w:styleId="Textonotaalfinal">
    <w:name w:val="endnote text"/>
    <w:basedOn w:val="Normal"/>
    <w:link w:val="TextonotaalfinalCar"/>
    <w:uiPriority w:val="99"/>
    <w:semiHidden/>
    <w:unhideWhenUsed/>
    <w:rsid w:val="00A77AD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7ADF"/>
    <w:rPr>
      <w:sz w:val="20"/>
      <w:szCs w:val="20"/>
    </w:rPr>
  </w:style>
  <w:style w:type="character" w:styleId="Refdenotaalfinal">
    <w:name w:val="endnote reference"/>
    <w:basedOn w:val="Fuentedeprrafopredeter"/>
    <w:uiPriority w:val="99"/>
    <w:semiHidden/>
    <w:unhideWhenUsed/>
    <w:rsid w:val="00A77ADF"/>
    <w:rPr>
      <w:vertAlign w:val="superscript"/>
    </w:rPr>
  </w:style>
  <w:style w:type="paragraph" w:styleId="Encabezado">
    <w:name w:val="header"/>
    <w:basedOn w:val="Normal"/>
    <w:link w:val="EncabezadoCar"/>
    <w:uiPriority w:val="99"/>
    <w:unhideWhenUsed/>
    <w:rsid w:val="00445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43B"/>
  </w:style>
  <w:style w:type="paragraph" w:styleId="Piedepgina">
    <w:name w:val="footer"/>
    <w:basedOn w:val="Normal"/>
    <w:link w:val="PiedepginaCar"/>
    <w:uiPriority w:val="99"/>
    <w:unhideWhenUsed/>
    <w:rsid w:val="00445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93938">
      <w:bodyDiv w:val="1"/>
      <w:marLeft w:val="0"/>
      <w:marRight w:val="0"/>
      <w:marTop w:val="0"/>
      <w:marBottom w:val="0"/>
      <w:divBdr>
        <w:top w:val="none" w:sz="0" w:space="0" w:color="auto"/>
        <w:left w:val="none" w:sz="0" w:space="0" w:color="auto"/>
        <w:bottom w:val="none" w:sz="0" w:space="0" w:color="auto"/>
        <w:right w:val="none" w:sz="0" w:space="0" w:color="auto"/>
      </w:divBdr>
    </w:div>
    <w:div w:id="15940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4D13A-7E2F-4271-A98B-9D6796BF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3630</Words>
  <Characters>19968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Morales Mora</dc:creator>
  <cp:keywords/>
  <dc:description/>
  <cp:lastModifiedBy>Josue Teoyotl Calderon</cp:lastModifiedBy>
  <cp:revision>2</cp:revision>
  <dcterms:created xsi:type="dcterms:W3CDTF">2021-05-21T03:16:00Z</dcterms:created>
  <dcterms:modified xsi:type="dcterms:W3CDTF">2021-05-21T03:16:00Z</dcterms:modified>
</cp:coreProperties>
</file>