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50EA9" w14:textId="45E08B6A" w:rsidR="007C4BEB" w:rsidRPr="00EB29B0" w:rsidRDefault="007C4BEB" w:rsidP="00A33196">
      <w:pPr>
        <w:pStyle w:val="Ttulo1"/>
        <w:spacing w:before="0"/>
        <w:jc w:val="both"/>
        <w:rPr>
          <w:rFonts w:ascii="ITC Avant Garde" w:hAnsi="ITC Avant Garde"/>
          <w:b/>
          <w:color w:val="auto"/>
          <w:sz w:val="22"/>
          <w:szCs w:val="22"/>
        </w:rPr>
      </w:pPr>
      <w:r w:rsidRPr="00EB29B0">
        <w:rPr>
          <w:rFonts w:ascii="ITC Avant Garde" w:hAnsi="ITC Avant Garde"/>
          <w:b/>
          <w:color w:val="auto"/>
          <w:sz w:val="22"/>
          <w:szCs w:val="22"/>
        </w:rPr>
        <w:t xml:space="preserve">ACUERDO MEDIANTE EL CUAL EL PLENO DEL INSTITUTO FEDERAL DE TELECOMUNICACIONES </w:t>
      </w:r>
      <w:r w:rsidR="00060DAB" w:rsidRPr="00EB29B0">
        <w:rPr>
          <w:rFonts w:ascii="ITC Avant Garde" w:hAnsi="ITC Avant Garde"/>
          <w:b/>
          <w:color w:val="auto"/>
          <w:sz w:val="22"/>
          <w:szCs w:val="22"/>
        </w:rPr>
        <w:t xml:space="preserve">DETERMINA </w:t>
      </w:r>
      <w:r w:rsidRPr="00EB29B0">
        <w:rPr>
          <w:rFonts w:ascii="ITC Avant Garde" w:hAnsi="ITC Avant Garde"/>
          <w:b/>
          <w:color w:val="auto"/>
          <w:sz w:val="22"/>
          <w:szCs w:val="22"/>
        </w:rPr>
        <w:t>SOMETE</w:t>
      </w:r>
      <w:r w:rsidR="00060DAB" w:rsidRPr="00EB29B0">
        <w:rPr>
          <w:rFonts w:ascii="ITC Avant Garde" w:hAnsi="ITC Avant Garde"/>
          <w:b/>
          <w:color w:val="auto"/>
          <w:sz w:val="22"/>
          <w:szCs w:val="22"/>
        </w:rPr>
        <w:t>R</w:t>
      </w:r>
      <w:r w:rsidRPr="00EB29B0">
        <w:rPr>
          <w:rFonts w:ascii="ITC Avant Garde" w:hAnsi="ITC Avant Garde"/>
          <w:b/>
          <w:color w:val="auto"/>
          <w:sz w:val="22"/>
          <w:szCs w:val="22"/>
        </w:rPr>
        <w:t xml:space="preserve"> A CONSULTA PÚBLICA </w:t>
      </w:r>
      <w:r w:rsidR="0097205C" w:rsidRPr="00EB29B0">
        <w:rPr>
          <w:rFonts w:ascii="ITC Avant Garde" w:hAnsi="ITC Avant Garde"/>
          <w:b/>
          <w:color w:val="auto"/>
          <w:sz w:val="22"/>
          <w:szCs w:val="22"/>
        </w:rPr>
        <w:t>LAS PROPUESTAS DE OFERTAS DE REFERENCIA</w:t>
      </w:r>
      <w:r w:rsidRPr="00EB29B0">
        <w:rPr>
          <w:rFonts w:ascii="ITC Avant Garde" w:hAnsi="ITC Avant Garde"/>
          <w:b/>
          <w:color w:val="auto"/>
          <w:sz w:val="22"/>
          <w:szCs w:val="22"/>
        </w:rPr>
        <w:t xml:space="preserve"> PARA </w:t>
      </w:r>
      <w:r w:rsidR="0097205C" w:rsidRPr="00EB29B0">
        <w:rPr>
          <w:rFonts w:ascii="ITC Avant Garde" w:hAnsi="ITC Avant Garde"/>
          <w:b/>
          <w:color w:val="auto"/>
          <w:sz w:val="22"/>
          <w:szCs w:val="22"/>
        </w:rPr>
        <w:t xml:space="preserve">LA PRESTACIÓN DE </w:t>
      </w:r>
      <w:r w:rsidRPr="00EB29B0">
        <w:rPr>
          <w:rFonts w:ascii="ITC Avant Garde" w:hAnsi="ITC Avant Garde"/>
          <w:b/>
          <w:color w:val="auto"/>
          <w:sz w:val="22"/>
          <w:szCs w:val="22"/>
        </w:rPr>
        <w:t>LOS SERVICIOS MAYORISTA</w:t>
      </w:r>
      <w:r w:rsidR="000A4626" w:rsidRPr="00EB29B0">
        <w:rPr>
          <w:rFonts w:ascii="ITC Avant Garde" w:hAnsi="ITC Avant Garde"/>
          <w:b/>
          <w:color w:val="auto"/>
          <w:sz w:val="22"/>
          <w:szCs w:val="22"/>
        </w:rPr>
        <w:t>S</w:t>
      </w:r>
      <w:r w:rsidRPr="00EB29B0">
        <w:rPr>
          <w:rFonts w:ascii="ITC Avant Garde" w:hAnsi="ITC Avant Garde"/>
          <w:b/>
          <w:color w:val="auto"/>
          <w:sz w:val="22"/>
          <w:szCs w:val="22"/>
        </w:rPr>
        <w:t xml:space="preserve"> DE USUARIO VISITANTE</w:t>
      </w:r>
      <w:r w:rsidR="005D3703" w:rsidRPr="00EB29B0">
        <w:rPr>
          <w:rFonts w:ascii="ITC Avant Garde" w:hAnsi="ITC Avant Garde"/>
          <w:b/>
          <w:color w:val="auto"/>
          <w:sz w:val="22"/>
          <w:szCs w:val="22"/>
        </w:rPr>
        <w:t>;</w:t>
      </w:r>
      <w:r w:rsidRPr="00EB29B0">
        <w:rPr>
          <w:rFonts w:ascii="ITC Avant Garde" w:hAnsi="ITC Avant Garde"/>
          <w:b/>
          <w:color w:val="auto"/>
          <w:sz w:val="22"/>
          <w:szCs w:val="22"/>
        </w:rPr>
        <w:t xml:space="preserve"> DE COMERCIALIZACIÓN O REVENTA DE SERVICIO</w:t>
      </w:r>
      <w:r w:rsidR="000A7976" w:rsidRPr="00EB29B0">
        <w:rPr>
          <w:rFonts w:ascii="ITC Avant Garde" w:hAnsi="ITC Avant Garde"/>
          <w:b/>
          <w:color w:val="auto"/>
          <w:sz w:val="22"/>
          <w:szCs w:val="22"/>
        </w:rPr>
        <w:t>S</w:t>
      </w:r>
      <w:r w:rsidR="005D3703" w:rsidRPr="00EB29B0">
        <w:rPr>
          <w:rFonts w:ascii="ITC Avant Garde" w:hAnsi="ITC Avant Garde"/>
          <w:b/>
          <w:color w:val="auto"/>
          <w:sz w:val="22"/>
          <w:szCs w:val="22"/>
        </w:rPr>
        <w:t>; DEL SERVICIO DE ACCESO Y USO COMPARTIDO DE INFRAESTRUCTURA</w:t>
      </w:r>
      <w:r w:rsidR="005E33ED">
        <w:rPr>
          <w:rFonts w:ascii="ITC Avant Garde" w:hAnsi="ITC Avant Garde"/>
          <w:b/>
          <w:color w:val="auto"/>
          <w:sz w:val="22"/>
          <w:szCs w:val="22"/>
        </w:rPr>
        <w:t>,</w:t>
      </w:r>
      <w:r w:rsidR="005D3703" w:rsidRPr="00EB29B0">
        <w:rPr>
          <w:rFonts w:ascii="ITC Avant Garde" w:hAnsi="ITC Avant Garde"/>
          <w:b/>
          <w:color w:val="auto"/>
          <w:sz w:val="22"/>
          <w:szCs w:val="22"/>
        </w:rPr>
        <w:t xml:space="preserve"> </w:t>
      </w:r>
      <w:r w:rsidR="000A7976" w:rsidRPr="00EB29B0">
        <w:rPr>
          <w:rFonts w:ascii="ITC Avant Garde" w:hAnsi="ITC Avant Garde"/>
          <w:b/>
          <w:color w:val="auto"/>
          <w:sz w:val="22"/>
          <w:szCs w:val="22"/>
        </w:rPr>
        <w:t>Y DE</w:t>
      </w:r>
      <w:r w:rsidRPr="00EB29B0">
        <w:rPr>
          <w:rFonts w:ascii="ITC Avant Garde" w:hAnsi="ITC Avant Garde"/>
          <w:b/>
          <w:color w:val="auto"/>
          <w:sz w:val="22"/>
          <w:szCs w:val="22"/>
        </w:rPr>
        <w:t xml:space="preserve"> ARRENDAMIENTO DE ENLACES DEDICADOS PRES</w:t>
      </w:r>
      <w:r w:rsidR="007276E6">
        <w:rPr>
          <w:rFonts w:ascii="ITC Avant Garde" w:hAnsi="ITC Avant Garde"/>
          <w:b/>
          <w:color w:val="auto"/>
          <w:sz w:val="22"/>
          <w:szCs w:val="22"/>
        </w:rPr>
        <w:t>EN</w:t>
      </w:r>
      <w:r w:rsidRPr="00EB29B0">
        <w:rPr>
          <w:rFonts w:ascii="ITC Avant Garde" w:hAnsi="ITC Avant Garde"/>
          <w:b/>
          <w:color w:val="auto"/>
          <w:sz w:val="22"/>
          <w:szCs w:val="22"/>
        </w:rPr>
        <w:t>TAD</w:t>
      </w:r>
      <w:r w:rsidR="007276E6">
        <w:rPr>
          <w:rFonts w:ascii="ITC Avant Garde" w:hAnsi="ITC Avant Garde"/>
          <w:b/>
          <w:color w:val="auto"/>
          <w:sz w:val="22"/>
          <w:szCs w:val="22"/>
        </w:rPr>
        <w:t>A</w:t>
      </w:r>
      <w:r w:rsidRPr="00EB29B0">
        <w:rPr>
          <w:rFonts w:ascii="ITC Avant Garde" w:hAnsi="ITC Avant Garde"/>
          <w:b/>
          <w:color w:val="auto"/>
          <w:sz w:val="22"/>
          <w:szCs w:val="22"/>
        </w:rPr>
        <w:t>S POR EL AGENTE ECONÓMICO PREPONDERANTE EN EL SECTOR DE LAS TELECOMUNICACIONES.</w:t>
      </w:r>
    </w:p>
    <w:p w14:paraId="64D29A79" w14:textId="77777777" w:rsidR="00EF5AF7" w:rsidRDefault="00EF5AF7" w:rsidP="00A33196">
      <w:pPr>
        <w:widowControl w:val="0"/>
        <w:spacing w:after="0"/>
        <w:jc w:val="both"/>
        <w:rPr>
          <w:rFonts w:ascii="ITC Avant Garde" w:eastAsia="Times New Roman" w:hAnsi="ITC Avant Garde"/>
          <w:szCs w:val="20"/>
        </w:rPr>
      </w:pPr>
    </w:p>
    <w:p w14:paraId="457742C3" w14:textId="77777777" w:rsidR="00274117" w:rsidRPr="00EB29B0" w:rsidRDefault="00274117" w:rsidP="00A33196">
      <w:pPr>
        <w:widowControl w:val="0"/>
        <w:spacing w:after="0"/>
        <w:jc w:val="both"/>
        <w:rPr>
          <w:rFonts w:ascii="ITC Avant Garde" w:eastAsia="Times New Roman" w:hAnsi="ITC Avant Garde"/>
          <w:szCs w:val="20"/>
        </w:rPr>
      </w:pPr>
    </w:p>
    <w:p w14:paraId="2AFFDBC1" w14:textId="77777777" w:rsidR="007C4BEB" w:rsidRDefault="003E0E84" w:rsidP="00A33196">
      <w:pPr>
        <w:widowControl w:val="0"/>
        <w:spacing w:after="0"/>
        <w:jc w:val="center"/>
        <w:rPr>
          <w:rFonts w:ascii="ITC Avant Garde" w:eastAsia="Times New Roman" w:hAnsi="ITC Avant Garde"/>
          <w:b/>
          <w:szCs w:val="20"/>
        </w:rPr>
      </w:pPr>
      <w:r w:rsidRPr="00EB29B0">
        <w:rPr>
          <w:rFonts w:ascii="ITC Avant Garde" w:eastAsia="Times New Roman" w:hAnsi="ITC Avant Garde"/>
          <w:b/>
          <w:szCs w:val="20"/>
        </w:rPr>
        <w:t>ANTECEDENTES</w:t>
      </w:r>
    </w:p>
    <w:p w14:paraId="2D148D9E" w14:textId="77777777" w:rsidR="009A0009" w:rsidRPr="00EB29B0" w:rsidRDefault="009A0009" w:rsidP="00A33196">
      <w:pPr>
        <w:widowControl w:val="0"/>
        <w:spacing w:after="0"/>
        <w:jc w:val="center"/>
        <w:rPr>
          <w:rFonts w:ascii="ITC Avant Garde" w:eastAsia="Times New Roman" w:hAnsi="ITC Avant Garde"/>
          <w:b/>
          <w:szCs w:val="20"/>
        </w:rPr>
      </w:pPr>
    </w:p>
    <w:p w14:paraId="0B491D17" w14:textId="77777777" w:rsidR="00274117" w:rsidRPr="00EB29B0" w:rsidRDefault="00274117" w:rsidP="00A33196">
      <w:pPr>
        <w:widowControl w:val="0"/>
        <w:spacing w:after="0"/>
        <w:jc w:val="both"/>
        <w:rPr>
          <w:rFonts w:ascii="ITC Avant Garde" w:eastAsia="Times New Roman" w:hAnsi="ITC Avant Garde"/>
        </w:rPr>
      </w:pPr>
    </w:p>
    <w:p w14:paraId="6ABDBAA7" w14:textId="18659E17" w:rsidR="007C4BEB" w:rsidRPr="00EB29B0" w:rsidRDefault="007C4BEB" w:rsidP="00A33196">
      <w:pPr>
        <w:widowControl w:val="0"/>
        <w:numPr>
          <w:ilvl w:val="0"/>
          <w:numId w:val="2"/>
        </w:numPr>
        <w:spacing w:after="0"/>
        <w:contextualSpacing/>
        <w:jc w:val="both"/>
        <w:rPr>
          <w:rFonts w:ascii="ITC Avant Garde" w:hAnsi="ITC Avant Garde"/>
        </w:rPr>
      </w:pPr>
      <w:r w:rsidRPr="00EB29B0">
        <w:rPr>
          <w:rFonts w:ascii="ITC Avant Garde" w:eastAsia="Times New Roman" w:hAnsi="ITC Avant Garde"/>
        </w:rPr>
        <w:t>El 11 de junio de 2013, se publicó en el Diario Oficial de la Federación (</w:t>
      </w:r>
      <w:r w:rsidR="0097205C" w:rsidRPr="00EB29B0">
        <w:rPr>
          <w:rFonts w:ascii="ITC Avant Garde" w:eastAsia="Times New Roman" w:hAnsi="ITC Avant Garde"/>
        </w:rPr>
        <w:t>en lo sucesivo, “</w:t>
      </w:r>
      <w:r w:rsidRPr="00EB29B0">
        <w:rPr>
          <w:rFonts w:ascii="ITC Avant Garde" w:eastAsia="Times New Roman" w:hAnsi="ITC Avant Garde"/>
        </w:rPr>
        <w:t>DOF</w:t>
      </w:r>
      <w:r w:rsidR="0097205C" w:rsidRPr="00EB29B0">
        <w:rPr>
          <w:rFonts w:ascii="ITC Avant Garde" w:eastAsia="Times New Roman" w:hAnsi="ITC Avant Garde"/>
        </w:rPr>
        <w:t>”</w:t>
      </w:r>
      <w:r w:rsidRPr="00EB29B0">
        <w:rPr>
          <w:rFonts w:ascii="ITC Avant Garde" w:eastAsia="Times New Roman" w:hAnsi="ITC Avant Garde"/>
        </w:rPr>
        <w:t>), el “</w:t>
      </w:r>
      <w:r w:rsidRPr="00EB29B0">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EB29B0">
        <w:rPr>
          <w:rFonts w:ascii="ITC Avant Garde" w:eastAsia="Times New Roman" w:hAnsi="ITC Avant Garde"/>
        </w:rPr>
        <w:t>” (</w:t>
      </w:r>
      <w:r w:rsidR="0097205C" w:rsidRPr="00EB29B0">
        <w:rPr>
          <w:rFonts w:ascii="ITC Avant Garde" w:eastAsia="Times New Roman" w:hAnsi="ITC Avant Garde"/>
        </w:rPr>
        <w:t>en lo sucesivo, “</w:t>
      </w:r>
      <w:r w:rsidRPr="00EB29B0">
        <w:rPr>
          <w:rFonts w:ascii="ITC Avant Garde" w:eastAsia="Times New Roman" w:hAnsi="ITC Avant Garde"/>
        </w:rPr>
        <w:t>Decreto</w:t>
      </w:r>
      <w:r w:rsidR="0097205C" w:rsidRPr="00EB29B0">
        <w:rPr>
          <w:rFonts w:ascii="ITC Avant Garde" w:eastAsia="Times New Roman" w:hAnsi="ITC Avant Garde"/>
        </w:rPr>
        <w:t>”</w:t>
      </w:r>
      <w:r w:rsidRPr="00EB29B0">
        <w:rPr>
          <w:rFonts w:ascii="ITC Avant Garde" w:eastAsia="Times New Roman" w:hAnsi="ITC Avant Garde"/>
        </w:rPr>
        <w:t>), mediante el cual se creó al Instituto Federal de Telecomunicaciones (</w:t>
      </w:r>
      <w:r w:rsidR="0097205C" w:rsidRPr="00EB29B0">
        <w:rPr>
          <w:rFonts w:ascii="ITC Avant Garde" w:eastAsia="Times New Roman" w:hAnsi="ITC Avant Garde"/>
        </w:rPr>
        <w:t>en lo sucesivo, “</w:t>
      </w:r>
      <w:r w:rsidRPr="00EB29B0">
        <w:rPr>
          <w:rFonts w:ascii="ITC Avant Garde" w:eastAsia="Times New Roman" w:hAnsi="ITC Avant Garde"/>
        </w:rPr>
        <w:t>Instituto</w:t>
      </w:r>
      <w:r w:rsidR="0097205C" w:rsidRPr="00EB29B0">
        <w:rPr>
          <w:rFonts w:ascii="ITC Avant Garde" w:eastAsia="Times New Roman" w:hAnsi="ITC Avant Garde"/>
        </w:rPr>
        <w:t>”</w:t>
      </w:r>
      <w:r w:rsidRPr="00EB29B0">
        <w:rPr>
          <w:rFonts w:ascii="ITC Avant Garde" w:eastAsia="Times New Roman" w:hAnsi="ITC Avant Garde"/>
        </w:rPr>
        <w:t>), como un órgano autónomo con personalidad jurídica y patrimonio propio, cuyo objeto es el desarrollo eficiente de la radiodifusión y las telecomunicaciones conforme a lo dispuesto en la propia Constitución Política de los Estados Unidos Mexicanos (</w:t>
      </w:r>
      <w:r w:rsidR="0097205C" w:rsidRPr="00EB29B0">
        <w:rPr>
          <w:rFonts w:ascii="ITC Avant Garde" w:eastAsia="Times New Roman" w:hAnsi="ITC Avant Garde"/>
        </w:rPr>
        <w:t>en lo sucesivo, “</w:t>
      </w:r>
      <w:r w:rsidRPr="00EB29B0">
        <w:rPr>
          <w:rFonts w:ascii="ITC Avant Garde" w:eastAsia="Times New Roman" w:hAnsi="ITC Avant Garde"/>
        </w:rPr>
        <w:t>Constitución</w:t>
      </w:r>
      <w:r w:rsidR="0097205C" w:rsidRPr="00EB29B0">
        <w:rPr>
          <w:rFonts w:ascii="ITC Avant Garde" w:eastAsia="Times New Roman" w:hAnsi="ITC Avant Garde"/>
        </w:rPr>
        <w:t>”</w:t>
      </w:r>
      <w:r w:rsidRPr="00EB29B0">
        <w:rPr>
          <w:rFonts w:ascii="ITC Avant Garde" w:eastAsia="Times New Roman" w:hAnsi="ITC Avant Garde"/>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BAE961A" w14:textId="77777777" w:rsidR="007C4BEB" w:rsidRDefault="007C4BEB" w:rsidP="00A33196">
      <w:pPr>
        <w:spacing w:after="0"/>
        <w:ind w:left="720"/>
        <w:contextualSpacing/>
        <w:rPr>
          <w:rFonts w:ascii="ITC Avant Garde" w:eastAsia="Times New Roman" w:hAnsi="ITC Avant Garde"/>
        </w:rPr>
      </w:pPr>
    </w:p>
    <w:p w14:paraId="43C11978" w14:textId="22B1BC6E" w:rsidR="007C4BEB" w:rsidRDefault="007C4BEB"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El 6 de marzo de 2014, el Pleno del Instituto en su V Sesión Extraordinaria, aprobó mediante Acuerdo P/IFT/EXT/060314/76 la "</w:t>
      </w:r>
      <w:r w:rsidR="00467E9D" w:rsidRPr="00EB29B0">
        <w:rPr>
          <w:rFonts w:ascii="ITC Avant Garde" w:eastAsia="Times New Roman" w:hAnsi="ITC Avant Garde"/>
          <w:i/>
        </w:rPr>
        <w:t xml:space="preserve">Resolución mediante la cual el Pleno del Instituto Federal de Telecomunicaciones determina al grupo de interés económico del que forman parte América Móvil, S.A.B. de C.V., Teléfonos de México, S.A.B. de C.V., Teléfonos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el Noroeste, S.A.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proofErr w:type="spellStart"/>
      <w:r w:rsidR="00467E9D" w:rsidRPr="00EB29B0">
        <w:rPr>
          <w:rFonts w:ascii="ITC Avant Garde" w:eastAsia="Times New Roman" w:hAnsi="ITC Avant Garde"/>
          <w:i/>
        </w:rPr>
        <w:t>Radiomóvil</w:t>
      </w:r>
      <w:proofErr w:type="spellEnd"/>
      <w:r w:rsidR="00467E9D" w:rsidRPr="00EB29B0">
        <w:rPr>
          <w:rFonts w:ascii="ITC Avant Garde" w:eastAsia="Times New Roman" w:hAnsi="ITC Avant Garde"/>
          <w:i/>
        </w:rPr>
        <w:t xml:space="preserve"> </w:t>
      </w:r>
      <w:proofErr w:type="spellStart"/>
      <w:r w:rsidR="00467E9D" w:rsidRPr="00EB29B0">
        <w:rPr>
          <w:rFonts w:ascii="ITC Avant Garde" w:eastAsia="Times New Roman" w:hAnsi="ITC Avant Garde"/>
          <w:i/>
        </w:rPr>
        <w:t>Dipsa</w:t>
      </w:r>
      <w:proofErr w:type="spellEnd"/>
      <w:r w:rsidR="00467E9D" w:rsidRPr="00EB29B0">
        <w:rPr>
          <w:rFonts w:ascii="ITC Avant Garde" w:eastAsia="Times New Roman" w:hAnsi="ITC Avant Garde"/>
          <w:i/>
        </w:rPr>
        <w:t xml:space="preserve">,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Grupo Carso,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r w:rsidR="00C644E3" w:rsidRPr="00EB29B0">
        <w:rPr>
          <w:rFonts w:ascii="ITC Avant Garde" w:eastAsia="Times New Roman" w:hAnsi="ITC Avant Garde"/>
          <w:i/>
        </w:rPr>
        <w:t>y</w:t>
      </w:r>
      <w:r w:rsidR="00467E9D" w:rsidRPr="00EB29B0">
        <w:rPr>
          <w:rFonts w:ascii="ITC Avant Garde" w:eastAsia="Times New Roman" w:hAnsi="ITC Avant Garde"/>
          <w:i/>
        </w:rPr>
        <w:t xml:space="preserve"> Grupo Financiero Inbursa,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r w:rsidR="00C644E3" w:rsidRPr="00EB29B0">
        <w:rPr>
          <w:rFonts w:ascii="ITC Avant Garde" w:eastAsia="Times New Roman" w:hAnsi="ITC Avant Garde"/>
          <w:i/>
        </w:rPr>
        <w:t>c</w:t>
      </w:r>
      <w:r w:rsidR="00467E9D" w:rsidRPr="00EB29B0">
        <w:rPr>
          <w:rFonts w:ascii="ITC Avant Garde" w:eastAsia="Times New Roman" w:hAnsi="ITC Avant Garde"/>
          <w:i/>
        </w:rPr>
        <w:t xml:space="preserve">omo Agente Económico Preponderante </w:t>
      </w:r>
      <w:r w:rsidR="00C644E3" w:rsidRPr="00EB29B0">
        <w:rPr>
          <w:rFonts w:ascii="ITC Avant Garde" w:eastAsia="Times New Roman" w:hAnsi="ITC Avant Garde"/>
          <w:i/>
        </w:rPr>
        <w:t>en el sector de telecomunicaciones y le impone l</w:t>
      </w:r>
      <w:r w:rsidR="00467E9D" w:rsidRPr="00EB29B0">
        <w:rPr>
          <w:rFonts w:ascii="ITC Avant Garde" w:eastAsia="Times New Roman" w:hAnsi="ITC Avant Garde"/>
          <w:i/>
        </w:rPr>
        <w:t xml:space="preserve">as Medidas </w:t>
      </w:r>
      <w:r w:rsidR="00C644E3" w:rsidRPr="00EB29B0">
        <w:rPr>
          <w:rFonts w:ascii="ITC Avant Garde" w:eastAsia="Times New Roman" w:hAnsi="ITC Avant Garde"/>
          <w:i/>
        </w:rPr>
        <w:t>necesarias para evitar que se afecte la competencia y la libre concurrencia</w:t>
      </w:r>
      <w:r w:rsidRPr="00EB29B0">
        <w:rPr>
          <w:rFonts w:ascii="ITC Avant Garde" w:eastAsia="Times New Roman" w:hAnsi="ITC Avant Garde"/>
        </w:rPr>
        <w:t>." (</w:t>
      </w:r>
      <w:r w:rsidR="0097205C" w:rsidRPr="00EB29B0">
        <w:rPr>
          <w:rFonts w:ascii="ITC Avant Garde" w:eastAsia="Times New Roman" w:hAnsi="ITC Avant Garde"/>
        </w:rPr>
        <w:t>en lo sucesivo, “</w:t>
      </w:r>
      <w:r w:rsidRPr="00EB29B0">
        <w:rPr>
          <w:rFonts w:ascii="ITC Avant Garde" w:eastAsia="Times New Roman" w:hAnsi="ITC Avant Garde"/>
        </w:rPr>
        <w:t>Resolución AEP</w:t>
      </w:r>
      <w:r w:rsidR="0097205C" w:rsidRPr="00EB29B0">
        <w:rPr>
          <w:rFonts w:ascii="ITC Avant Garde" w:eastAsia="Times New Roman" w:hAnsi="ITC Avant Garde"/>
        </w:rPr>
        <w:t>”</w:t>
      </w:r>
      <w:r w:rsidRPr="00EB29B0">
        <w:rPr>
          <w:rFonts w:ascii="ITC Avant Garde" w:eastAsia="Times New Roman" w:hAnsi="ITC Avant Garde"/>
        </w:rPr>
        <w:t>).</w:t>
      </w:r>
    </w:p>
    <w:p w14:paraId="1880AF9C" w14:textId="77777777" w:rsidR="001200FA" w:rsidRDefault="001200FA" w:rsidP="00274117">
      <w:pPr>
        <w:pStyle w:val="Prrafodelista"/>
        <w:spacing w:after="0" w:line="240" w:lineRule="auto"/>
        <w:rPr>
          <w:rFonts w:ascii="ITC Avant Garde" w:eastAsia="Times New Roman" w:hAnsi="ITC Avant Garde"/>
        </w:rPr>
      </w:pPr>
    </w:p>
    <w:p w14:paraId="0889ABF0" w14:textId="77777777" w:rsidR="009A0009" w:rsidRDefault="009A0009" w:rsidP="00274117">
      <w:pPr>
        <w:pStyle w:val="Prrafodelista"/>
        <w:spacing w:after="0" w:line="240" w:lineRule="auto"/>
        <w:rPr>
          <w:rFonts w:ascii="ITC Avant Garde" w:eastAsia="Times New Roman" w:hAnsi="ITC Avant Garde"/>
        </w:rPr>
      </w:pPr>
    </w:p>
    <w:p w14:paraId="71C9D873" w14:textId="77777777" w:rsidR="007C4BEB" w:rsidRPr="00EB29B0" w:rsidRDefault="007C4BEB"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lastRenderedPageBreak/>
        <w:t xml:space="preserve">En la Resolución AEP el Pleno del Instituto emitió el Anexo 1 denominado </w:t>
      </w:r>
      <w:r w:rsidR="00C644E3" w:rsidRPr="00EB29B0">
        <w:rPr>
          <w:rFonts w:ascii="ITC Avant Garde" w:eastAsia="Times New Roman" w:hAnsi="ITC Avant Garde"/>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EB29B0">
        <w:rPr>
          <w:rFonts w:ascii="ITC Avant Garde" w:eastAsia="Times New Roman" w:hAnsi="ITC Avant Garde"/>
        </w:rPr>
        <w:t>” (</w:t>
      </w:r>
      <w:r w:rsidR="000B58C5" w:rsidRPr="00EB29B0">
        <w:rPr>
          <w:rFonts w:ascii="ITC Avant Garde" w:eastAsia="Times New Roman" w:hAnsi="ITC Avant Garde"/>
        </w:rPr>
        <w:t>en lo sucesivo, “Anexo 1”</w:t>
      </w:r>
      <w:r w:rsidRPr="00EB29B0">
        <w:rPr>
          <w:rFonts w:ascii="ITC Avant Garde" w:eastAsia="Times New Roman" w:hAnsi="ITC Avant Garde"/>
        </w:rPr>
        <w:t>).</w:t>
      </w:r>
    </w:p>
    <w:p w14:paraId="6781B51A" w14:textId="77777777" w:rsidR="007C4BEB" w:rsidRPr="00EB29B0" w:rsidRDefault="007C4BEB" w:rsidP="00A33196">
      <w:pPr>
        <w:widowControl w:val="0"/>
        <w:spacing w:after="0"/>
        <w:ind w:left="1080"/>
        <w:contextualSpacing/>
        <w:jc w:val="both"/>
        <w:rPr>
          <w:rFonts w:ascii="ITC Avant Garde" w:eastAsia="Times New Roman" w:hAnsi="ITC Avant Garde"/>
        </w:rPr>
      </w:pPr>
    </w:p>
    <w:p w14:paraId="760D9410" w14:textId="77777777" w:rsidR="007C4BEB" w:rsidRPr="00EB29B0" w:rsidRDefault="007C4BEB"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Asimi</w:t>
      </w:r>
      <w:r w:rsidR="00A33196" w:rsidRPr="00EB29B0">
        <w:rPr>
          <w:rFonts w:ascii="ITC Avant Garde" w:eastAsia="Times New Roman" w:hAnsi="ITC Avant Garde"/>
        </w:rPr>
        <w:t>smo, la Resolución AEP contiene</w:t>
      </w:r>
      <w:r w:rsidRPr="00EB29B0">
        <w:rPr>
          <w:rFonts w:ascii="ITC Avant Garde" w:eastAsia="Times New Roman" w:hAnsi="ITC Avant Garde"/>
        </w:rPr>
        <w:t xml:space="preserve"> el Anexo 2 denominado “</w:t>
      </w:r>
      <w:r w:rsidR="00C644E3" w:rsidRPr="00EB29B0">
        <w:rPr>
          <w:rFonts w:ascii="ITC Avant Garde" w:eastAsia="Times New Roman" w:hAnsi="ITC Avant Garde"/>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EB29B0">
        <w:rPr>
          <w:rFonts w:ascii="ITC Avant Garde" w:eastAsia="Times New Roman" w:hAnsi="ITC Avant Garde"/>
        </w:rPr>
        <w:t>” (</w:t>
      </w:r>
      <w:r w:rsidR="000B58C5" w:rsidRPr="00EB29B0">
        <w:rPr>
          <w:rFonts w:ascii="ITC Avant Garde" w:eastAsia="Times New Roman" w:hAnsi="ITC Avant Garde"/>
        </w:rPr>
        <w:t>en lo sucesivo, “Anexo 2”</w:t>
      </w:r>
      <w:r w:rsidRPr="00EB29B0">
        <w:rPr>
          <w:rFonts w:ascii="ITC Avant Garde" w:eastAsia="Times New Roman" w:hAnsi="ITC Avant Garde"/>
        </w:rPr>
        <w:t>).</w:t>
      </w:r>
    </w:p>
    <w:p w14:paraId="01F6200E" w14:textId="77777777" w:rsidR="007C4BEB" w:rsidRPr="00EB29B0" w:rsidRDefault="007C4BEB" w:rsidP="00A33196">
      <w:pPr>
        <w:widowControl w:val="0"/>
        <w:spacing w:after="0"/>
        <w:ind w:left="1080"/>
        <w:contextualSpacing/>
        <w:jc w:val="both"/>
        <w:rPr>
          <w:rFonts w:ascii="ITC Avant Garde" w:eastAsia="Times New Roman" w:hAnsi="ITC Avant Garde"/>
        </w:rPr>
      </w:pPr>
    </w:p>
    <w:p w14:paraId="687BD671" w14:textId="6FD3432B" w:rsidR="0083122A" w:rsidRPr="00EB29B0" w:rsidRDefault="007C4BEB" w:rsidP="00BB01CA">
      <w:pPr>
        <w:pStyle w:val="Prrafodelista"/>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rPr>
        <w:t>El 14 de julio de 2014, se publicó en el DOF el “</w:t>
      </w:r>
      <w:r w:rsidRPr="00EB29B0">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EB29B0">
        <w:rPr>
          <w:rFonts w:ascii="ITC Avant Garde" w:eastAsia="Times New Roman" w:hAnsi="ITC Avant Garde"/>
          <w:sz w:val="22"/>
          <w:szCs w:val="22"/>
        </w:rPr>
        <w:t>(</w:t>
      </w:r>
      <w:r w:rsidR="000B58C5" w:rsidRPr="00EB29B0">
        <w:rPr>
          <w:rFonts w:ascii="ITC Avant Garde" w:eastAsia="Times New Roman" w:hAnsi="ITC Avant Garde"/>
          <w:sz w:val="22"/>
          <w:szCs w:val="22"/>
        </w:rPr>
        <w:t>en lo sucesivo,</w:t>
      </w:r>
      <w:r w:rsidR="00FF11FF">
        <w:rPr>
          <w:rFonts w:ascii="ITC Avant Garde" w:eastAsia="Times New Roman" w:hAnsi="ITC Avant Garde"/>
          <w:sz w:val="22"/>
          <w:szCs w:val="22"/>
          <w:lang w:val="es-MX"/>
        </w:rPr>
        <w:t xml:space="preserve"> </w:t>
      </w:r>
      <w:r w:rsidR="000B58C5" w:rsidRPr="00EB29B0">
        <w:rPr>
          <w:rFonts w:ascii="ITC Avant Garde" w:eastAsia="Times New Roman" w:hAnsi="ITC Avant Garde"/>
          <w:sz w:val="22"/>
          <w:szCs w:val="22"/>
        </w:rPr>
        <w:t>“</w:t>
      </w:r>
      <w:r w:rsidRPr="00EB29B0">
        <w:rPr>
          <w:rFonts w:ascii="ITC Avant Garde" w:eastAsia="Times New Roman" w:hAnsi="ITC Avant Garde"/>
          <w:sz w:val="22"/>
          <w:szCs w:val="22"/>
        </w:rPr>
        <w:t>Decreto de Ley</w:t>
      </w:r>
      <w:r w:rsidR="000B58C5" w:rsidRPr="00EB29B0">
        <w:rPr>
          <w:rFonts w:ascii="ITC Avant Garde" w:eastAsia="Times New Roman" w:hAnsi="ITC Avant Garde"/>
          <w:sz w:val="22"/>
          <w:szCs w:val="22"/>
        </w:rPr>
        <w:t>”</w:t>
      </w:r>
      <w:r w:rsidRPr="00EB29B0">
        <w:rPr>
          <w:rFonts w:ascii="ITC Avant Garde" w:eastAsia="Times New Roman" w:hAnsi="ITC Avant Garde"/>
          <w:sz w:val="22"/>
          <w:szCs w:val="22"/>
        </w:rPr>
        <w:t>), entrando en vigor la Ley Federal de Telecomunicaciones y Radiodifusión (</w:t>
      </w:r>
      <w:r w:rsidR="000B58C5" w:rsidRPr="00EB29B0">
        <w:rPr>
          <w:rFonts w:ascii="ITC Avant Garde" w:eastAsia="Times New Roman" w:hAnsi="ITC Avant Garde"/>
          <w:sz w:val="22"/>
          <w:szCs w:val="22"/>
        </w:rPr>
        <w:t>en lo sucesivo, “LFTR”</w:t>
      </w:r>
      <w:r w:rsidRPr="00EB29B0">
        <w:rPr>
          <w:rFonts w:ascii="ITC Avant Garde" w:eastAsia="Times New Roman" w:hAnsi="ITC Avant Garde"/>
          <w:sz w:val="22"/>
          <w:szCs w:val="22"/>
        </w:rPr>
        <w:t>) el 13 de agosto del 2014</w:t>
      </w:r>
      <w:r w:rsidR="0083122A" w:rsidRPr="00EB29B0">
        <w:rPr>
          <w:rFonts w:ascii="ITC Avant Garde" w:eastAsia="Times New Roman" w:hAnsi="ITC Avant Garde"/>
          <w:sz w:val="22"/>
          <w:szCs w:val="22"/>
        </w:rPr>
        <w:t xml:space="preserve">, </w:t>
      </w:r>
      <w:r w:rsidR="0083122A" w:rsidRPr="00EB29B0">
        <w:rPr>
          <w:rFonts w:ascii="ITC Avant Garde" w:eastAsia="Times New Roman" w:hAnsi="ITC Avant Garde"/>
          <w:sz w:val="22"/>
          <w:szCs w:val="22"/>
          <w:lang w:val="es-MX" w:eastAsia="en-US"/>
        </w:rPr>
        <w:t xml:space="preserve">cuya última reforma fue publicada en el DOF el </w:t>
      </w:r>
      <w:r w:rsidR="007276E6">
        <w:rPr>
          <w:rFonts w:ascii="ITC Avant Garde" w:eastAsia="Times New Roman" w:hAnsi="ITC Avant Garde"/>
          <w:sz w:val="22"/>
          <w:szCs w:val="22"/>
          <w:lang w:val="es-MX" w:eastAsia="en-US"/>
        </w:rPr>
        <w:t>15</w:t>
      </w:r>
      <w:r w:rsidR="007276E6" w:rsidRPr="00EB29B0">
        <w:rPr>
          <w:rFonts w:ascii="ITC Avant Garde" w:eastAsia="Times New Roman" w:hAnsi="ITC Avant Garde"/>
          <w:sz w:val="22"/>
          <w:szCs w:val="22"/>
          <w:lang w:val="es-MX" w:eastAsia="en-US"/>
        </w:rPr>
        <w:t xml:space="preserve"> de </w:t>
      </w:r>
      <w:r w:rsidR="007276E6">
        <w:rPr>
          <w:rFonts w:ascii="ITC Avant Garde" w:eastAsia="Times New Roman" w:hAnsi="ITC Avant Garde"/>
          <w:sz w:val="22"/>
          <w:szCs w:val="22"/>
          <w:lang w:val="es-MX" w:eastAsia="en-US"/>
        </w:rPr>
        <w:t>junio</w:t>
      </w:r>
      <w:r w:rsidR="007276E6" w:rsidRPr="00EB29B0">
        <w:rPr>
          <w:rFonts w:ascii="ITC Avant Garde" w:eastAsia="Times New Roman" w:hAnsi="ITC Avant Garde"/>
          <w:sz w:val="22"/>
          <w:szCs w:val="22"/>
          <w:lang w:val="es-MX" w:eastAsia="en-US"/>
        </w:rPr>
        <w:t xml:space="preserve"> de 201</w:t>
      </w:r>
      <w:r w:rsidR="007276E6">
        <w:rPr>
          <w:rFonts w:ascii="ITC Avant Garde" w:eastAsia="Times New Roman" w:hAnsi="ITC Avant Garde"/>
          <w:sz w:val="22"/>
          <w:szCs w:val="22"/>
          <w:lang w:val="es-MX" w:eastAsia="en-US"/>
        </w:rPr>
        <w:t>8</w:t>
      </w:r>
      <w:r w:rsidR="0083122A" w:rsidRPr="00EB29B0">
        <w:rPr>
          <w:rFonts w:ascii="ITC Avant Garde" w:eastAsia="Times New Roman" w:hAnsi="ITC Avant Garde"/>
          <w:sz w:val="22"/>
          <w:szCs w:val="22"/>
          <w:lang w:val="es-MX" w:eastAsia="en-US"/>
        </w:rPr>
        <w:t>.</w:t>
      </w:r>
    </w:p>
    <w:p w14:paraId="5A385E79" w14:textId="4D442D6B" w:rsidR="007C4BEB" w:rsidRPr="00EB29B0" w:rsidRDefault="007C4BEB" w:rsidP="0083122A">
      <w:pPr>
        <w:widowControl w:val="0"/>
        <w:spacing w:after="0"/>
        <w:ind w:left="1080"/>
        <w:contextualSpacing/>
        <w:jc w:val="both"/>
        <w:rPr>
          <w:rFonts w:ascii="ITC Avant Garde" w:eastAsia="Times New Roman" w:hAnsi="ITC Avant Garde"/>
        </w:rPr>
      </w:pPr>
    </w:p>
    <w:p w14:paraId="75834D05" w14:textId="2C5480AE" w:rsidR="00BB01CA" w:rsidRPr="007276E6" w:rsidRDefault="0095084C" w:rsidP="00BB01CA">
      <w:pPr>
        <w:pStyle w:val="Prrafodelista"/>
        <w:numPr>
          <w:ilvl w:val="0"/>
          <w:numId w:val="2"/>
        </w:numPr>
        <w:spacing w:after="0"/>
        <w:jc w:val="both"/>
        <w:rPr>
          <w:rFonts w:ascii="ITC Avant Garde" w:hAnsi="ITC Avant Garde" w:cs="Arial"/>
          <w:sz w:val="22"/>
          <w:szCs w:val="22"/>
          <w:lang w:eastAsia="es-ES"/>
        </w:rPr>
      </w:pPr>
      <w:r w:rsidRPr="00EB29B0">
        <w:rPr>
          <w:rFonts w:ascii="ITC Avant Garde" w:hAnsi="ITC Avant Garde" w:cs="Arial"/>
          <w:sz w:val="22"/>
          <w:szCs w:val="22"/>
          <w:lang w:eastAsia="es-ES"/>
        </w:rPr>
        <w:t>El 4 de septiembre de 2014 se publicó en el DOF el “</w:t>
      </w:r>
      <w:r w:rsidRPr="00EB29B0">
        <w:rPr>
          <w:rFonts w:ascii="ITC Avant Garde" w:hAnsi="ITC Avant Garde" w:cs="Arial"/>
          <w:i/>
          <w:sz w:val="22"/>
          <w:szCs w:val="22"/>
          <w:lang w:eastAsia="es-ES"/>
        </w:rPr>
        <w:t>ESTATUTO Orgánico del Instituto Federal de Telecomunicaciones”</w:t>
      </w:r>
      <w:r w:rsidRPr="00EB29B0">
        <w:rPr>
          <w:rFonts w:ascii="ITC Avant Garde" w:hAnsi="ITC Avant Garde" w:cs="Arial"/>
          <w:sz w:val="22"/>
          <w:szCs w:val="22"/>
          <w:lang w:eastAsia="es-ES"/>
        </w:rPr>
        <w:t xml:space="preserve">, mismo que entró en vigor el 26 de septiembre de 2014, </w:t>
      </w:r>
      <w:r w:rsidR="00BB01CA" w:rsidRPr="007276E6">
        <w:rPr>
          <w:rFonts w:ascii="ITC Avant Garde" w:hAnsi="ITC Avant Garde" w:cs="Arial"/>
          <w:sz w:val="22"/>
          <w:szCs w:val="22"/>
          <w:lang w:eastAsia="es-ES"/>
        </w:rPr>
        <w:t>cuya última modific</w:t>
      </w:r>
      <w:r w:rsidR="00C27174">
        <w:rPr>
          <w:rFonts w:ascii="ITC Avant Garde" w:hAnsi="ITC Avant Garde" w:cs="Arial"/>
          <w:sz w:val="22"/>
          <w:szCs w:val="22"/>
          <w:lang w:eastAsia="es-ES"/>
        </w:rPr>
        <w:t>ación fue publicada en el DOF 13</w:t>
      </w:r>
      <w:r w:rsidR="00BB01CA" w:rsidRPr="007276E6">
        <w:rPr>
          <w:rFonts w:ascii="ITC Avant Garde" w:hAnsi="ITC Avant Garde" w:cs="Arial"/>
          <w:sz w:val="22"/>
          <w:szCs w:val="22"/>
          <w:lang w:eastAsia="es-ES"/>
        </w:rPr>
        <w:t xml:space="preserve"> de julio de 201</w:t>
      </w:r>
      <w:r w:rsidR="00C27174">
        <w:rPr>
          <w:rFonts w:ascii="ITC Avant Garde" w:hAnsi="ITC Avant Garde" w:cs="Arial"/>
          <w:sz w:val="22"/>
          <w:szCs w:val="22"/>
          <w:lang w:val="es-MX" w:eastAsia="es-ES"/>
        </w:rPr>
        <w:t>8</w:t>
      </w:r>
      <w:r w:rsidR="00BB01CA" w:rsidRPr="007276E6">
        <w:rPr>
          <w:rFonts w:ascii="ITC Avant Garde" w:hAnsi="ITC Avant Garde" w:cs="Arial"/>
          <w:sz w:val="22"/>
          <w:szCs w:val="22"/>
          <w:lang w:eastAsia="es-ES"/>
        </w:rPr>
        <w:t>.</w:t>
      </w:r>
    </w:p>
    <w:p w14:paraId="002F6C98" w14:textId="77777777" w:rsidR="0095084C" w:rsidRPr="00EB29B0" w:rsidRDefault="0095084C" w:rsidP="000D3CF9">
      <w:pPr>
        <w:widowControl w:val="0"/>
        <w:spacing w:after="0"/>
        <w:ind w:left="1080"/>
        <w:contextualSpacing/>
        <w:jc w:val="both"/>
        <w:rPr>
          <w:rFonts w:ascii="ITC Avant Garde" w:eastAsia="Times New Roman" w:hAnsi="ITC Avant Garde"/>
        </w:rPr>
      </w:pPr>
    </w:p>
    <w:p w14:paraId="3665B353" w14:textId="7D2F0EC5" w:rsidR="00766C39" w:rsidRPr="00EB29B0" w:rsidRDefault="00766C39"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 xml:space="preserve">El 27 de febrero de 2017 el Pleno del Instituto, en su IV Sesión Extraordinaria aprobó </w:t>
      </w:r>
      <w:r w:rsidR="000B58C5" w:rsidRPr="00EB29B0">
        <w:rPr>
          <w:rFonts w:ascii="ITC Avant Garde" w:eastAsia="Times New Roman" w:hAnsi="ITC Avant Garde"/>
        </w:rPr>
        <w:t xml:space="preserve">mediante Acuerdo P/IFT/EXT/270217/119 </w:t>
      </w:r>
      <w:r w:rsidRPr="00EB29B0">
        <w:rPr>
          <w:rFonts w:ascii="ITC Avant Garde" w:eastAsia="Times New Roman" w:hAnsi="ITC Avant Garde"/>
        </w:rPr>
        <w:t>la “</w:t>
      </w:r>
      <w:r w:rsidR="00CA25BB" w:rsidRPr="00EB29B0">
        <w:rPr>
          <w:rFonts w:ascii="ITC Avant Garde" w:eastAsia="Times New Roman" w:hAnsi="ITC Avant Garde"/>
          <w:i/>
        </w:rPr>
        <w:t xml:space="preserve">Resolución mediante la cual el Pleno del Instituto Federal de Telecomunicaciones suprime, modifica y adiciona las Medidas impuestas al Agente Económico Preponderante en el sector de telecomunicaciones mediante Resolución de fecha 6 de marzo de 2014, aprobada mediante Acuerdo </w:t>
      </w:r>
      <w:r w:rsidR="000B58C5" w:rsidRPr="00EB29B0">
        <w:rPr>
          <w:rFonts w:ascii="ITC Avant Garde" w:eastAsia="Times New Roman" w:hAnsi="ITC Avant Garde"/>
          <w:i/>
        </w:rPr>
        <w:t>P/IFT/EXT/060314/7</w:t>
      </w:r>
      <w:r w:rsidR="007276E6">
        <w:rPr>
          <w:rFonts w:ascii="ITC Avant Garde" w:eastAsia="Times New Roman" w:hAnsi="ITC Avant Garde"/>
          <w:i/>
        </w:rPr>
        <w:t>6</w:t>
      </w:r>
      <w:r w:rsidR="000B58C5" w:rsidRPr="00EB29B0">
        <w:rPr>
          <w:rFonts w:ascii="ITC Avant Garde" w:eastAsia="Times New Roman" w:hAnsi="ITC Avant Garde"/>
          <w:i/>
        </w:rPr>
        <w:t>”</w:t>
      </w:r>
      <w:r w:rsidRPr="00EB29B0">
        <w:rPr>
          <w:rFonts w:ascii="ITC Avant Garde" w:eastAsia="Times New Roman" w:hAnsi="ITC Avant Garde"/>
        </w:rPr>
        <w:t xml:space="preserve"> (en lo sucesivo, “Re</w:t>
      </w:r>
      <w:r w:rsidR="00DE6247">
        <w:rPr>
          <w:rFonts w:ascii="ITC Avant Garde" w:eastAsia="Times New Roman" w:hAnsi="ITC Avant Garde"/>
        </w:rPr>
        <w:t>solución</w:t>
      </w:r>
      <w:r w:rsidRPr="00EB29B0">
        <w:rPr>
          <w:rFonts w:ascii="ITC Avant Garde" w:eastAsia="Times New Roman" w:hAnsi="ITC Avant Garde"/>
        </w:rPr>
        <w:t xml:space="preserve"> </w:t>
      </w:r>
      <w:r w:rsidR="00A33196" w:rsidRPr="00EB29B0">
        <w:rPr>
          <w:rFonts w:ascii="ITC Avant Garde" w:eastAsia="Times New Roman" w:hAnsi="ITC Avant Garde"/>
        </w:rPr>
        <w:t>Bienal</w:t>
      </w:r>
      <w:r w:rsidRPr="00EB29B0">
        <w:rPr>
          <w:rFonts w:ascii="ITC Avant Garde" w:eastAsia="Times New Roman" w:hAnsi="ITC Avant Garde"/>
        </w:rPr>
        <w:t>”).</w:t>
      </w:r>
    </w:p>
    <w:p w14:paraId="47B4D7F9" w14:textId="77777777" w:rsidR="00BB01CA" w:rsidRDefault="00BB01CA" w:rsidP="00A33196">
      <w:pPr>
        <w:widowControl w:val="0"/>
        <w:spacing w:after="0"/>
        <w:ind w:left="1080"/>
        <w:contextualSpacing/>
        <w:jc w:val="both"/>
        <w:rPr>
          <w:rFonts w:ascii="ITC Avant Garde" w:eastAsia="Times New Roman" w:hAnsi="ITC Avant Garde"/>
        </w:rPr>
      </w:pPr>
    </w:p>
    <w:p w14:paraId="2495B8E2" w14:textId="77777777" w:rsidR="009A0009" w:rsidRDefault="009A0009" w:rsidP="00A33196">
      <w:pPr>
        <w:widowControl w:val="0"/>
        <w:spacing w:after="0"/>
        <w:ind w:left="1080"/>
        <w:contextualSpacing/>
        <w:jc w:val="both"/>
        <w:rPr>
          <w:rFonts w:ascii="ITC Avant Garde" w:eastAsia="Times New Roman" w:hAnsi="ITC Avant Garde"/>
        </w:rPr>
      </w:pPr>
    </w:p>
    <w:p w14:paraId="09FFD9F1" w14:textId="1ECFDEBC" w:rsidR="000B58C5" w:rsidRPr="00EB29B0" w:rsidRDefault="008471A1"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lastRenderedPageBreak/>
        <w:t>En la Resolución Bienal, e</w:t>
      </w:r>
      <w:r w:rsidR="000B58C5" w:rsidRPr="00EB29B0">
        <w:rPr>
          <w:rFonts w:ascii="ITC Avant Garde" w:eastAsia="Times New Roman" w:hAnsi="ITC Avant Garde"/>
        </w:rPr>
        <w:t xml:space="preserve">l Pleno del Instituto emitió el Anexo 1 en el que se modifican las </w:t>
      </w:r>
      <w:r w:rsidR="005753EC" w:rsidRPr="00EB29B0">
        <w:rPr>
          <w:rFonts w:ascii="ITC Avant Garde" w:eastAsia="Times New Roman" w:hAnsi="ITC Avant Garde"/>
        </w:rPr>
        <w:t>M</w:t>
      </w:r>
      <w:r w:rsidR="000B58C5" w:rsidRPr="00EB29B0">
        <w:rPr>
          <w:rFonts w:ascii="ITC Avant Garde" w:eastAsia="Times New Roman" w:hAnsi="ITC Avant Garde"/>
        </w:rPr>
        <w:t xml:space="preserve">edidas </w:t>
      </w:r>
      <w:r w:rsidR="00C54156" w:rsidRPr="00EB29B0">
        <w:rPr>
          <w:rFonts w:ascii="ITC Avant Garde" w:eastAsia="Times New Roman" w:hAnsi="ITC Avant Garde"/>
        </w:rPr>
        <w:t xml:space="preserve">Tercera, primer párrafo, incisos 5), 13), 30), 31) y último párrafo, Quinta, Sexta, Octava, Undécima, Duodécima, Decimoquinta, </w:t>
      </w:r>
      <w:r w:rsidR="00D62EFF" w:rsidRPr="00EB29B0">
        <w:rPr>
          <w:rFonts w:ascii="ITC Avant Garde" w:eastAsia="Times New Roman" w:hAnsi="ITC Avant Garde"/>
        </w:rPr>
        <w:t>primer párrafo</w:t>
      </w:r>
      <w:r w:rsidR="00C54156" w:rsidRPr="00EB29B0">
        <w:rPr>
          <w:rFonts w:ascii="ITC Avant Garde" w:eastAsia="Times New Roman" w:hAnsi="ITC Avant Garde"/>
        </w:rPr>
        <w:t>,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w:t>
      </w:r>
      <w:r w:rsidR="000B58C5" w:rsidRPr="00EB29B0">
        <w:rPr>
          <w:rFonts w:ascii="ITC Avant Garde" w:eastAsia="Times New Roman" w:hAnsi="ITC Avant Garde"/>
        </w:rPr>
        <w:t xml:space="preserve"> incisos 3), 10), 11), 12), 18) y 29) y </w:t>
      </w:r>
      <w:r w:rsidR="00C54156" w:rsidRPr="00EB29B0">
        <w:rPr>
          <w:rFonts w:ascii="ITC Avant Garde" w:eastAsia="Times New Roman" w:hAnsi="ITC Avant Garde"/>
        </w:rPr>
        <w:t xml:space="preserve">Sexagésima Tercera </w:t>
      </w:r>
      <w:r w:rsidR="000B58C5" w:rsidRPr="00EB29B0">
        <w:rPr>
          <w:rFonts w:ascii="ITC Avant Garde" w:eastAsia="Times New Roman" w:hAnsi="ITC Avant Garde"/>
        </w:rPr>
        <w:t>del Anexo 1 de la Resolución AEP.</w:t>
      </w:r>
    </w:p>
    <w:p w14:paraId="3758AB1F" w14:textId="77777777" w:rsidR="000B58C5" w:rsidRPr="00EB29B0" w:rsidRDefault="000B58C5" w:rsidP="00A33196">
      <w:pPr>
        <w:widowControl w:val="0"/>
        <w:spacing w:after="0"/>
        <w:ind w:left="1080"/>
        <w:contextualSpacing/>
        <w:jc w:val="both"/>
        <w:rPr>
          <w:rFonts w:ascii="ITC Avant Garde" w:eastAsia="Times New Roman" w:hAnsi="ITC Avant Garde"/>
        </w:rPr>
      </w:pPr>
    </w:p>
    <w:p w14:paraId="5FA9A36B" w14:textId="77777777" w:rsidR="00190B27" w:rsidRPr="00EB29B0" w:rsidRDefault="000B58C5"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w:t>
      </w:r>
      <w:r w:rsidR="005753EC" w:rsidRPr="00EB29B0">
        <w:rPr>
          <w:rFonts w:ascii="ITC Avant Garde" w:eastAsia="Times New Roman" w:hAnsi="ITC Avant Garde"/>
        </w:rPr>
        <w:t>l</w:t>
      </w:r>
      <w:r w:rsidRPr="00EB29B0">
        <w:rPr>
          <w:rFonts w:ascii="ITC Avant Garde" w:eastAsia="Times New Roman" w:hAnsi="ITC Avant Garde"/>
        </w:rPr>
        <w:t xml:space="preserve"> presente </w:t>
      </w:r>
      <w:r w:rsidR="005753EC" w:rsidRPr="00EB29B0">
        <w:rPr>
          <w:rFonts w:ascii="ITC Avant Garde" w:eastAsia="Times New Roman" w:hAnsi="ITC Avant Garde"/>
        </w:rPr>
        <w:t>Acuerdo</w:t>
      </w:r>
      <w:r w:rsidRPr="00EB29B0">
        <w:rPr>
          <w:rFonts w:ascii="ITC Avant Garde" w:eastAsia="Times New Roman" w:hAnsi="ITC Avant Garde"/>
        </w:rPr>
        <w:t xml:space="preserve"> se le denominará de manera integral “Medidas Móviles” a las emitidas como parte del Anexo 1 de la Resolución AEP, así como a las modificaciones realizadas como parte del Anexo 1 de la Resolución Bienal.</w:t>
      </w:r>
    </w:p>
    <w:p w14:paraId="09EF33F0" w14:textId="77777777" w:rsidR="000B58C5" w:rsidRPr="00EB29B0" w:rsidRDefault="000B58C5" w:rsidP="00A33196">
      <w:pPr>
        <w:widowControl w:val="0"/>
        <w:spacing w:after="0"/>
        <w:ind w:left="1080"/>
        <w:contextualSpacing/>
        <w:jc w:val="both"/>
        <w:rPr>
          <w:rFonts w:ascii="ITC Avant Garde" w:eastAsia="Times New Roman" w:hAnsi="ITC Avant Garde"/>
          <w:lang w:val="x-none"/>
        </w:rPr>
      </w:pPr>
    </w:p>
    <w:p w14:paraId="38A83F87" w14:textId="27A09103" w:rsidR="005753EC" w:rsidRPr="00EB29B0" w:rsidRDefault="00190B27"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Asimismo, </w:t>
      </w:r>
      <w:r w:rsidR="005753EC" w:rsidRPr="00EB29B0">
        <w:rPr>
          <w:rFonts w:ascii="ITC Avant Garde" w:eastAsia="Times New Roman" w:hAnsi="ITC Avant Garde"/>
        </w:rPr>
        <w:t>en la Resolución Bienal</w:t>
      </w:r>
      <w:r w:rsidR="008471A1" w:rsidRPr="00EB29B0">
        <w:rPr>
          <w:rFonts w:ascii="ITC Avant Garde" w:eastAsia="Times New Roman" w:hAnsi="ITC Avant Garde"/>
        </w:rPr>
        <w:t>,</w:t>
      </w:r>
      <w:r w:rsidR="005753EC" w:rsidRPr="00EB29B0">
        <w:rPr>
          <w:rFonts w:ascii="ITC Avant Garde" w:eastAsia="Times New Roman" w:hAnsi="ITC Avant Garde"/>
        </w:rPr>
        <w:t xml:space="preserve"> el Pleno del Instituto emitió el Anexo 2 en el que se modifican las Medidas </w:t>
      </w:r>
      <w:r w:rsidR="00C54156" w:rsidRPr="00EB29B0">
        <w:rPr>
          <w:rFonts w:ascii="ITC Avant Garde" w:eastAsia="Times New Roman" w:hAnsi="ITC Avant Garde"/>
        </w:rPr>
        <w:t xml:space="preserve">Tercera, primer párrafo, incisos 5), 9), 22), 23), 24), 30), 31), y último párrafo, Cuarta, Quinta, Sexta, Octava, Undécima, Duodécima, Decimotercera, Decimoquinta, Decimosexta, Decimoséptima, Decimoctava, Decimonovena, Vigésima, Vigésima Segunda, Vigésima Tercera </w:t>
      </w:r>
      <w:r w:rsidR="00D62EFF" w:rsidRPr="00EB29B0">
        <w:rPr>
          <w:rFonts w:ascii="ITC Avant Garde" w:eastAsia="Times New Roman" w:hAnsi="ITC Avant Garde"/>
        </w:rPr>
        <w:t>primer p</w:t>
      </w:r>
      <w:r w:rsidR="00C54156" w:rsidRPr="00EB29B0">
        <w:rPr>
          <w:rFonts w:ascii="ITC Avant Garde" w:eastAsia="Times New Roman" w:hAnsi="ITC Avant Garde"/>
        </w:rPr>
        <w:t>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w:t>
      </w:r>
      <w:r w:rsidR="005753EC" w:rsidRPr="00EB29B0">
        <w:rPr>
          <w:rFonts w:ascii="ITC Avant Garde" w:eastAsia="Times New Roman" w:hAnsi="ITC Avant Garde"/>
        </w:rPr>
        <w:t xml:space="preserve"> incisos 3), 13), 14), 15), 18), 19) y 29) del Anexo 2 de la Resolución AEP.</w:t>
      </w:r>
    </w:p>
    <w:p w14:paraId="2999E082" w14:textId="77777777" w:rsidR="005753EC" w:rsidRPr="00EB29B0" w:rsidRDefault="005753EC" w:rsidP="00A33196">
      <w:pPr>
        <w:widowControl w:val="0"/>
        <w:spacing w:after="0"/>
        <w:ind w:left="1080"/>
        <w:contextualSpacing/>
        <w:jc w:val="both"/>
        <w:rPr>
          <w:rFonts w:ascii="ITC Avant Garde" w:eastAsia="Times New Roman" w:hAnsi="ITC Avant Garde"/>
        </w:rPr>
      </w:pPr>
    </w:p>
    <w:p w14:paraId="0F469320" w14:textId="1C3A64BF" w:rsidR="00190B27" w:rsidRDefault="005753EC"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del presente Acuerdo se le denominará de manera integral “Medidas Fijas” a las emitidas como parte del Anexo 2 de la Resolución AEP, así como a las modificaciones realizadas como parte del Anexo 2 de la Resolución Bienal.</w:t>
      </w:r>
    </w:p>
    <w:p w14:paraId="0737A6B7" w14:textId="63A7D9C0" w:rsidR="00B416F3" w:rsidRDefault="00B416F3" w:rsidP="00A33196">
      <w:pPr>
        <w:widowControl w:val="0"/>
        <w:spacing w:after="0"/>
        <w:ind w:left="1080"/>
        <w:contextualSpacing/>
        <w:jc w:val="both"/>
        <w:rPr>
          <w:rFonts w:ascii="ITC Avant Garde" w:eastAsia="Times New Roman" w:hAnsi="ITC Avant Garde"/>
        </w:rPr>
      </w:pPr>
    </w:p>
    <w:p w14:paraId="39597F01" w14:textId="36ADA620" w:rsidR="00B416F3" w:rsidRDefault="00B416F3" w:rsidP="00A33196">
      <w:pPr>
        <w:widowControl w:val="0"/>
        <w:spacing w:after="0"/>
        <w:ind w:left="1080"/>
        <w:contextualSpacing/>
        <w:jc w:val="both"/>
        <w:rPr>
          <w:rFonts w:ascii="ITC Avant Garde" w:eastAsia="Times New Roman" w:hAnsi="ITC Avant Garde"/>
        </w:rPr>
      </w:pPr>
    </w:p>
    <w:p w14:paraId="751440BD" w14:textId="77777777" w:rsidR="00B416F3" w:rsidRPr="00EB29B0" w:rsidRDefault="00B416F3" w:rsidP="00B416F3">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lastRenderedPageBreak/>
        <w:t xml:space="preserve">Mediante escrito presentado </w:t>
      </w:r>
      <w:r>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3</w:t>
      </w:r>
      <w:r>
        <w:rPr>
          <w:rFonts w:ascii="ITC Avant Garde" w:eastAsia="Times New Roman" w:hAnsi="ITC Avant Garde"/>
        </w:rPr>
        <w:t>0</w:t>
      </w:r>
      <w:r w:rsidRPr="00EB29B0">
        <w:rPr>
          <w:rFonts w:ascii="ITC Avant Garde" w:eastAsia="Times New Roman" w:hAnsi="ITC Avant Garde"/>
        </w:rPr>
        <w:t xml:space="preserve"> de julio</w:t>
      </w:r>
      <w:r w:rsidRPr="00EB29B0">
        <w:rPr>
          <w:rFonts w:ascii="ITC Avant Garde" w:eastAsia="Times New Roman" w:hAnsi="ITC Avant Garde"/>
          <w:lang w:val="x-none"/>
        </w:rPr>
        <w:t xml:space="preserve"> de 201</w:t>
      </w:r>
      <w:r>
        <w:rPr>
          <w:rFonts w:ascii="ITC Avant Garde" w:eastAsia="Times New Roman" w:hAnsi="ITC Avant Garde"/>
        </w:rPr>
        <w:t>8</w:t>
      </w:r>
      <w:r w:rsidRPr="00EB29B0">
        <w:rPr>
          <w:rFonts w:ascii="ITC Avant Garde" w:eastAsia="Times New Roman" w:hAnsi="ITC Avant Garde"/>
          <w:lang w:val="x-none"/>
        </w:rPr>
        <w:t xml:space="preserve">, </w:t>
      </w:r>
      <w:r>
        <w:rPr>
          <w:rFonts w:ascii="ITC Avant Garde" w:eastAsia="Times New Roman" w:hAnsi="ITC Avant Garde"/>
        </w:rPr>
        <w:t xml:space="preserve">Operadora de </w:t>
      </w:r>
      <w:proofErr w:type="spellStart"/>
      <w:r>
        <w:rPr>
          <w:rFonts w:ascii="ITC Avant Garde" w:eastAsia="Times New Roman" w:hAnsi="ITC Avant Garde"/>
        </w:rPr>
        <w:t>Sites</w:t>
      </w:r>
      <w:proofErr w:type="spellEnd"/>
      <w:r>
        <w:rPr>
          <w:rFonts w:ascii="ITC Avant Garde" w:eastAsia="Times New Roman" w:hAnsi="ITC Avant Garde"/>
        </w:rPr>
        <w:t xml:space="preserve"> Mexicanos, S.A. de C.V. (en lo sucesivo, “</w:t>
      </w:r>
      <w:proofErr w:type="spellStart"/>
      <w:r>
        <w:rPr>
          <w:rFonts w:ascii="ITC Avant Garde" w:eastAsia="Times New Roman" w:hAnsi="ITC Avant Garde"/>
        </w:rPr>
        <w:t>Opsimex</w:t>
      </w:r>
      <w:proofErr w:type="spellEnd"/>
      <w:r>
        <w:rPr>
          <w:rFonts w:ascii="ITC Avant Garde" w:eastAsia="Times New Roman" w:hAnsi="ITC Avant Garde"/>
        </w:rPr>
        <w:t>”)</w:t>
      </w:r>
      <w:r w:rsidRPr="00EB29B0">
        <w:rPr>
          <w:rFonts w:ascii="ITC Avant Garde" w:eastAsia="Times New Roman" w:hAnsi="ITC Avant Garde"/>
          <w:lang w:val="x-none"/>
        </w:rPr>
        <w:t xml:space="preserve">, </w:t>
      </w:r>
      <w:r w:rsidRPr="00EB29B0">
        <w:rPr>
          <w:rFonts w:ascii="ITC Avant Garde" w:eastAsia="Times New Roman" w:hAnsi="ITC Avant Garde"/>
        </w:rPr>
        <w:t>en cumplimiento a la Medida Decimosexta de las Medidas Móviles</w:t>
      </w:r>
      <w:r w:rsidRPr="00EB29B0">
        <w:rPr>
          <w:rFonts w:ascii="ITC Avant Garde" w:eastAsia="Times New Roman" w:hAnsi="ITC Avant Garde"/>
          <w:lang w:val="x-none"/>
        </w:rPr>
        <w:t xml:space="preserve">, presentó la </w:t>
      </w:r>
      <w:r>
        <w:rPr>
          <w:rFonts w:ascii="ITC Avant Garde" w:eastAsia="Times New Roman" w:hAnsi="ITC Avant Garde"/>
        </w:rPr>
        <w:t xml:space="preserve">propuesta de </w:t>
      </w:r>
      <w:r w:rsidRPr="00EB29B0">
        <w:rPr>
          <w:rFonts w:ascii="ITC Avant Garde" w:eastAsia="Times New Roman" w:hAnsi="ITC Avant Garde"/>
          <w:lang w:val="x-none"/>
        </w:rPr>
        <w:t>“</w:t>
      </w:r>
      <w:r w:rsidRPr="00EB29B0">
        <w:rPr>
          <w:rFonts w:ascii="ITC Avant Garde" w:eastAsia="Times New Roman" w:hAnsi="ITC Avant Garde"/>
          <w:i/>
        </w:rPr>
        <w:t>Oferta de Referencia</w:t>
      </w:r>
      <w:r w:rsidRPr="00EB29B0">
        <w:rPr>
          <w:rFonts w:ascii="ITC Avant Garde" w:eastAsia="Times New Roman" w:hAnsi="ITC Avant Garde"/>
          <w:i/>
          <w:lang w:val="x-none"/>
        </w:rPr>
        <w:t xml:space="preserve"> para </w:t>
      </w:r>
      <w:r w:rsidRPr="00EB29B0">
        <w:rPr>
          <w:rFonts w:ascii="ITC Avant Garde" w:eastAsia="Times New Roman" w:hAnsi="ITC Avant Garde"/>
          <w:i/>
        </w:rPr>
        <w:t>el Servicio de Acceso y Uso Compartido de Infraestructura Pasiva</w:t>
      </w:r>
      <w:r w:rsidRPr="00EB29B0">
        <w:rPr>
          <w:rFonts w:ascii="ITC Avant Garde" w:eastAsia="Times New Roman" w:hAnsi="ITC Avant Garde"/>
          <w:lang w:val="x-none"/>
        </w:rPr>
        <w:t xml:space="preserve">” (en lo sucesivo, “Oferta de Infraestructura Pasiva de </w:t>
      </w:r>
      <w:proofErr w:type="spellStart"/>
      <w:r>
        <w:rPr>
          <w:rFonts w:ascii="ITC Avant Garde" w:eastAsia="Times New Roman" w:hAnsi="ITC Avant Garde"/>
        </w:rPr>
        <w:t>Opsimex</w:t>
      </w:r>
      <w:proofErr w:type="spellEnd"/>
      <w:r w:rsidRPr="00EB29B0">
        <w:rPr>
          <w:rFonts w:ascii="ITC Avant Garde" w:eastAsia="Times New Roman" w:hAnsi="ITC Avant Garde"/>
          <w:lang w:val="x-none"/>
        </w:rPr>
        <w:t>”)</w:t>
      </w:r>
      <w:r w:rsidRPr="00EB29B0">
        <w:rPr>
          <w:rFonts w:ascii="ITC Avant Garde" w:eastAsia="Times New Roman" w:hAnsi="ITC Avant Garde"/>
        </w:rPr>
        <w:t>, respecto del periodo comprendido del 1 de enero al 31 de diciembre de 201</w:t>
      </w:r>
      <w:r>
        <w:rPr>
          <w:rFonts w:ascii="ITC Avant Garde" w:eastAsia="Times New Roman" w:hAnsi="ITC Avant Garde"/>
        </w:rPr>
        <w:t>9</w:t>
      </w:r>
      <w:r w:rsidRPr="00EB29B0">
        <w:rPr>
          <w:rFonts w:ascii="ITC Avant Garde" w:eastAsia="Times New Roman" w:hAnsi="ITC Avant Garde"/>
          <w:lang w:val="x-none"/>
        </w:rPr>
        <w:t>.</w:t>
      </w:r>
    </w:p>
    <w:p w14:paraId="3D28516F" w14:textId="77777777" w:rsidR="00B416F3" w:rsidRPr="00EB29B0" w:rsidRDefault="00B416F3" w:rsidP="00A33196">
      <w:pPr>
        <w:widowControl w:val="0"/>
        <w:spacing w:after="0"/>
        <w:ind w:left="1080"/>
        <w:contextualSpacing/>
        <w:jc w:val="both"/>
        <w:rPr>
          <w:rFonts w:ascii="ITC Avant Garde" w:eastAsia="Times New Roman" w:hAnsi="ITC Avant Garde"/>
        </w:rPr>
      </w:pPr>
    </w:p>
    <w:p w14:paraId="521BE3C0" w14:textId="74C37F25" w:rsidR="0095084C" w:rsidRDefault="005753EC" w:rsidP="0095084C">
      <w:pPr>
        <w:pStyle w:val="Prrafodelista"/>
        <w:widowControl w:val="0"/>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lang w:val="es-MX" w:eastAsia="en-US"/>
        </w:rPr>
        <w:t xml:space="preserve">Mediante escrito presentado </w:t>
      </w:r>
      <w:r w:rsidR="0099187B">
        <w:rPr>
          <w:rFonts w:ascii="ITC Avant Garde" w:eastAsia="Times New Roman" w:hAnsi="ITC Avant Garde"/>
          <w:sz w:val="22"/>
          <w:szCs w:val="22"/>
          <w:lang w:val="es-MX" w:eastAsia="en-US"/>
        </w:rPr>
        <w:t>ante la</w:t>
      </w:r>
      <w:r w:rsidRPr="00EB29B0">
        <w:rPr>
          <w:rFonts w:ascii="ITC Avant Garde" w:eastAsia="Times New Roman" w:hAnsi="ITC Avant Garde"/>
          <w:sz w:val="22"/>
          <w:szCs w:val="22"/>
          <w:lang w:val="es-MX" w:eastAsia="en-US"/>
        </w:rPr>
        <w:t xml:space="preserve"> Oficialía de Partes del Instituto el 31 de julio de 201</w:t>
      </w:r>
      <w:r w:rsidR="007276E6">
        <w:rPr>
          <w:rFonts w:ascii="ITC Avant Garde" w:eastAsia="Times New Roman" w:hAnsi="ITC Avant Garde"/>
          <w:sz w:val="22"/>
          <w:szCs w:val="22"/>
          <w:lang w:val="es-MX" w:eastAsia="en-US"/>
        </w:rPr>
        <w:t>8</w:t>
      </w:r>
      <w:r w:rsidRPr="00EB29B0">
        <w:rPr>
          <w:rFonts w:ascii="ITC Avant Garde" w:eastAsia="Times New Roman" w:hAnsi="ITC Avant Garde"/>
          <w:sz w:val="22"/>
          <w:szCs w:val="22"/>
          <w:lang w:val="es-MX" w:eastAsia="en-US"/>
        </w:rPr>
        <w:t xml:space="preserve">, </w:t>
      </w:r>
      <w:proofErr w:type="spellStart"/>
      <w:r w:rsidRPr="00EB29B0">
        <w:rPr>
          <w:rFonts w:ascii="ITC Avant Garde" w:eastAsia="Times New Roman" w:hAnsi="ITC Avant Garde"/>
          <w:sz w:val="22"/>
          <w:szCs w:val="22"/>
          <w:lang w:val="es-MX" w:eastAsia="en-US"/>
        </w:rPr>
        <w:t>Radiomóvil</w:t>
      </w:r>
      <w:proofErr w:type="spellEnd"/>
      <w:r w:rsidRPr="00EB29B0">
        <w:rPr>
          <w:rFonts w:ascii="ITC Avant Garde" w:eastAsia="Times New Roman" w:hAnsi="ITC Avant Garde"/>
          <w:sz w:val="22"/>
          <w:szCs w:val="22"/>
          <w:lang w:val="es-MX" w:eastAsia="en-US"/>
        </w:rPr>
        <w:t xml:space="preserve"> </w:t>
      </w:r>
      <w:proofErr w:type="spellStart"/>
      <w:r w:rsidRPr="00EB29B0">
        <w:rPr>
          <w:rFonts w:ascii="ITC Avant Garde" w:eastAsia="Times New Roman" w:hAnsi="ITC Avant Garde"/>
          <w:sz w:val="22"/>
          <w:szCs w:val="22"/>
          <w:lang w:val="es-MX" w:eastAsia="en-US"/>
        </w:rPr>
        <w:t>Dipsa</w:t>
      </w:r>
      <w:proofErr w:type="spellEnd"/>
      <w:r w:rsidRPr="00EB29B0">
        <w:rPr>
          <w:rFonts w:ascii="ITC Avant Garde" w:eastAsia="Times New Roman" w:hAnsi="ITC Avant Garde"/>
          <w:sz w:val="22"/>
          <w:szCs w:val="22"/>
          <w:lang w:val="es-MX" w:eastAsia="en-US"/>
        </w:rPr>
        <w:t>, S.A de C.V. (en lo sucesivo, “Telcel”) como parte del Agente Económico Preponderante (en lo sucesivo, “AEP”), en cumplimiento a la Medida Decimosexta de las Medidas Móviles, presentó su</w:t>
      </w:r>
      <w:r w:rsidR="00B264BE">
        <w:rPr>
          <w:rFonts w:ascii="ITC Avant Garde" w:eastAsia="Times New Roman" w:hAnsi="ITC Avant Garde"/>
          <w:sz w:val="22"/>
          <w:szCs w:val="22"/>
          <w:lang w:val="es-MX" w:eastAsia="en-US"/>
        </w:rPr>
        <w:t>s</w:t>
      </w:r>
      <w:r w:rsidRPr="00EB29B0">
        <w:rPr>
          <w:rFonts w:ascii="ITC Avant Garde" w:eastAsia="Times New Roman" w:hAnsi="ITC Avant Garde"/>
          <w:sz w:val="22"/>
          <w:szCs w:val="22"/>
          <w:lang w:val="es-MX" w:eastAsia="en-US"/>
        </w:rPr>
        <w:t xml:space="preserve"> propuestas de: i) “</w:t>
      </w:r>
      <w:r w:rsidR="00A33196" w:rsidRPr="00EB29B0">
        <w:rPr>
          <w:rFonts w:ascii="ITC Avant Garde" w:eastAsia="Times New Roman" w:hAnsi="ITC Avant Garde"/>
          <w:sz w:val="22"/>
          <w:szCs w:val="22"/>
          <w:lang w:val="es-MX" w:eastAsia="en-US"/>
        </w:rPr>
        <w:t>Oferta</w:t>
      </w:r>
      <w:r w:rsidRPr="00EB29B0">
        <w:rPr>
          <w:rFonts w:ascii="ITC Avant Garde" w:eastAsia="Times New Roman" w:hAnsi="ITC Avant Garde"/>
          <w:sz w:val="22"/>
          <w:szCs w:val="22"/>
          <w:lang w:val="es-MX" w:eastAsia="en-US"/>
        </w:rPr>
        <w:t xml:space="preserve"> de </w:t>
      </w:r>
      <w:r w:rsidR="00A33196" w:rsidRPr="00EB29B0">
        <w:rPr>
          <w:rFonts w:ascii="ITC Avant Garde" w:eastAsia="Times New Roman" w:hAnsi="ITC Avant Garde"/>
          <w:sz w:val="22"/>
          <w:szCs w:val="22"/>
          <w:lang w:val="es-MX" w:eastAsia="en-US"/>
        </w:rPr>
        <w:t xml:space="preserve">Referencia </w:t>
      </w:r>
      <w:r w:rsidRPr="00EB29B0">
        <w:rPr>
          <w:rFonts w:ascii="ITC Avant Garde" w:eastAsia="Times New Roman" w:hAnsi="ITC Avant Garde"/>
          <w:sz w:val="22"/>
          <w:szCs w:val="22"/>
          <w:lang w:val="es-MX" w:eastAsia="en-US"/>
        </w:rPr>
        <w:t xml:space="preserve">para la prestación del </w:t>
      </w:r>
      <w:r w:rsidR="00A33196" w:rsidRPr="00EB29B0">
        <w:rPr>
          <w:rFonts w:ascii="ITC Avant Garde" w:eastAsia="Times New Roman" w:hAnsi="ITC Avant Garde"/>
          <w:sz w:val="22"/>
          <w:szCs w:val="22"/>
          <w:lang w:val="es-MX" w:eastAsia="en-US"/>
        </w:rPr>
        <w:t>Servicio</w:t>
      </w:r>
      <w:r w:rsidRPr="00EB29B0">
        <w:rPr>
          <w:rFonts w:ascii="ITC Avant Garde" w:eastAsia="Times New Roman" w:hAnsi="ITC Avant Garde"/>
          <w:sz w:val="22"/>
          <w:szCs w:val="22"/>
          <w:lang w:val="es-MX" w:eastAsia="en-US"/>
        </w:rPr>
        <w:t xml:space="preserve"> </w:t>
      </w:r>
      <w:r w:rsidR="00A33196" w:rsidRPr="00EB29B0">
        <w:rPr>
          <w:rFonts w:ascii="ITC Avant Garde" w:eastAsia="Times New Roman" w:hAnsi="ITC Avant Garde"/>
          <w:sz w:val="22"/>
          <w:szCs w:val="22"/>
          <w:lang w:val="es-MX" w:eastAsia="en-US"/>
        </w:rPr>
        <w:t>Mayorista</w:t>
      </w:r>
      <w:r w:rsidRPr="00EB29B0">
        <w:rPr>
          <w:rFonts w:ascii="ITC Avant Garde" w:eastAsia="Times New Roman" w:hAnsi="ITC Avant Garde"/>
          <w:sz w:val="22"/>
          <w:szCs w:val="22"/>
          <w:lang w:val="es-MX" w:eastAsia="en-US"/>
        </w:rPr>
        <w:t xml:space="preserve"> de </w:t>
      </w:r>
      <w:r w:rsidR="00A33196" w:rsidRPr="00EB29B0">
        <w:rPr>
          <w:rFonts w:ascii="ITC Avant Garde" w:eastAsia="Times New Roman" w:hAnsi="ITC Avant Garde"/>
          <w:sz w:val="22"/>
          <w:szCs w:val="22"/>
          <w:lang w:val="es-MX" w:eastAsia="en-US"/>
        </w:rPr>
        <w:t>Usuario Visitante</w:t>
      </w:r>
      <w:r w:rsidRPr="00EB29B0">
        <w:rPr>
          <w:rFonts w:ascii="ITC Avant Garde" w:eastAsia="Times New Roman" w:hAnsi="ITC Avant Garde"/>
          <w:sz w:val="22"/>
          <w:szCs w:val="22"/>
          <w:lang w:val="es-MX" w:eastAsia="en-US"/>
        </w:rPr>
        <w:t>” (en lo sucesivo, “Oferta de Usuario Visitante”); ii) “</w:t>
      </w:r>
      <w:r w:rsidR="00A33196" w:rsidRPr="00EB29B0">
        <w:rPr>
          <w:rFonts w:ascii="ITC Avant Garde" w:eastAsia="Times New Roman" w:hAnsi="ITC Avant Garde"/>
          <w:sz w:val="22"/>
          <w:szCs w:val="22"/>
          <w:lang w:val="es-MX" w:eastAsia="en-US"/>
        </w:rPr>
        <w:t>Oferta de Referencia</w:t>
      </w:r>
      <w:r w:rsidRPr="00EB29B0">
        <w:rPr>
          <w:rFonts w:ascii="ITC Avant Garde" w:eastAsia="Times New Roman" w:hAnsi="ITC Avant Garde"/>
          <w:sz w:val="22"/>
          <w:szCs w:val="22"/>
          <w:lang w:val="es-MX" w:eastAsia="en-US"/>
        </w:rPr>
        <w:t xml:space="preserve"> para la prestación del Servicio Mayorista de </w:t>
      </w:r>
      <w:r w:rsidR="004D7DAB" w:rsidRPr="00EB29B0">
        <w:rPr>
          <w:rFonts w:ascii="ITC Avant Garde" w:eastAsia="Times New Roman" w:hAnsi="ITC Avant Garde"/>
          <w:sz w:val="22"/>
          <w:szCs w:val="22"/>
          <w:lang w:val="es-MX" w:eastAsia="en-US"/>
        </w:rPr>
        <w:t>Comercialización</w:t>
      </w:r>
      <w:r w:rsidRPr="00EB29B0">
        <w:rPr>
          <w:rFonts w:ascii="ITC Avant Garde" w:eastAsia="Times New Roman" w:hAnsi="ITC Avant Garde"/>
          <w:sz w:val="22"/>
          <w:szCs w:val="22"/>
          <w:lang w:val="es-MX" w:eastAsia="en-US"/>
        </w:rPr>
        <w:t xml:space="preserve"> o</w:t>
      </w:r>
      <w:r w:rsidR="005D3703" w:rsidRPr="00EB29B0">
        <w:rPr>
          <w:rFonts w:ascii="ITC Avant Garde" w:eastAsia="Times New Roman" w:hAnsi="ITC Avant Garde"/>
          <w:sz w:val="22"/>
          <w:szCs w:val="22"/>
          <w:lang w:val="es-MX" w:eastAsia="en-US"/>
        </w:rPr>
        <w:t xml:space="preserve"> Reventa</w:t>
      </w:r>
      <w:r w:rsidRPr="00EB29B0">
        <w:rPr>
          <w:rFonts w:ascii="ITC Avant Garde" w:eastAsia="Times New Roman" w:hAnsi="ITC Avant Garde"/>
          <w:sz w:val="22"/>
          <w:szCs w:val="22"/>
          <w:lang w:val="es-MX" w:eastAsia="en-US"/>
        </w:rPr>
        <w:t xml:space="preserve"> de</w:t>
      </w:r>
      <w:r w:rsidR="005D3703" w:rsidRPr="00EB29B0">
        <w:rPr>
          <w:rFonts w:ascii="ITC Avant Garde" w:eastAsia="Times New Roman" w:hAnsi="ITC Avant Garde"/>
          <w:sz w:val="22"/>
          <w:szCs w:val="22"/>
          <w:lang w:val="es-MX" w:eastAsia="en-US"/>
        </w:rPr>
        <w:t xml:space="preserve"> servicios</w:t>
      </w:r>
      <w:r w:rsidRPr="00EB29B0">
        <w:rPr>
          <w:rFonts w:ascii="ITC Avant Garde" w:eastAsia="Times New Roman" w:hAnsi="ITC Avant Garde"/>
          <w:sz w:val="22"/>
          <w:szCs w:val="22"/>
          <w:lang w:val="es-MX" w:eastAsia="en-US"/>
        </w:rPr>
        <w:t xml:space="preserve">” (en lo sucesivo, </w:t>
      </w:r>
      <w:r w:rsidR="00FF11FF">
        <w:rPr>
          <w:rFonts w:ascii="ITC Avant Garde" w:eastAsia="Times New Roman" w:hAnsi="ITC Avant Garde"/>
          <w:sz w:val="22"/>
          <w:szCs w:val="22"/>
          <w:lang w:val="es-MX" w:eastAsia="en-US"/>
        </w:rPr>
        <w:t>“</w:t>
      </w:r>
      <w:r w:rsidRPr="00EB29B0">
        <w:rPr>
          <w:rFonts w:ascii="ITC Avant Garde" w:eastAsia="Times New Roman" w:hAnsi="ITC Avant Garde"/>
          <w:sz w:val="22"/>
          <w:szCs w:val="22"/>
          <w:lang w:val="es-MX" w:eastAsia="en-US"/>
        </w:rPr>
        <w:t>Oferta de OMV”); y iii) “</w:t>
      </w:r>
      <w:r w:rsidR="004D7DAB" w:rsidRPr="00EB29B0">
        <w:rPr>
          <w:rFonts w:ascii="ITC Avant Garde" w:eastAsia="Times New Roman" w:hAnsi="ITC Avant Garde"/>
          <w:sz w:val="22"/>
          <w:szCs w:val="22"/>
          <w:lang w:val="es-MX" w:eastAsia="en-US"/>
        </w:rPr>
        <w:t>Oferta de Referencia</w:t>
      </w:r>
      <w:r w:rsidR="005D3703" w:rsidRPr="00EB29B0">
        <w:rPr>
          <w:rFonts w:ascii="ITC Avant Garde" w:eastAsia="Times New Roman" w:hAnsi="ITC Avant Garde"/>
          <w:sz w:val="22"/>
          <w:szCs w:val="22"/>
          <w:lang w:val="es-MX" w:eastAsia="en-US"/>
        </w:rPr>
        <w:t xml:space="preserve"> para la prestación del Servicio de Acceso y Uso Compartido de </w:t>
      </w:r>
      <w:r w:rsidR="004D7DAB" w:rsidRPr="00EB29B0">
        <w:rPr>
          <w:rFonts w:ascii="ITC Avant Garde" w:eastAsia="Times New Roman" w:hAnsi="ITC Avant Garde"/>
          <w:sz w:val="22"/>
          <w:szCs w:val="22"/>
          <w:lang w:val="es-MX" w:eastAsia="en-US"/>
        </w:rPr>
        <w:t>Infraestructura Pasiva</w:t>
      </w:r>
      <w:r w:rsidR="00FF11FF">
        <w:rPr>
          <w:rFonts w:ascii="ITC Avant Garde" w:eastAsia="Times New Roman" w:hAnsi="ITC Avant Garde"/>
          <w:sz w:val="22"/>
          <w:szCs w:val="22"/>
          <w:lang w:val="es-MX" w:eastAsia="en-US"/>
        </w:rPr>
        <w:t xml:space="preserve">” (en lo sucesivo, </w:t>
      </w:r>
      <w:r w:rsidRPr="00EB29B0">
        <w:rPr>
          <w:rFonts w:ascii="ITC Avant Garde" w:eastAsia="Times New Roman" w:hAnsi="ITC Avant Garde"/>
          <w:sz w:val="22"/>
          <w:szCs w:val="22"/>
          <w:lang w:val="es-MX" w:eastAsia="en-US"/>
        </w:rPr>
        <w:t>“Oferta de Infraestructura Pasiva de Telcel”)</w:t>
      </w:r>
      <w:r w:rsidR="0095084C" w:rsidRPr="00EB29B0">
        <w:rPr>
          <w:rFonts w:ascii="ITC Avant Garde" w:eastAsia="Times New Roman" w:hAnsi="ITC Avant Garde"/>
          <w:sz w:val="22"/>
          <w:szCs w:val="22"/>
          <w:lang w:val="es-MX" w:eastAsia="en-US"/>
        </w:rPr>
        <w:t>, respecto del periodo comprendido del 1 de enero al 31 de diciembre de 201</w:t>
      </w:r>
      <w:r w:rsidR="007276E6">
        <w:rPr>
          <w:rFonts w:ascii="ITC Avant Garde" w:eastAsia="Times New Roman" w:hAnsi="ITC Avant Garde"/>
          <w:sz w:val="22"/>
          <w:szCs w:val="22"/>
          <w:lang w:val="es-MX" w:eastAsia="en-US"/>
        </w:rPr>
        <w:t>9</w:t>
      </w:r>
      <w:r w:rsidR="0095084C" w:rsidRPr="00EB29B0">
        <w:rPr>
          <w:rFonts w:ascii="ITC Avant Garde" w:eastAsia="Times New Roman" w:hAnsi="ITC Avant Garde"/>
          <w:sz w:val="22"/>
          <w:szCs w:val="22"/>
          <w:lang w:val="es-MX" w:eastAsia="en-US"/>
        </w:rPr>
        <w:t>.</w:t>
      </w:r>
    </w:p>
    <w:p w14:paraId="27304E6D" w14:textId="77777777" w:rsidR="00CE479D" w:rsidRDefault="00CE479D" w:rsidP="00CE479D">
      <w:pPr>
        <w:widowControl w:val="0"/>
        <w:spacing w:after="0"/>
        <w:jc w:val="both"/>
        <w:rPr>
          <w:rFonts w:ascii="ITC Avant Garde" w:eastAsia="Times New Roman" w:hAnsi="ITC Avant Garde"/>
        </w:rPr>
      </w:pPr>
    </w:p>
    <w:p w14:paraId="13EADE6D" w14:textId="4062B23D" w:rsidR="005753EC" w:rsidRDefault="005753EC" w:rsidP="00A3319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Mediante escrito</w:t>
      </w:r>
      <w:r w:rsidR="00B416F3">
        <w:rPr>
          <w:rFonts w:ascii="ITC Avant Garde" w:eastAsia="Times New Roman" w:hAnsi="ITC Avant Garde"/>
        </w:rPr>
        <w:t>s</w:t>
      </w:r>
      <w:r w:rsidRPr="00EB29B0">
        <w:rPr>
          <w:rFonts w:ascii="ITC Avant Garde" w:eastAsia="Times New Roman" w:hAnsi="ITC Avant Garde"/>
          <w:lang w:val="x-none"/>
        </w:rPr>
        <w:t xml:space="preserve"> presentado</w:t>
      </w:r>
      <w:r w:rsidR="00B416F3">
        <w:rPr>
          <w:rFonts w:ascii="ITC Avant Garde" w:eastAsia="Times New Roman" w:hAnsi="ITC Avant Garde"/>
        </w:rPr>
        <w:t>s</w:t>
      </w:r>
      <w:r w:rsidRPr="00EB29B0">
        <w:rPr>
          <w:rFonts w:ascii="ITC Avant Garde" w:eastAsia="Times New Roman" w:hAnsi="ITC Avant Garde"/>
          <w:lang w:val="x-none"/>
        </w:rPr>
        <w:t xml:space="preserve">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00F8083C"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sidR="00026F55">
        <w:rPr>
          <w:rFonts w:ascii="ITC Avant Garde" w:eastAsia="Times New Roman" w:hAnsi="ITC Avant Garde"/>
        </w:rPr>
        <w:t>8</w:t>
      </w:r>
      <w:r w:rsidRPr="00EB29B0">
        <w:rPr>
          <w:rFonts w:ascii="ITC Avant Garde" w:eastAsia="Times New Roman" w:hAnsi="ITC Avant Garde"/>
          <w:lang w:val="x-none"/>
        </w:rPr>
        <w:t xml:space="preserve">, Teléfonos de México, S.A.B. de C.V., (en lo sucesivo, “Telmex”) como parte del AEP, en términos de la </w:t>
      </w:r>
      <w:r w:rsidR="004D7DAB" w:rsidRPr="00EB29B0">
        <w:rPr>
          <w:rFonts w:ascii="ITC Avant Garde" w:eastAsia="Times New Roman" w:hAnsi="ITC Avant Garde"/>
        </w:rPr>
        <w:t>Medida</w:t>
      </w:r>
      <w:r w:rsidRPr="00EB29B0">
        <w:rPr>
          <w:rFonts w:ascii="ITC Avant Garde" w:eastAsia="Times New Roman" w:hAnsi="ITC Avant Garde"/>
          <w:lang w:val="x-none"/>
        </w:rPr>
        <w:t xml:space="preserve"> </w:t>
      </w:r>
      <w:r w:rsidR="004D7DAB" w:rsidRPr="00EB29B0">
        <w:rPr>
          <w:rFonts w:ascii="ITC Avant Garde" w:eastAsia="Times New Roman" w:hAnsi="ITC Avant Garde"/>
        </w:rPr>
        <w:t>Cuadragési</w:t>
      </w:r>
      <w:r w:rsidR="004D7DAB" w:rsidRPr="00012BBE">
        <w:rPr>
          <w:rFonts w:ascii="ITC Avant Garde" w:eastAsia="Times New Roman" w:hAnsi="ITC Avant Garde"/>
        </w:rPr>
        <w:t>ma</w:t>
      </w:r>
      <w:r w:rsidRPr="00012BBE">
        <w:rPr>
          <w:rFonts w:ascii="ITC Avant Garde" w:eastAsia="Times New Roman" w:hAnsi="ITC Avant Garde"/>
          <w:lang w:val="x-none"/>
        </w:rPr>
        <w:t xml:space="preserve"> Primera de las Medidas Fijas, presentó la propuesta de “</w:t>
      </w:r>
      <w:r w:rsidR="004D7DAB" w:rsidRPr="00012BBE">
        <w:rPr>
          <w:rFonts w:ascii="ITC Avant Garde" w:eastAsia="Times New Roman" w:hAnsi="ITC Avant Garde"/>
          <w:i/>
        </w:rPr>
        <w:t>Oferta de Referencia</w:t>
      </w:r>
      <w:r w:rsidR="00F8083C" w:rsidRPr="00012BBE">
        <w:rPr>
          <w:rFonts w:ascii="ITC Avant Garde" w:eastAsia="Times New Roman" w:hAnsi="ITC Avant Garde"/>
          <w:i/>
          <w:lang w:val="x-none"/>
        </w:rPr>
        <w:t xml:space="preserve"> </w:t>
      </w:r>
      <w:r w:rsidR="00F8083C" w:rsidRPr="00012BBE">
        <w:rPr>
          <w:rFonts w:ascii="ITC Avant Garde" w:eastAsia="Times New Roman" w:hAnsi="ITC Avant Garde"/>
          <w:i/>
        </w:rPr>
        <w:t>para</w:t>
      </w:r>
      <w:r w:rsidR="00F8083C" w:rsidRPr="00012BBE">
        <w:rPr>
          <w:rFonts w:ascii="ITC Avant Garde" w:eastAsia="Times New Roman" w:hAnsi="ITC Avant Garde"/>
          <w:i/>
          <w:lang w:val="x-none"/>
        </w:rPr>
        <w:t xml:space="preserve"> la prestación del </w:t>
      </w:r>
      <w:r w:rsidR="004D7DAB" w:rsidRPr="00012BBE">
        <w:rPr>
          <w:rFonts w:ascii="ITC Avant Garde" w:eastAsia="Times New Roman" w:hAnsi="ITC Avant Garde"/>
          <w:i/>
        </w:rPr>
        <w:t>Servicio Mayorista de</w:t>
      </w:r>
      <w:r w:rsidR="00012BBE" w:rsidRPr="00012BBE">
        <w:rPr>
          <w:rFonts w:ascii="ITC Avant Garde" w:eastAsia="Times New Roman" w:hAnsi="ITC Avant Garde"/>
          <w:i/>
        </w:rPr>
        <w:t xml:space="preserve"> Arrendamiento de</w:t>
      </w:r>
      <w:r w:rsidR="004D7DAB" w:rsidRPr="00012BBE">
        <w:rPr>
          <w:rFonts w:ascii="ITC Avant Garde" w:eastAsia="Times New Roman" w:hAnsi="ITC Avant Garde"/>
          <w:i/>
        </w:rPr>
        <w:t xml:space="preserve"> Enlaces Dedicados</w:t>
      </w:r>
      <w:r w:rsidR="00012BBE" w:rsidRPr="00012BBE">
        <w:rPr>
          <w:rFonts w:ascii="ITC Avant Garde" w:eastAsia="Times New Roman" w:hAnsi="ITC Avant Garde"/>
          <w:i/>
        </w:rPr>
        <w:t xml:space="preserve"> locales, entre localidades y de larga distancia internacional para concesionario de redes públicas de telecomunicaciones</w:t>
      </w:r>
      <w:r w:rsidRPr="00EB29B0">
        <w:rPr>
          <w:rFonts w:ascii="ITC Avant Garde" w:eastAsia="Times New Roman" w:hAnsi="ITC Avant Garde"/>
          <w:lang w:val="x-none"/>
        </w:rPr>
        <w:t>” (en lo sucesivo, “Oferta de Enlaces Dedicados de Telmex”)</w:t>
      </w:r>
      <w:r w:rsidR="00FA53F3" w:rsidRPr="00EB29B0">
        <w:rPr>
          <w:rFonts w:ascii="ITC Avant Garde" w:eastAsia="Times New Roman" w:hAnsi="ITC Avant Garde"/>
        </w:rPr>
        <w:t>, respecto del periodo comprendido del 1 de enero al 31 de diciembre de 201</w:t>
      </w:r>
      <w:r w:rsidR="00026F55">
        <w:rPr>
          <w:rFonts w:ascii="ITC Avant Garde" w:eastAsia="Times New Roman" w:hAnsi="ITC Avant Garde"/>
        </w:rPr>
        <w:t>9</w:t>
      </w:r>
      <w:r w:rsidRPr="00EB29B0">
        <w:rPr>
          <w:rFonts w:ascii="ITC Avant Garde" w:eastAsia="Times New Roman" w:hAnsi="ITC Avant Garde"/>
          <w:lang w:val="x-none"/>
        </w:rPr>
        <w:t>.</w:t>
      </w:r>
    </w:p>
    <w:p w14:paraId="1FABA39D" w14:textId="77777777" w:rsidR="008D7719" w:rsidRDefault="008D7719" w:rsidP="008D7719">
      <w:pPr>
        <w:widowControl w:val="0"/>
        <w:spacing w:after="0"/>
        <w:ind w:left="1080"/>
        <w:contextualSpacing/>
        <w:jc w:val="both"/>
        <w:rPr>
          <w:rFonts w:ascii="ITC Avant Garde" w:eastAsia="Times New Roman" w:hAnsi="ITC Avant Garde"/>
          <w:lang w:val="x-none"/>
        </w:rPr>
      </w:pPr>
    </w:p>
    <w:p w14:paraId="6EF580EF" w14:textId="7BF7546A" w:rsidR="005753EC" w:rsidRDefault="005753EC" w:rsidP="00A3319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00AE55F3"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sidR="00026F55">
        <w:rPr>
          <w:rFonts w:ascii="ITC Avant Garde" w:eastAsia="Times New Roman" w:hAnsi="ITC Avant Garde"/>
        </w:rPr>
        <w:t>8</w:t>
      </w:r>
      <w:r w:rsidRPr="00EB29B0">
        <w:rPr>
          <w:rFonts w:ascii="ITC Avant Garde" w:eastAsia="Times New Roman" w:hAnsi="ITC Avant Garde"/>
          <w:lang w:val="x-none"/>
        </w:rPr>
        <w:t xml:space="preserve">, Telmex como parte del AEP, en términos de la </w:t>
      </w:r>
      <w:r w:rsidR="004D7DAB" w:rsidRPr="00EB29B0">
        <w:rPr>
          <w:rFonts w:ascii="ITC Avant Garde" w:eastAsia="Times New Roman" w:hAnsi="ITC Avant Garde"/>
        </w:rPr>
        <w:t>Medida</w:t>
      </w:r>
      <w:r w:rsidRPr="00EB29B0">
        <w:rPr>
          <w:rFonts w:ascii="ITC Avant Garde" w:eastAsia="Times New Roman" w:hAnsi="ITC Avant Garde"/>
          <w:lang w:val="x-none"/>
        </w:rPr>
        <w:t xml:space="preserve"> Cuadragésima Primera de las Medidas Fijas, presentó la</w:t>
      </w:r>
      <w:r w:rsidR="00E25618" w:rsidRPr="00EB29B0">
        <w:rPr>
          <w:rFonts w:ascii="ITC Avant Garde" w:eastAsia="Times New Roman" w:hAnsi="ITC Avant Garde"/>
        </w:rPr>
        <w:t xml:space="preserve"> </w:t>
      </w:r>
      <w:r w:rsidR="00E25618" w:rsidRPr="00F64454">
        <w:rPr>
          <w:rFonts w:ascii="ITC Avant Garde" w:eastAsia="Times New Roman" w:hAnsi="ITC Avant Garde"/>
          <w:lang w:val="x-none"/>
        </w:rPr>
        <w:t>propuesta de</w:t>
      </w:r>
      <w:r w:rsidR="00E25618" w:rsidRPr="00EB29B0">
        <w:rPr>
          <w:rFonts w:ascii="ITC Avant Garde" w:eastAsia="Times New Roman" w:hAnsi="ITC Avant Garde"/>
          <w:i/>
          <w:lang w:val="x-none"/>
        </w:rPr>
        <w:t xml:space="preserve"> </w:t>
      </w:r>
      <w:r w:rsidR="00580F51">
        <w:rPr>
          <w:rFonts w:ascii="ITC Avant Garde" w:eastAsia="Times New Roman" w:hAnsi="ITC Avant Garde"/>
          <w:i/>
        </w:rPr>
        <w:t>“</w:t>
      </w:r>
      <w:r w:rsidR="004D7DAB" w:rsidRPr="00EB29B0">
        <w:rPr>
          <w:rFonts w:ascii="ITC Avant Garde" w:eastAsia="Times New Roman" w:hAnsi="ITC Avant Garde"/>
          <w:i/>
        </w:rPr>
        <w:t>Oferta de Referencia</w:t>
      </w:r>
      <w:r w:rsidR="004D7DAB" w:rsidRPr="00EB29B0">
        <w:rPr>
          <w:rFonts w:ascii="ITC Avant Garde" w:eastAsia="Times New Roman" w:hAnsi="ITC Avant Garde"/>
          <w:i/>
          <w:lang w:val="x-none"/>
        </w:rPr>
        <w:t xml:space="preserve"> para </w:t>
      </w:r>
      <w:r w:rsidR="00E25618" w:rsidRPr="00EB29B0">
        <w:rPr>
          <w:rFonts w:ascii="ITC Avant Garde" w:eastAsia="Times New Roman" w:hAnsi="ITC Avant Garde"/>
          <w:i/>
        </w:rPr>
        <w:t>la prestación del</w:t>
      </w:r>
      <w:r w:rsidR="00350CA5" w:rsidRPr="00EB29B0">
        <w:rPr>
          <w:rFonts w:ascii="ITC Avant Garde" w:eastAsia="Times New Roman" w:hAnsi="ITC Avant Garde"/>
          <w:i/>
        </w:rPr>
        <w:t xml:space="preserve"> Servicio </w:t>
      </w:r>
      <w:r w:rsidR="004D7DAB" w:rsidRPr="00EB29B0">
        <w:rPr>
          <w:rFonts w:ascii="ITC Avant Garde" w:eastAsia="Times New Roman" w:hAnsi="ITC Avant Garde"/>
          <w:i/>
        </w:rPr>
        <w:t>de Acceso y Uso Compartido de Infraestructura Pasiva</w:t>
      </w:r>
      <w:r w:rsidRPr="00EB29B0">
        <w:rPr>
          <w:rFonts w:ascii="ITC Avant Garde" w:eastAsia="Times New Roman" w:hAnsi="ITC Avant Garde"/>
          <w:lang w:val="x-none"/>
        </w:rPr>
        <w:t>” (en lo sucesivo, “Oferta de Infraestructura Pasiva de Telmex”)</w:t>
      </w:r>
      <w:r w:rsidR="00FA53F3" w:rsidRPr="00EB29B0">
        <w:rPr>
          <w:rFonts w:ascii="ITC Avant Garde" w:eastAsia="Times New Roman" w:hAnsi="ITC Avant Garde"/>
        </w:rPr>
        <w:t>, respecto del periodo comprendido del 1 de enero al 31 de diciembre de 201</w:t>
      </w:r>
      <w:r w:rsidR="00026F55">
        <w:rPr>
          <w:rFonts w:ascii="ITC Avant Garde" w:eastAsia="Times New Roman" w:hAnsi="ITC Avant Garde"/>
        </w:rPr>
        <w:t>9</w:t>
      </w:r>
      <w:r w:rsidR="00FA53F3" w:rsidRPr="00EB29B0">
        <w:rPr>
          <w:rFonts w:ascii="ITC Avant Garde" w:eastAsia="Times New Roman" w:hAnsi="ITC Avant Garde"/>
          <w:lang w:val="x-none"/>
        </w:rPr>
        <w:t>.</w:t>
      </w:r>
    </w:p>
    <w:p w14:paraId="3D40D7D7" w14:textId="591B4D31" w:rsidR="00274117" w:rsidRDefault="00274117" w:rsidP="00274117">
      <w:pPr>
        <w:widowControl w:val="0"/>
        <w:spacing w:after="0"/>
        <w:ind w:left="1080"/>
        <w:contextualSpacing/>
        <w:jc w:val="both"/>
        <w:rPr>
          <w:rFonts w:ascii="ITC Avant Garde" w:eastAsia="Times New Roman" w:hAnsi="ITC Avant Garde"/>
          <w:lang w:val="x-none"/>
        </w:rPr>
      </w:pPr>
    </w:p>
    <w:p w14:paraId="17CF59C7" w14:textId="384E4B72" w:rsidR="001F5E34" w:rsidRPr="00A64D3D" w:rsidRDefault="001F5E34" w:rsidP="00A33196">
      <w:pPr>
        <w:widowControl w:val="0"/>
        <w:numPr>
          <w:ilvl w:val="0"/>
          <w:numId w:val="2"/>
        </w:numPr>
        <w:spacing w:after="0"/>
        <w:contextualSpacing/>
        <w:jc w:val="both"/>
        <w:rPr>
          <w:rFonts w:ascii="ITC Avant Garde" w:eastAsia="Times New Roman" w:hAnsi="ITC Avant Garde"/>
          <w:lang w:val="x-none"/>
        </w:rPr>
      </w:pPr>
      <w:r w:rsidRPr="00A64D3D">
        <w:rPr>
          <w:rFonts w:ascii="ITC Avant Garde" w:eastAsia="Times New Roman" w:hAnsi="ITC Avant Garde"/>
          <w:lang w:val="x-none"/>
        </w:rPr>
        <w:lastRenderedPageBreak/>
        <w:t>Mediante escrito</w:t>
      </w:r>
      <w:r w:rsidR="00B416F3">
        <w:rPr>
          <w:rFonts w:ascii="ITC Avant Garde" w:eastAsia="Times New Roman" w:hAnsi="ITC Avant Garde"/>
        </w:rPr>
        <w:t>s</w:t>
      </w:r>
      <w:r w:rsidRPr="00A64D3D">
        <w:rPr>
          <w:rFonts w:ascii="ITC Avant Garde" w:eastAsia="Times New Roman" w:hAnsi="ITC Avant Garde"/>
          <w:lang w:val="x-none"/>
        </w:rPr>
        <w:t xml:space="preserve"> presentado</w:t>
      </w:r>
      <w:r w:rsidR="00B416F3">
        <w:rPr>
          <w:rFonts w:ascii="ITC Avant Garde" w:eastAsia="Times New Roman" w:hAnsi="ITC Avant Garde"/>
        </w:rPr>
        <w:t>s</w:t>
      </w:r>
      <w:r w:rsidRPr="00A64D3D">
        <w:rPr>
          <w:rFonts w:ascii="ITC Avant Garde" w:eastAsia="Times New Roman" w:hAnsi="ITC Avant Garde"/>
          <w:lang w:val="x-none"/>
        </w:rPr>
        <w:t xml:space="preserve"> </w:t>
      </w:r>
      <w:r w:rsidR="0099187B" w:rsidRPr="00A64D3D">
        <w:rPr>
          <w:rFonts w:ascii="ITC Avant Garde" w:eastAsia="Times New Roman" w:hAnsi="ITC Avant Garde"/>
        </w:rPr>
        <w:t>ante la</w:t>
      </w:r>
      <w:r w:rsidRPr="00A64D3D">
        <w:rPr>
          <w:rFonts w:ascii="ITC Avant Garde" w:eastAsia="Times New Roman" w:hAnsi="ITC Avant Garde"/>
          <w:lang w:val="x-none"/>
        </w:rPr>
        <w:t xml:space="preserve"> Oficialía de Partes del Instituto el </w:t>
      </w:r>
      <w:r w:rsidRPr="00A64D3D">
        <w:rPr>
          <w:rFonts w:ascii="ITC Avant Garde" w:eastAsia="Times New Roman" w:hAnsi="ITC Avant Garde"/>
        </w:rPr>
        <w:t>31 de julio</w:t>
      </w:r>
      <w:r w:rsidRPr="00A64D3D">
        <w:rPr>
          <w:rFonts w:ascii="ITC Avant Garde" w:eastAsia="Times New Roman" w:hAnsi="ITC Avant Garde"/>
          <w:lang w:val="x-none"/>
        </w:rPr>
        <w:t xml:space="preserve"> de 201</w:t>
      </w:r>
      <w:r w:rsidR="00C27174">
        <w:rPr>
          <w:rFonts w:ascii="ITC Avant Garde" w:eastAsia="Times New Roman" w:hAnsi="ITC Avant Garde"/>
        </w:rPr>
        <w:t>8</w:t>
      </w:r>
      <w:r w:rsidRPr="00A64D3D">
        <w:rPr>
          <w:rFonts w:ascii="ITC Avant Garde" w:eastAsia="Times New Roman" w:hAnsi="ITC Avant Garde"/>
          <w:lang w:val="x-none"/>
        </w:rPr>
        <w:t xml:space="preserve">, Teléfonos </w:t>
      </w:r>
      <w:r w:rsidRPr="00A64D3D">
        <w:rPr>
          <w:rFonts w:ascii="ITC Avant Garde" w:eastAsia="Times New Roman" w:hAnsi="ITC Avant Garde"/>
        </w:rPr>
        <w:t>del Noroeste, S.A.</w:t>
      </w:r>
      <w:r w:rsidRPr="00A64D3D">
        <w:rPr>
          <w:rFonts w:ascii="ITC Avant Garde" w:eastAsia="Times New Roman" w:hAnsi="ITC Avant Garde"/>
          <w:lang w:val="x-none"/>
        </w:rPr>
        <w:t xml:space="preserve"> de C.V., (en lo sucesivo, “</w:t>
      </w:r>
      <w:proofErr w:type="spellStart"/>
      <w:r w:rsidRPr="00A64D3D">
        <w:rPr>
          <w:rFonts w:ascii="ITC Avant Garde" w:eastAsia="Times New Roman" w:hAnsi="ITC Avant Garde"/>
          <w:lang w:val="x-none"/>
        </w:rPr>
        <w:t>Tel</w:t>
      </w:r>
      <w:r w:rsidRPr="00A64D3D">
        <w:rPr>
          <w:rFonts w:ascii="ITC Avant Garde" w:eastAsia="Times New Roman" w:hAnsi="ITC Avant Garde"/>
        </w:rPr>
        <w:t>nor</w:t>
      </w:r>
      <w:proofErr w:type="spellEnd"/>
      <w:r w:rsidRPr="00A64D3D">
        <w:rPr>
          <w:rFonts w:ascii="ITC Avant Garde" w:eastAsia="Times New Roman" w:hAnsi="ITC Avant Garde"/>
          <w:lang w:val="x-none"/>
        </w:rPr>
        <w:t xml:space="preserve">”) como parte del AEP, en términos de la </w:t>
      </w:r>
      <w:r w:rsidR="004D7DAB" w:rsidRPr="00A64D3D">
        <w:rPr>
          <w:rFonts w:ascii="ITC Avant Garde" w:eastAsia="Times New Roman" w:hAnsi="ITC Avant Garde"/>
        </w:rPr>
        <w:t xml:space="preserve">Medida Cuadragésima </w:t>
      </w:r>
      <w:r w:rsidRPr="00A64D3D">
        <w:rPr>
          <w:rFonts w:ascii="ITC Avant Garde" w:eastAsia="Times New Roman" w:hAnsi="ITC Avant Garde"/>
          <w:lang w:val="x-none"/>
        </w:rPr>
        <w:t>Primera de las Medidas Fijas, presentó la propuesta de “</w:t>
      </w:r>
      <w:r w:rsidR="004D7DAB" w:rsidRPr="00A64D3D">
        <w:rPr>
          <w:rFonts w:ascii="ITC Avant Garde" w:eastAsia="Times New Roman" w:hAnsi="ITC Avant Garde"/>
          <w:i/>
        </w:rPr>
        <w:t>Oferta de Referencia</w:t>
      </w:r>
      <w:r w:rsidR="004D7DAB" w:rsidRPr="00A64D3D">
        <w:rPr>
          <w:rFonts w:ascii="ITC Avant Garde" w:eastAsia="Times New Roman" w:hAnsi="ITC Avant Garde"/>
          <w:i/>
          <w:lang w:val="x-none"/>
        </w:rPr>
        <w:t xml:space="preserve"> </w:t>
      </w:r>
      <w:r w:rsidR="004D7DAB" w:rsidRPr="00A64D3D">
        <w:rPr>
          <w:rFonts w:ascii="ITC Avant Garde" w:eastAsia="Times New Roman" w:hAnsi="ITC Avant Garde"/>
          <w:i/>
        </w:rPr>
        <w:t>para</w:t>
      </w:r>
      <w:r w:rsidR="004D7DAB" w:rsidRPr="00A64D3D">
        <w:rPr>
          <w:rFonts w:ascii="ITC Avant Garde" w:eastAsia="Times New Roman" w:hAnsi="ITC Avant Garde"/>
          <w:i/>
          <w:lang w:val="x-none"/>
        </w:rPr>
        <w:t xml:space="preserve"> la prestación del </w:t>
      </w:r>
      <w:r w:rsidR="004D7DAB" w:rsidRPr="00F33729">
        <w:rPr>
          <w:rFonts w:ascii="ITC Avant Garde" w:eastAsia="Times New Roman" w:hAnsi="ITC Avant Garde"/>
          <w:i/>
        </w:rPr>
        <w:t xml:space="preserve">Servicio Mayorista de </w:t>
      </w:r>
      <w:r w:rsidR="00A64D3D" w:rsidRPr="00A64D3D">
        <w:rPr>
          <w:rFonts w:ascii="ITC Avant Garde" w:eastAsia="Times New Roman" w:hAnsi="ITC Avant Garde"/>
          <w:i/>
        </w:rPr>
        <w:t>Arrendamiento de Enlaces Dedicados locales, entre localidades y de larga distancia internacional para concesionario de redes públicas de telecomunicaciones</w:t>
      </w:r>
      <w:r w:rsidRPr="00A64D3D">
        <w:rPr>
          <w:rFonts w:ascii="ITC Avant Garde" w:eastAsia="Times New Roman" w:hAnsi="ITC Avant Garde"/>
          <w:lang w:val="x-none"/>
        </w:rPr>
        <w:t>” (en lo</w:t>
      </w:r>
      <w:r w:rsidR="00FF11FF">
        <w:rPr>
          <w:rFonts w:ascii="ITC Avant Garde" w:eastAsia="Times New Roman" w:hAnsi="ITC Avant Garde"/>
          <w:lang w:val="x-none"/>
        </w:rPr>
        <w:t xml:space="preserve"> sucesivo, </w:t>
      </w:r>
      <w:r w:rsidRPr="00A64D3D">
        <w:rPr>
          <w:rFonts w:ascii="ITC Avant Garde" w:eastAsia="Times New Roman" w:hAnsi="ITC Avant Garde"/>
          <w:lang w:val="x-none"/>
        </w:rPr>
        <w:t xml:space="preserve"> “Oferta de Enlaces Dedicados de </w:t>
      </w:r>
      <w:proofErr w:type="spellStart"/>
      <w:r w:rsidRPr="00A64D3D">
        <w:rPr>
          <w:rFonts w:ascii="ITC Avant Garde" w:eastAsia="Times New Roman" w:hAnsi="ITC Avant Garde"/>
          <w:lang w:val="x-none"/>
        </w:rPr>
        <w:t>Tel</w:t>
      </w:r>
      <w:r w:rsidRPr="00A64D3D">
        <w:rPr>
          <w:rFonts w:ascii="ITC Avant Garde" w:eastAsia="Times New Roman" w:hAnsi="ITC Avant Garde"/>
        </w:rPr>
        <w:t>nor</w:t>
      </w:r>
      <w:proofErr w:type="spellEnd"/>
      <w:r w:rsidRPr="00A64D3D">
        <w:rPr>
          <w:rFonts w:ascii="ITC Avant Garde" w:eastAsia="Times New Roman" w:hAnsi="ITC Avant Garde"/>
          <w:lang w:val="x-none"/>
        </w:rPr>
        <w:t>”)</w:t>
      </w:r>
      <w:r w:rsidR="00FA53F3" w:rsidRPr="00A64D3D">
        <w:rPr>
          <w:rFonts w:ascii="ITC Avant Garde" w:eastAsia="Times New Roman" w:hAnsi="ITC Avant Garde"/>
        </w:rPr>
        <w:t xml:space="preserve"> , respecto del periodo comprendido del 1 de enero al 31 de diciembre de 201</w:t>
      </w:r>
      <w:r w:rsidR="00026F55">
        <w:rPr>
          <w:rFonts w:ascii="ITC Avant Garde" w:eastAsia="Times New Roman" w:hAnsi="ITC Avant Garde"/>
        </w:rPr>
        <w:t>9</w:t>
      </w:r>
      <w:r w:rsidR="00FA53F3" w:rsidRPr="00A64D3D">
        <w:rPr>
          <w:rFonts w:ascii="ITC Avant Garde" w:eastAsia="Times New Roman" w:hAnsi="ITC Avant Garde"/>
          <w:lang w:val="x-none"/>
        </w:rPr>
        <w:t>.</w:t>
      </w:r>
    </w:p>
    <w:p w14:paraId="02BC18A1" w14:textId="77777777" w:rsidR="008D7719" w:rsidRPr="009A0009" w:rsidRDefault="008D7719" w:rsidP="00B416F3">
      <w:pPr>
        <w:widowControl w:val="0"/>
        <w:spacing w:after="0"/>
        <w:ind w:left="1080"/>
        <w:contextualSpacing/>
        <w:jc w:val="both"/>
        <w:rPr>
          <w:rFonts w:ascii="ITC Avant Garde" w:eastAsia="Times New Roman" w:hAnsi="ITC Avant Garde"/>
          <w:sz w:val="18"/>
        </w:rPr>
      </w:pPr>
    </w:p>
    <w:p w14:paraId="78049BEA" w14:textId="1AD2E29B" w:rsidR="001F5E34" w:rsidRDefault="001F5E34" w:rsidP="00A3319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sidR="00C27174">
        <w:rPr>
          <w:rFonts w:ascii="ITC Avant Garde" w:eastAsia="Times New Roman" w:hAnsi="ITC Avant Garde"/>
        </w:rPr>
        <w:t>8</w:t>
      </w:r>
      <w:r w:rsidRPr="00EB29B0">
        <w:rPr>
          <w:rFonts w:ascii="ITC Avant Garde" w:eastAsia="Times New Roman" w:hAnsi="ITC Avant Garde"/>
          <w:lang w:val="x-none"/>
        </w:rPr>
        <w:t xml:space="preserve">, </w:t>
      </w:r>
      <w:proofErr w:type="spellStart"/>
      <w:r w:rsidRPr="00EB29B0">
        <w:rPr>
          <w:rFonts w:ascii="ITC Avant Garde" w:eastAsia="Times New Roman" w:hAnsi="ITC Avant Garde"/>
          <w:lang w:val="x-none"/>
        </w:rPr>
        <w:t>Tel</w:t>
      </w:r>
      <w:r w:rsidRPr="00EB29B0">
        <w:rPr>
          <w:rFonts w:ascii="ITC Avant Garde" w:eastAsia="Times New Roman" w:hAnsi="ITC Avant Garde"/>
        </w:rPr>
        <w:t>nor</w:t>
      </w:r>
      <w:proofErr w:type="spellEnd"/>
      <w:r w:rsidRPr="00EB29B0">
        <w:rPr>
          <w:rFonts w:ascii="ITC Avant Garde" w:eastAsia="Times New Roman" w:hAnsi="ITC Avant Garde"/>
          <w:lang w:val="x-none"/>
        </w:rPr>
        <w:t xml:space="preserve"> como parte del AEP, en términos de la </w:t>
      </w:r>
      <w:r w:rsidR="004D7DAB" w:rsidRPr="00EB29B0">
        <w:rPr>
          <w:rFonts w:ascii="ITC Avant Garde" w:eastAsia="Times New Roman" w:hAnsi="ITC Avant Garde"/>
        </w:rPr>
        <w:t>Medida</w:t>
      </w:r>
      <w:r w:rsidRPr="00EB29B0">
        <w:rPr>
          <w:rFonts w:ascii="ITC Avant Garde" w:eastAsia="Times New Roman" w:hAnsi="ITC Avant Garde"/>
          <w:lang w:val="x-none"/>
        </w:rPr>
        <w:t xml:space="preserve"> Cuadragésima Primera de las Medidas Fijas, presentó la </w:t>
      </w:r>
      <w:r w:rsidR="00F34129" w:rsidRPr="00EB29B0">
        <w:rPr>
          <w:rFonts w:ascii="ITC Avant Garde" w:eastAsia="Times New Roman" w:hAnsi="ITC Avant Garde"/>
          <w:lang w:val="x-none"/>
        </w:rPr>
        <w:t>“</w:t>
      </w:r>
      <w:r w:rsidR="00F34129" w:rsidRPr="00EB29B0">
        <w:rPr>
          <w:rFonts w:ascii="ITC Avant Garde" w:eastAsia="Times New Roman" w:hAnsi="ITC Avant Garde"/>
          <w:i/>
          <w:lang w:val="x-none"/>
        </w:rPr>
        <w:t xml:space="preserve">propuesta de </w:t>
      </w:r>
      <w:r w:rsidR="00F34129" w:rsidRPr="00EB29B0">
        <w:rPr>
          <w:rFonts w:ascii="ITC Avant Garde" w:eastAsia="Times New Roman" w:hAnsi="ITC Avant Garde"/>
          <w:i/>
        </w:rPr>
        <w:t>Oferta de Referencia</w:t>
      </w:r>
      <w:r w:rsidR="00F34129" w:rsidRPr="00EB29B0">
        <w:rPr>
          <w:rFonts w:ascii="ITC Avant Garde" w:eastAsia="Times New Roman" w:hAnsi="ITC Avant Garde"/>
          <w:i/>
          <w:lang w:val="x-none"/>
        </w:rPr>
        <w:t xml:space="preserve"> para </w:t>
      </w:r>
      <w:r w:rsidR="00F34129" w:rsidRPr="00EB29B0">
        <w:rPr>
          <w:rFonts w:ascii="ITC Avant Garde" w:eastAsia="Times New Roman" w:hAnsi="ITC Avant Garde"/>
          <w:i/>
        </w:rPr>
        <w:t>la prestación del Servicio de Acceso y Uso Compartido de Infraestructura Pasiva</w:t>
      </w:r>
      <w:r w:rsidR="00F34129" w:rsidRPr="00EB29B0">
        <w:rPr>
          <w:rFonts w:ascii="ITC Avant Garde" w:eastAsia="Times New Roman" w:hAnsi="ITC Avant Garde"/>
          <w:lang w:val="x-none"/>
        </w:rPr>
        <w:t>”</w:t>
      </w:r>
      <w:r w:rsidRPr="00EB29B0">
        <w:rPr>
          <w:rFonts w:ascii="ITC Avant Garde" w:eastAsia="Times New Roman" w:hAnsi="ITC Avant Garde"/>
          <w:lang w:val="x-none"/>
        </w:rPr>
        <w:t xml:space="preserve"> (en lo sucesivo, “Oferta de Infraestructura Pasiva de </w:t>
      </w:r>
      <w:proofErr w:type="spellStart"/>
      <w:r w:rsidRPr="00EB29B0">
        <w:rPr>
          <w:rFonts w:ascii="ITC Avant Garde" w:eastAsia="Times New Roman" w:hAnsi="ITC Avant Garde"/>
          <w:lang w:val="x-none"/>
        </w:rPr>
        <w:t>Tel</w:t>
      </w:r>
      <w:r w:rsidRPr="00EB29B0">
        <w:rPr>
          <w:rFonts w:ascii="ITC Avant Garde" w:eastAsia="Times New Roman" w:hAnsi="ITC Avant Garde"/>
        </w:rPr>
        <w:t>nor</w:t>
      </w:r>
      <w:proofErr w:type="spellEnd"/>
      <w:r w:rsidRPr="00EB29B0">
        <w:rPr>
          <w:rFonts w:ascii="ITC Avant Garde" w:eastAsia="Times New Roman" w:hAnsi="ITC Avant Garde"/>
          <w:lang w:val="x-none"/>
        </w:rPr>
        <w:t>”)</w:t>
      </w:r>
      <w:r w:rsidR="00FA53F3" w:rsidRPr="00EB29B0">
        <w:rPr>
          <w:rFonts w:ascii="ITC Avant Garde" w:eastAsia="Times New Roman" w:hAnsi="ITC Avant Garde"/>
        </w:rPr>
        <w:t>, respecto del periodo comprendido del 1 de enero al 31 de diciembre de 201</w:t>
      </w:r>
      <w:r w:rsidR="00026F55">
        <w:rPr>
          <w:rFonts w:ascii="ITC Avant Garde" w:eastAsia="Times New Roman" w:hAnsi="ITC Avant Garde"/>
        </w:rPr>
        <w:t>9</w:t>
      </w:r>
      <w:r w:rsidR="00FA53F3" w:rsidRPr="00EB29B0">
        <w:rPr>
          <w:rFonts w:ascii="ITC Avant Garde" w:eastAsia="Times New Roman" w:hAnsi="ITC Avant Garde"/>
          <w:lang w:val="x-none"/>
        </w:rPr>
        <w:t>.</w:t>
      </w:r>
    </w:p>
    <w:p w14:paraId="6F8BBDD7" w14:textId="77777777" w:rsidR="009A0009" w:rsidRDefault="009A0009" w:rsidP="009A0009">
      <w:pPr>
        <w:widowControl w:val="0"/>
        <w:spacing w:after="0"/>
        <w:ind w:left="1080"/>
        <w:contextualSpacing/>
        <w:jc w:val="both"/>
        <w:rPr>
          <w:rFonts w:ascii="ITC Avant Garde" w:eastAsia="Times New Roman" w:hAnsi="ITC Avant Garde"/>
          <w:lang w:val="x-none"/>
        </w:rPr>
      </w:pPr>
    </w:p>
    <w:p w14:paraId="7605D389" w14:textId="77777777" w:rsidR="007C4BEB" w:rsidRPr="00EB29B0" w:rsidRDefault="007C4BEB" w:rsidP="00A33196">
      <w:pPr>
        <w:spacing w:after="0"/>
        <w:jc w:val="center"/>
        <w:rPr>
          <w:rFonts w:ascii="ITC Avant Garde" w:hAnsi="ITC Avant Garde" w:cs="Arial"/>
          <w:b/>
          <w:bCs/>
        </w:rPr>
      </w:pPr>
      <w:r w:rsidRPr="00EB29B0">
        <w:rPr>
          <w:rFonts w:ascii="ITC Avant Garde" w:hAnsi="ITC Avant Garde" w:cs="Arial"/>
          <w:b/>
          <w:bCs/>
        </w:rPr>
        <w:t>CONSIDERANDO</w:t>
      </w:r>
    </w:p>
    <w:p w14:paraId="7044E5D4" w14:textId="77777777" w:rsidR="009A0009" w:rsidRDefault="009A0009" w:rsidP="00A33196">
      <w:pPr>
        <w:spacing w:after="0"/>
        <w:jc w:val="both"/>
        <w:rPr>
          <w:rFonts w:ascii="ITC Avant Garde" w:hAnsi="ITC Avant Garde" w:cs="Arial"/>
          <w:b/>
          <w:bCs/>
        </w:rPr>
      </w:pPr>
    </w:p>
    <w:p w14:paraId="34055D84" w14:textId="6AB10FDF" w:rsidR="007C4BEB" w:rsidRPr="00EB29B0" w:rsidRDefault="007C4BEB" w:rsidP="00A33196">
      <w:pPr>
        <w:spacing w:after="0"/>
        <w:jc w:val="both"/>
        <w:rPr>
          <w:rFonts w:ascii="ITC Avant Garde" w:hAnsi="ITC Avant Garde" w:cs="Arial"/>
          <w:bCs/>
        </w:rPr>
      </w:pPr>
      <w:proofErr w:type="gramStart"/>
      <w:r w:rsidRPr="00EB29B0">
        <w:rPr>
          <w:rFonts w:ascii="ITC Avant Garde" w:hAnsi="ITC Avant Garde" w:cs="Arial"/>
          <w:b/>
          <w:bCs/>
        </w:rPr>
        <w:t>PRIMERO.-</w:t>
      </w:r>
      <w:proofErr w:type="gramEnd"/>
      <w:r w:rsidRPr="00EB29B0">
        <w:rPr>
          <w:rFonts w:ascii="ITC Avant Garde" w:hAnsi="ITC Avant Garde" w:cs="Arial"/>
          <w:b/>
          <w:bCs/>
        </w:rPr>
        <w:t xml:space="preserve"> Competencia del Instituto.</w:t>
      </w:r>
      <w:r w:rsidRPr="00EB29B0">
        <w:rPr>
          <w:rFonts w:ascii="ITC Avant Garde" w:hAnsi="ITC Avant Garde" w:cs="Arial"/>
          <w:bCs/>
        </w:rPr>
        <w:t xml:space="preserve"> De conformidad con el artículo 28, </w:t>
      </w:r>
      <w:proofErr w:type="gramStart"/>
      <w:r w:rsidRPr="00EB29B0">
        <w:rPr>
          <w:rFonts w:ascii="ITC Avant Garde" w:hAnsi="ITC Avant Garde" w:cs="Arial"/>
          <w:bCs/>
        </w:rPr>
        <w:t>párrafos décimo quinto</w:t>
      </w:r>
      <w:proofErr w:type="gramEnd"/>
      <w:r w:rsidRPr="00EB29B0">
        <w:rPr>
          <w:rFonts w:ascii="ITC Avant Garde" w:hAnsi="ITC Avant Garde" w:cs="Arial"/>
          <w:bCs/>
        </w:rPr>
        <w:t xml:space="preserve">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EB29B0">
        <w:rPr>
          <w:rFonts w:ascii="ITC Avant Garde" w:hAnsi="ITC Avant Garde" w:cs="Arial"/>
          <w:bCs/>
        </w:rPr>
        <w:t>aciones, así como del acceso a i</w:t>
      </w:r>
      <w:r w:rsidRPr="00EB29B0">
        <w:rPr>
          <w:rFonts w:ascii="ITC Avant Garde" w:hAnsi="ITC Avant Garde" w:cs="Arial"/>
          <w:bCs/>
        </w:rPr>
        <w:t xml:space="preserve">nfraestructura activa, pasiva y otros 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w:t>
      </w:r>
      <w:proofErr w:type="spellStart"/>
      <w:r w:rsidRPr="00EB29B0">
        <w:rPr>
          <w:rFonts w:ascii="ITC Avant Garde" w:hAnsi="ITC Avant Garde" w:cs="Arial"/>
          <w:bCs/>
        </w:rPr>
        <w:t>concesionamiento</w:t>
      </w:r>
      <w:proofErr w:type="spellEnd"/>
      <w:r w:rsidRPr="00EB29B0">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4CE17163" w14:textId="77777777" w:rsidR="007C4BEB" w:rsidRDefault="007C4BEB" w:rsidP="00A33196">
      <w:pPr>
        <w:widowControl w:val="0"/>
        <w:spacing w:after="0"/>
        <w:jc w:val="both"/>
        <w:rPr>
          <w:rFonts w:ascii="ITC Avant Garde" w:eastAsia="Times New Roman" w:hAnsi="ITC Avant Garde"/>
        </w:rPr>
      </w:pPr>
    </w:p>
    <w:p w14:paraId="7FC7B409" w14:textId="211C4E59" w:rsidR="007C4BEB" w:rsidRPr="00EB29B0" w:rsidRDefault="008E3097" w:rsidP="00A33196">
      <w:pPr>
        <w:spacing w:after="0"/>
        <w:jc w:val="both"/>
        <w:rPr>
          <w:rFonts w:ascii="ITC Avant Garde" w:hAnsi="ITC Avant Garde" w:cs="Arial"/>
          <w:bCs/>
        </w:rPr>
      </w:pPr>
      <w:r w:rsidRPr="00EB29B0">
        <w:rPr>
          <w:rFonts w:ascii="ITC Avant Garde" w:hAnsi="ITC Avant Garde" w:cs="Arial"/>
          <w:bCs/>
        </w:rPr>
        <w:t>En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Pr="00EB29B0">
        <w:rPr>
          <w:rFonts w:ascii="ITC Avant Garde" w:hAnsi="ITC Avant Garde" w:cs="Arial"/>
          <w:bCs/>
        </w:rPr>
        <w:t xml:space="preserve">l Agente Económico </w:t>
      </w:r>
      <w:r w:rsidR="007C4BEB" w:rsidRPr="00EB29B0">
        <w:rPr>
          <w:rFonts w:ascii="ITC Avant Garde" w:hAnsi="ITC Avant Garde" w:cs="Arial"/>
          <w:bCs/>
        </w:rPr>
        <w:t xml:space="preserve">Preponderante en </w:t>
      </w:r>
      <w:r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Móviles</w:t>
      </w:r>
      <w:r w:rsidR="00C22B66" w:rsidRPr="00EB29B0">
        <w:rPr>
          <w:rFonts w:ascii="ITC Avant Garde" w:hAnsi="ITC Avant Garde" w:cs="Arial"/>
          <w:bCs/>
        </w:rPr>
        <w:t xml:space="preserve"> y las</w:t>
      </w:r>
      <w:r w:rsidR="007C4BEB" w:rsidRPr="00EB29B0">
        <w:rPr>
          <w:rFonts w:ascii="ITC Avant Garde" w:hAnsi="ITC Avant Garde" w:cs="Arial"/>
          <w:bCs/>
        </w:rPr>
        <w:t xml:space="preserve"> Medidas Fijas, mismas que </w:t>
      </w:r>
      <w:r w:rsidR="007C4BEB" w:rsidRPr="00EB29B0">
        <w:rPr>
          <w:rFonts w:ascii="ITC Avant Garde" w:hAnsi="ITC Avant Garde" w:cs="Arial"/>
          <w:bCs/>
        </w:rPr>
        <w:lastRenderedPageBreak/>
        <w:t>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14:paraId="2B52ABA4" w14:textId="77777777" w:rsidR="000277EE" w:rsidRPr="00EB29B0" w:rsidRDefault="000277EE" w:rsidP="00A33196">
      <w:pPr>
        <w:spacing w:after="0"/>
        <w:jc w:val="both"/>
        <w:rPr>
          <w:rFonts w:ascii="ITC Avant Garde" w:hAnsi="ITC Avant Garde" w:cs="Arial"/>
          <w:bCs/>
        </w:rPr>
      </w:pPr>
    </w:p>
    <w:p w14:paraId="1D8F7B7C" w14:textId="6FA87175" w:rsidR="00514A8F" w:rsidRPr="00EB29B0" w:rsidRDefault="00F9106B" w:rsidP="00A33196">
      <w:pPr>
        <w:spacing w:after="0"/>
        <w:jc w:val="both"/>
        <w:rPr>
          <w:rFonts w:ascii="ITC Avant Garde" w:hAnsi="ITC Avant Garde" w:cs="Arial"/>
          <w:bCs/>
        </w:rPr>
      </w:pPr>
      <w:r w:rsidRPr="00EB29B0">
        <w:rPr>
          <w:rFonts w:ascii="ITC Avant Garde" w:hAnsi="ITC Avant Garde" w:cs="Arial"/>
          <w:bCs/>
        </w:rPr>
        <w:t xml:space="preserve">La Resolución AEP y sus </w:t>
      </w:r>
      <w:r w:rsidR="00BC30D1" w:rsidRPr="00EB29B0">
        <w:rPr>
          <w:rFonts w:ascii="ITC Avant Garde" w:hAnsi="ITC Avant Garde" w:cs="Arial"/>
          <w:bCs/>
        </w:rPr>
        <w:t xml:space="preserve">Anexos (las </w:t>
      </w:r>
      <w:r w:rsidR="00C22B66" w:rsidRPr="00EB29B0">
        <w:rPr>
          <w:rFonts w:ascii="ITC Avant Garde" w:hAnsi="ITC Avant Garde" w:cs="Arial"/>
          <w:bCs/>
        </w:rPr>
        <w:t>Medidas</w:t>
      </w:r>
      <w:r w:rsidR="00514A8F" w:rsidRPr="00EB29B0">
        <w:rPr>
          <w:rFonts w:ascii="ITC Avant Garde" w:hAnsi="ITC Avant Garde" w:cs="Arial"/>
          <w:bCs/>
        </w:rPr>
        <w:t xml:space="preserve"> Móviles</w:t>
      </w:r>
      <w:r w:rsidR="00C22B66" w:rsidRPr="00EB29B0">
        <w:rPr>
          <w:rFonts w:ascii="ITC Avant Garde" w:hAnsi="ITC Avant Garde" w:cs="Arial"/>
          <w:bCs/>
        </w:rPr>
        <w:t xml:space="preserve"> y Fijas</w:t>
      </w:r>
      <w:r w:rsidR="00BC30D1" w:rsidRPr="00EB29B0">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V de</w:t>
      </w:r>
      <w:r w:rsidR="00FF11FF">
        <w:rPr>
          <w:rFonts w:ascii="ITC Avant Garde" w:hAnsi="ITC Avant Garde" w:cs="Arial"/>
          <w:bCs/>
        </w:rPr>
        <w:t>l presente Acuerdo</w:t>
      </w:r>
      <w:r w:rsidR="00BC30D1" w:rsidRPr="00EB29B0">
        <w:rPr>
          <w:rFonts w:ascii="ITC Avant Garde" w:hAnsi="ITC Avant Garde" w:cs="Arial"/>
          <w:bCs/>
        </w:rPr>
        <w:t>.</w:t>
      </w:r>
    </w:p>
    <w:p w14:paraId="248113C6" w14:textId="77777777" w:rsidR="00D61FD4" w:rsidRPr="00EB29B0" w:rsidRDefault="00D61FD4" w:rsidP="00A33196">
      <w:pPr>
        <w:spacing w:after="0"/>
        <w:jc w:val="both"/>
        <w:rPr>
          <w:rFonts w:ascii="ITC Avant Garde" w:hAnsi="ITC Avant Garde" w:cs="Arial"/>
          <w:bCs/>
        </w:rPr>
      </w:pPr>
    </w:p>
    <w:p w14:paraId="06E05099" w14:textId="77777777" w:rsidR="00D61FD4" w:rsidRPr="00EB29B0" w:rsidRDefault="00D61FD4" w:rsidP="00D61FD4">
      <w:pPr>
        <w:spacing w:after="0"/>
        <w:jc w:val="both"/>
        <w:rPr>
          <w:rFonts w:ascii="ITC Avant Garde" w:hAnsi="ITC Avant Garde" w:cs="Arial"/>
          <w:bCs/>
        </w:rPr>
      </w:pPr>
      <w:r w:rsidRPr="00EB29B0">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4FD8BEF7" w14:textId="77777777" w:rsidR="00A4788C" w:rsidRPr="00EB29B0" w:rsidRDefault="00A4788C" w:rsidP="00A33196">
      <w:pPr>
        <w:spacing w:after="0"/>
        <w:jc w:val="both"/>
        <w:rPr>
          <w:rFonts w:ascii="ITC Avant Garde" w:hAnsi="ITC Avant Garde" w:cs="Arial"/>
          <w:bCs/>
        </w:rPr>
      </w:pPr>
    </w:p>
    <w:p w14:paraId="40340BCA" w14:textId="24D539D3" w:rsidR="00A17827" w:rsidRPr="00EB29B0" w:rsidRDefault="00AB7EEE" w:rsidP="00A33196">
      <w:pPr>
        <w:spacing w:after="0"/>
        <w:jc w:val="both"/>
        <w:rPr>
          <w:rFonts w:ascii="ITC Avant Garde" w:hAnsi="ITC Avant Garde" w:cs="Arial"/>
          <w:b/>
          <w:bCs/>
        </w:rPr>
      </w:pPr>
      <w:proofErr w:type="gramStart"/>
      <w:r w:rsidRPr="00EB29B0">
        <w:rPr>
          <w:rFonts w:ascii="ITC Avant Garde" w:hAnsi="ITC Avant Garde" w:cs="Arial"/>
          <w:b/>
          <w:bCs/>
        </w:rPr>
        <w:t>SEGUNDO</w:t>
      </w:r>
      <w:r w:rsidRPr="00EB29B0">
        <w:rPr>
          <w:rFonts w:ascii="ITC Avant Garde" w:hAnsi="ITC Avant Garde" w:cs="Arial"/>
          <w:bCs/>
        </w:rPr>
        <w:t>.-</w:t>
      </w:r>
      <w:proofErr w:type="gramEnd"/>
      <w:r w:rsidRPr="00EB29B0">
        <w:rPr>
          <w:rFonts w:ascii="ITC Avant Garde" w:hAnsi="ITC Avant Garde" w:cs="Arial"/>
          <w:bCs/>
        </w:rPr>
        <w:t xml:space="preserve"> </w:t>
      </w:r>
      <w:r w:rsidR="00C22B66" w:rsidRPr="00EB29B0">
        <w:rPr>
          <w:rFonts w:ascii="ITC Avant Garde" w:hAnsi="ITC Avant Garde" w:cs="Arial"/>
          <w:b/>
          <w:bCs/>
        </w:rPr>
        <w:t>Obligatoriedad del AEP de presentar sus Ofertas de Referencia</w:t>
      </w:r>
      <w:r w:rsidR="003A2A92" w:rsidRPr="00EB29B0">
        <w:rPr>
          <w:rFonts w:ascii="ITC Avant Garde" w:hAnsi="ITC Avant Garde" w:cs="Arial"/>
          <w:b/>
          <w:bCs/>
        </w:rPr>
        <w:t>.</w:t>
      </w:r>
      <w:r w:rsidR="00B263FA" w:rsidRPr="00EB29B0">
        <w:rPr>
          <w:rFonts w:ascii="ITC Avant Garde" w:hAnsi="ITC Avant Garde" w:cs="Arial"/>
          <w:b/>
          <w:bCs/>
        </w:rPr>
        <w:t xml:space="preserve"> </w:t>
      </w:r>
      <w:r w:rsidR="00E21600" w:rsidRPr="00EB29B0">
        <w:rPr>
          <w:rFonts w:ascii="ITC Avant Garde" w:hAnsi="ITC Avant Garde" w:cs="Arial"/>
          <w:bCs/>
        </w:rPr>
        <w:t>Uno de los objetivos de las atribuciones conferidas a este Instituto por el artículo Octavo Transitorio, fracción III del Decreto, radicó en la necesidad de supervisión del órgano regulador a efecto de que los servicios mayoristas se presten de manera justa y equitativa, evitando incurrir en prácticas anticompetitivas; de lo contrario no se podría garantizar la aplicación del principio de no discriminación.</w:t>
      </w:r>
    </w:p>
    <w:p w14:paraId="27B50E90" w14:textId="77777777" w:rsidR="00A17827" w:rsidRPr="00EB29B0" w:rsidRDefault="00A17827" w:rsidP="00A33196">
      <w:pPr>
        <w:spacing w:after="0"/>
        <w:jc w:val="both"/>
        <w:rPr>
          <w:rFonts w:ascii="ITC Avant Garde" w:hAnsi="ITC Avant Garde" w:cs="Arial"/>
          <w:bCs/>
        </w:rPr>
      </w:pPr>
    </w:p>
    <w:p w14:paraId="67FC7D68" w14:textId="3215B90F" w:rsidR="00A17827" w:rsidRPr="00EB29B0" w:rsidRDefault="00A17827" w:rsidP="00A33196">
      <w:pPr>
        <w:spacing w:after="0"/>
        <w:jc w:val="both"/>
        <w:rPr>
          <w:rFonts w:ascii="ITC Avant Garde" w:hAnsi="ITC Avant Garde" w:cs="Arial"/>
          <w:bCs/>
        </w:rPr>
      </w:pPr>
      <w:r w:rsidRPr="00EB29B0">
        <w:rPr>
          <w:rFonts w:ascii="ITC Avant Garde" w:hAnsi="ITC Avant Garde" w:cs="Arial"/>
          <w:bCs/>
        </w:rPr>
        <w:t>Es así que uno de los objetivos de la LFTR es regular el uso y aprovechamiento de las redes públicas de telecomunicaciones, así como la prestación de los servicios públicos de interés general de telecomunicaciones.</w:t>
      </w:r>
    </w:p>
    <w:p w14:paraId="5C63E97A" w14:textId="77777777" w:rsidR="00A17827" w:rsidRDefault="00A17827" w:rsidP="00A33196">
      <w:pPr>
        <w:spacing w:after="0"/>
        <w:jc w:val="both"/>
        <w:rPr>
          <w:rFonts w:ascii="ITC Avant Garde" w:eastAsia="Times New Roman" w:hAnsi="ITC Avant Garde"/>
          <w:szCs w:val="20"/>
        </w:rPr>
      </w:pPr>
    </w:p>
    <w:p w14:paraId="0000E057" w14:textId="46024DDB" w:rsidR="00A17827" w:rsidRDefault="00A17827" w:rsidP="00A33196">
      <w:pPr>
        <w:spacing w:after="0"/>
        <w:jc w:val="both"/>
        <w:rPr>
          <w:rFonts w:ascii="ITC Avant Garde" w:eastAsia="Times New Roman" w:hAnsi="ITC Avant Garde"/>
          <w:szCs w:val="20"/>
        </w:rPr>
      </w:pPr>
      <w:r w:rsidRPr="00EB29B0">
        <w:rPr>
          <w:rFonts w:ascii="ITC Avant Garde" w:eastAsia="Times New Roman" w:hAnsi="ITC Avant Garde"/>
          <w:szCs w:val="20"/>
        </w:rPr>
        <w:t xml:space="preserve">En este sentido, en la Medida </w:t>
      </w:r>
      <w:r w:rsidRPr="00EB29B0">
        <w:rPr>
          <w:rFonts w:ascii="ITC Avant Garde" w:eastAsia="Times New Roman" w:hAnsi="ITC Avant Garde"/>
        </w:rPr>
        <w:t>Decimosexta de las Medidas Móviles</w:t>
      </w:r>
      <w:r w:rsidR="00571FAC">
        <w:rPr>
          <w:rFonts w:ascii="ITC Avant Garde" w:eastAsia="Times New Roman" w:hAnsi="ITC Avant Garde"/>
        </w:rPr>
        <w:t xml:space="preserve"> establece el procedimiento de revisión y autorización de la</w:t>
      </w:r>
      <w:r w:rsidRPr="00EB29B0">
        <w:rPr>
          <w:rFonts w:ascii="ITC Avant Garde" w:eastAsia="Times New Roman" w:hAnsi="ITC Avant Garde"/>
        </w:rPr>
        <w:t xml:space="preserve"> </w:t>
      </w:r>
      <w:r w:rsidR="00571FAC">
        <w:rPr>
          <w:rFonts w:ascii="ITC Avant Garde" w:eastAsia="Times New Roman" w:hAnsi="ITC Avant Garde"/>
        </w:rPr>
        <w:t xml:space="preserve">propuesta de </w:t>
      </w:r>
      <w:r w:rsidRPr="00EB29B0">
        <w:rPr>
          <w:rFonts w:ascii="ITC Avant Garde" w:eastAsia="Times New Roman" w:hAnsi="ITC Avant Garde"/>
        </w:rPr>
        <w:t xml:space="preserve">Oferta de Referencia para la prestación del Servicio Mayorista de Usuario Visitante, </w:t>
      </w:r>
      <w:r w:rsidR="00571FAC">
        <w:rPr>
          <w:rFonts w:ascii="ITC Avant Garde" w:eastAsia="Times New Roman" w:hAnsi="ITC Avant Garde"/>
        </w:rPr>
        <w:t>de la</w:t>
      </w:r>
      <w:r w:rsidRPr="00EB29B0">
        <w:rPr>
          <w:rFonts w:ascii="ITC Avant Garde" w:eastAsia="Times New Roman" w:hAnsi="ITC Avant Garde"/>
        </w:rPr>
        <w:t xml:space="preserve"> propuesta de Oferta de Referencia para la prestación del Servicio Mayorista de Comercialización o Reventa de Servicios y </w:t>
      </w:r>
      <w:r w:rsidR="00571FAC">
        <w:rPr>
          <w:rFonts w:ascii="ITC Avant Garde" w:eastAsia="Times New Roman" w:hAnsi="ITC Avant Garde"/>
        </w:rPr>
        <w:t xml:space="preserve">de la </w:t>
      </w:r>
      <w:r w:rsidRPr="00EB29B0">
        <w:rPr>
          <w:rFonts w:ascii="ITC Avant Garde" w:eastAsia="Times New Roman" w:hAnsi="ITC Avant Garde"/>
        </w:rPr>
        <w:t>propuesta de Oferta de Referencia para la prestación del Servicio de Acceso y Uso Compartido de Infraestructura Pasiva</w:t>
      </w:r>
      <w:r w:rsidR="00571FAC">
        <w:rPr>
          <w:rFonts w:ascii="ITC Avant Garde" w:eastAsia="Times New Roman" w:hAnsi="ITC Avant Garde"/>
        </w:rPr>
        <w:t xml:space="preserve"> de conformidad con lo señalado en el </w:t>
      </w:r>
      <w:r w:rsidR="00571FAC" w:rsidRPr="008A136C">
        <w:rPr>
          <w:rFonts w:ascii="ITC Avant Garde" w:eastAsia="Times New Roman" w:hAnsi="ITC Avant Garde"/>
        </w:rPr>
        <w:t>Artículo 26</w:t>
      </w:r>
      <w:r w:rsidR="00571FAC">
        <w:rPr>
          <w:rFonts w:ascii="ITC Avant Garde" w:eastAsia="Times New Roman" w:hAnsi="ITC Avant Garde"/>
        </w:rPr>
        <w:t>8</w:t>
      </w:r>
      <w:r w:rsidR="00571FAC" w:rsidRPr="008A136C">
        <w:rPr>
          <w:rFonts w:ascii="ITC Avant Garde" w:eastAsia="Times New Roman" w:hAnsi="ITC Avant Garde"/>
        </w:rPr>
        <w:t xml:space="preserve"> de la </w:t>
      </w:r>
      <w:r w:rsidR="00571FAC">
        <w:rPr>
          <w:rFonts w:ascii="ITC Avant Garde" w:eastAsia="Times New Roman" w:hAnsi="ITC Avant Garde"/>
        </w:rPr>
        <w:t xml:space="preserve">LFTR, que impone al </w:t>
      </w:r>
      <w:r w:rsidR="00571FAC" w:rsidRPr="006F0A6C">
        <w:rPr>
          <w:rFonts w:ascii="ITC Avant Garde" w:eastAsia="Times New Roman" w:hAnsi="ITC Avant Garde"/>
        </w:rPr>
        <w:t xml:space="preserve">AEP la obligación de </w:t>
      </w:r>
      <w:r w:rsidR="00571FAC">
        <w:rPr>
          <w:rFonts w:ascii="ITC Avant Garde" w:eastAsia="Times New Roman" w:hAnsi="ITC Avant Garde"/>
        </w:rPr>
        <w:t xml:space="preserve">someter a la aprobación del Instituto, </w:t>
      </w:r>
      <w:r w:rsidR="00571FAC" w:rsidRPr="00571FAC">
        <w:rPr>
          <w:rFonts w:ascii="ITC Avant Garde" w:eastAsia="Times New Roman" w:hAnsi="ITC Avant Garde"/>
        </w:rPr>
        <w:t xml:space="preserve">en el mes de julio del año que corresponda </w:t>
      </w:r>
      <w:r w:rsidR="00571FAC">
        <w:rPr>
          <w:rFonts w:ascii="ITC Avant Garde" w:eastAsia="Times New Roman" w:hAnsi="ITC Avant Garde"/>
        </w:rPr>
        <w:t>las ofertas públicas de referencia</w:t>
      </w:r>
      <w:r w:rsidRPr="00EB29B0">
        <w:rPr>
          <w:rFonts w:ascii="ITC Avant Garde" w:eastAsia="Times New Roman" w:hAnsi="ITC Avant Garde"/>
        </w:rPr>
        <w:t>.</w:t>
      </w:r>
      <w:r w:rsidRPr="00EB29B0">
        <w:rPr>
          <w:rFonts w:ascii="ITC Avant Garde" w:eastAsia="Times New Roman" w:hAnsi="ITC Avant Garde"/>
          <w:szCs w:val="20"/>
        </w:rPr>
        <w:t xml:space="preserve"> </w:t>
      </w:r>
    </w:p>
    <w:p w14:paraId="61719D0E" w14:textId="77777777" w:rsidR="00571FAC" w:rsidRDefault="00571FAC" w:rsidP="00A33196">
      <w:pPr>
        <w:spacing w:after="0"/>
        <w:jc w:val="both"/>
        <w:rPr>
          <w:rFonts w:ascii="ITC Avant Garde" w:eastAsia="Times New Roman" w:hAnsi="ITC Avant Garde"/>
          <w:szCs w:val="20"/>
        </w:rPr>
      </w:pPr>
    </w:p>
    <w:p w14:paraId="15646F7D" w14:textId="2E3D079B" w:rsidR="00571FAC" w:rsidRDefault="00571FAC" w:rsidP="00571FAC">
      <w:pPr>
        <w:spacing w:after="0"/>
        <w:jc w:val="both"/>
        <w:rPr>
          <w:rFonts w:ascii="ITC Avant Garde" w:eastAsia="Times New Roman" w:hAnsi="ITC Avant Garde"/>
        </w:rPr>
      </w:pPr>
      <w:r w:rsidRPr="00EB29B0">
        <w:rPr>
          <w:rFonts w:ascii="ITC Avant Garde" w:eastAsia="Times New Roman" w:hAnsi="ITC Avant Garde"/>
        </w:rPr>
        <w:t xml:space="preserve">Por otro lado, la Medida Cuadragésima Primera de las Medidas Fijas dispone que el AEP deberá entregar a este Instituto en el mes de julio del año que corresponda, una propuesta de Oferta de Referencia para la prestación del Servicio Mayorista de Enlaces Dedicados y una Propuesta de Oferta Referencia para la prestación del Servicio de </w:t>
      </w:r>
      <w:r w:rsidRPr="00EB29B0">
        <w:rPr>
          <w:rFonts w:ascii="ITC Avant Garde" w:eastAsia="Times New Roman" w:hAnsi="ITC Avant Garde"/>
        </w:rPr>
        <w:lastRenderedPageBreak/>
        <w:t>Acceso y Uso Compartido de Infraestructura Pasiva</w:t>
      </w:r>
      <w:r w:rsidR="00F921E7">
        <w:rPr>
          <w:rFonts w:ascii="ITC Avant Garde" w:eastAsia="Times New Roman" w:hAnsi="ITC Avant Garde"/>
        </w:rPr>
        <w:t xml:space="preserve">, de conformidad con lo señalado en el </w:t>
      </w:r>
      <w:r w:rsidR="00F921E7" w:rsidRPr="008A136C">
        <w:rPr>
          <w:rFonts w:ascii="ITC Avant Garde" w:eastAsia="Times New Roman" w:hAnsi="ITC Avant Garde"/>
        </w:rPr>
        <w:t>Artículo 26</w:t>
      </w:r>
      <w:r w:rsidR="00F921E7">
        <w:rPr>
          <w:rFonts w:ascii="ITC Avant Garde" w:eastAsia="Times New Roman" w:hAnsi="ITC Avant Garde"/>
        </w:rPr>
        <w:t>8</w:t>
      </w:r>
      <w:r w:rsidR="00F921E7" w:rsidRPr="008A136C">
        <w:rPr>
          <w:rFonts w:ascii="ITC Avant Garde" w:eastAsia="Times New Roman" w:hAnsi="ITC Avant Garde"/>
        </w:rPr>
        <w:t xml:space="preserve"> de la </w:t>
      </w:r>
      <w:r w:rsidR="00F921E7">
        <w:rPr>
          <w:rFonts w:ascii="ITC Avant Garde" w:eastAsia="Times New Roman" w:hAnsi="ITC Avant Garde"/>
        </w:rPr>
        <w:t>LFTR</w:t>
      </w:r>
      <w:r w:rsidRPr="00EB29B0">
        <w:rPr>
          <w:rFonts w:ascii="ITC Avant Garde" w:eastAsia="Times New Roman" w:hAnsi="ITC Avant Garde"/>
        </w:rPr>
        <w:t>.</w:t>
      </w:r>
    </w:p>
    <w:p w14:paraId="2735F98A" w14:textId="702A3607" w:rsidR="00571FAC" w:rsidRDefault="00571FAC" w:rsidP="00A33196">
      <w:pPr>
        <w:spacing w:after="0"/>
        <w:jc w:val="both"/>
        <w:rPr>
          <w:rFonts w:ascii="ITC Avant Garde" w:eastAsia="Times New Roman" w:hAnsi="ITC Avant Garde"/>
          <w:szCs w:val="20"/>
        </w:rPr>
      </w:pPr>
    </w:p>
    <w:p w14:paraId="66C3AF26" w14:textId="77777777" w:rsidR="00F921E7" w:rsidRDefault="00F921E7" w:rsidP="00F921E7">
      <w:pPr>
        <w:spacing w:after="0"/>
        <w:jc w:val="both"/>
        <w:rPr>
          <w:rFonts w:ascii="ITC Avant Garde" w:hAnsi="ITC Avant Garde" w:cs="Arial"/>
          <w:bCs/>
        </w:rPr>
      </w:pPr>
      <w:r>
        <w:rPr>
          <w:rFonts w:ascii="ITC Avant Garde" w:hAnsi="ITC Avant Garde" w:cs="Arial"/>
          <w:bCs/>
        </w:rPr>
        <w:t>Asimismo, el Resolutivo SEXTO de la Resolución AEP dispone lo siguiente:</w:t>
      </w:r>
    </w:p>
    <w:p w14:paraId="7C232AC7" w14:textId="77777777" w:rsidR="00F921E7" w:rsidRDefault="00F921E7" w:rsidP="00F921E7">
      <w:pPr>
        <w:spacing w:after="0"/>
        <w:jc w:val="both"/>
        <w:rPr>
          <w:rFonts w:ascii="ITC Avant Garde" w:hAnsi="ITC Avant Garde" w:cs="Arial"/>
          <w:bCs/>
        </w:rPr>
      </w:pPr>
    </w:p>
    <w:p w14:paraId="6C2D1CA9" w14:textId="77777777" w:rsidR="00F921E7" w:rsidRDefault="00F921E7" w:rsidP="00F921E7">
      <w:pPr>
        <w:pStyle w:val="Citaift"/>
      </w:pPr>
      <w:r>
        <w:t>“</w:t>
      </w:r>
      <w:r w:rsidRPr="00F107F2">
        <w:rPr>
          <w:b/>
        </w:rPr>
        <w:t>SEXTO.-</w:t>
      </w:r>
      <w:r w:rsidRPr="00636053">
        <w:t xml:space="preserve"> </w:t>
      </w:r>
      <w:r w:rsidRPr="00F107F2">
        <w:rPr>
          <w:b/>
          <w:u w:val="single"/>
        </w:rPr>
        <w:t>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w:t>
      </w:r>
      <w:r w:rsidRPr="00636053">
        <w:t>,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r>
        <w:t>”</w:t>
      </w:r>
      <w:r w:rsidRPr="00636053">
        <w:t>.</w:t>
      </w:r>
    </w:p>
    <w:p w14:paraId="19B16FB7" w14:textId="77777777" w:rsidR="00F921E7" w:rsidRDefault="00F921E7" w:rsidP="00F921E7">
      <w:pPr>
        <w:pStyle w:val="Citaift"/>
        <w:ind w:left="6515"/>
        <w:rPr>
          <w:i w:val="0"/>
        </w:rPr>
      </w:pPr>
      <w:r w:rsidRPr="00F107F2">
        <w:rPr>
          <w:i w:val="0"/>
        </w:rPr>
        <w:t>[Énfasis añadido]</w:t>
      </w:r>
    </w:p>
    <w:p w14:paraId="47177DBF" w14:textId="77777777" w:rsidR="00F921E7" w:rsidRDefault="00F921E7" w:rsidP="00F921E7">
      <w:pPr>
        <w:spacing w:after="0"/>
        <w:jc w:val="both"/>
        <w:rPr>
          <w:rFonts w:ascii="ITC Avant Garde" w:hAnsi="ITC Avant Garde" w:cs="Arial"/>
          <w:bCs/>
        </w:rPr>
      </w:pPr>
      <w:r>
        <w:rPr>
          <w:rFonts w:ascii="ITC Avant Garde" w:hAnsi="ITC Avant Garde" w:cs="Arial"/>
          <w:bCs/>
        </w:rPr>
        <w:t xml:space="preserve">En este sentido, </w:t>
      </w:r>
      <w:proofErr w:type="spellStart"/>
      <w:r>
        <w:rPr>
          <w:rFonts w:ascii="ITC Avant Garde" w:hAnsi="ITC Avant Garde" w:cs="Arial"/>
          <w:bCs/>
        </w:rPr>
        <w:t>Opsimex</w:t>
      </w:r>
      <w:proofErr w:type="spellEnd"/>
      <w:r>
        <w:rPr>
          <w:rFonts w:ascii="ITC Avant Garde" w:hAnsi="ITC Avant Garde" w:cs="Arial"/>
          <w:bCs/>
        </w:rPr>
        <w:t xml:space="preserve"> </w:t>
      </w:r>
      <w:r w:rsidRPr="00337EF8">
        <w:rPr>
          <w:rFonts w:ascii="ITC Avant Garde" w:hAnsi="ITC Avant Garde" w:cs="Arial"/>
          <w:bCs/>
        </w:rPr>
        <w:t xml:space="preserve">al ser una empresa escindida de </w:t>
      </w:r>
      <w:r>
        <w:rPr>
          <w:rFonts w:ascii="ITC Avant Garde" w:hAnsi="ITC Avant Garde" w:cs="Arial"/>
          <w:bCs/>
        </w:rPr>
        <w:t>Telcel</w:t>
      </w:r>
      <w:r w:rsidRPr="00337EF8">
        <w:rPr>
          <w:rFonts w:ascii="ITC Avant Garde" w:hAnsi="ITC Avant Garde" w:cs="Arial"/>
          <w:bCs/>
        </w:rPr>
        <w:t xml:space="preserve">, integrante del Agente Económico Preponderante, y ser poseedor de infraestructura pasiva móvil, le resultan aplicables las Medidas contenidas como anexos a la Resolución </w:t>
      </w:r>
      <w:r>
        <w:rPr>
          <w:rFonts w:ascii="ITC Avant Garde" w:hAnsi="ITC Avant Garde" w:cs="Arial"/>
          <w:bCs/>
        </w:rPr>
        <w:t>AEP</w:t>
      </w:r>
      <w:r w:rsidRPr="00337EF8">
        <w:rPr>
          <w:rFonts w:ascii="ITC Avant Garde" w:hAnsi="ITC Avant Garde" w:cs="Arial"/>
          <w:bCs/>
        </w:rPr>
        <w:t>.</w:t>
      </w:r>
    </w:p>
    <w:p w14:paraId="1E67AAF9" w14:textId="77777777" w:rsidR="00F921E7" w:rsidRPr="00EB29B0" w:rsidRDefault="00F921E7" w:rsidP="00A33196">
      <w:pPr>
        <w:spacing w:after="0"/>
        <w:jc w:val="both"/>
        <w:rPr>
          <w:rFonts w:ascii="ITC Avant Garde" w:eastAsia="Times New Roman" w:hAnsi="ITC Avant Garde"/>
          <w:szCs w:val="20"/>
        </w:rPr>
      </w:pPr>
    </w:p>
    <w:p w14:paraId="7C6F8991" w14:textId="77777777" w:rsidR="00571FAC" w:rsidRDefault="00571FAC" w:rsidP="00571FAC">
      <w:pPr>
        <w:spacing w:after="0"/>
        <w:jc w:val="both"/>
        <w:rPr>
          <w:rFonts w:ascii="ITC Avant Garde" w:hAnsi="ITC Avant Garde"/>
        </w:rPr>
      </w:pPr>
      <w:r w:rsidRPr="00EB29B0">
        <w:rPr>
          <w:rFonts w:ascii="ITC Avant Garde" w:eastAsia="Times New Roman" w:hAnsi="ITC Avant Garde"/>
          <w:szCs w:val="20"/>
        </w:rPr>
        <w:t>E</w:t>
      </w:r>
      <w:r w:rsidRPr="00EB29B0">
        <w:rPr>
          <w:rFonts w:ascii="ITC Avant Garde" w:hAnsi="ITC Avant Garde"/>
        </w:rPr>
        <w:t>n</w:t>
      </w:r>
      <w:r w:rsidRPr="00EB29B0">
        <w:rPr>
          <w:rFonts w:ascii="ITC Avant Garde" w:eastAsia="Times New Roman" w:hAnsi="ITC Avant Garde"/>
          <w:szCs w:val="20"/>
        </w:rPr>
        <w:t xml:space="preserve"> la Resolución AEP el Instituto se pronunció en el sentido de que la utilidad de una Oferta de Referencia es que en la misma se </w:t>
      </w:r>
      <w:r w:rsidRPr="00EB29B0">
        <w:rPr>
          <w:rFonts w:ascii="ITC Avant Garde" w:hAnsi="ITC Avant Garde"/>
        </w:rPr>
        <w:t>establecen los términos y condiciones para los servicios mayoristas que un operador puede aceptar del Agente Económico Preponderante, sin la necesidad de involucrarse en negociaciones adicionales, evitando de esta manera la generación de disputas en el sector y acortando los tiempos para la prestación de dichos servicios. De esta forma, el contar con Ofertas de Referencia previamente autorizadas por el órgano regulador:</w:t>
      </w:r>
    </w:p>
    <w:p w14:paraId="5DFD8D24" w14:textId="77777777" w:rsidR="00571FAC" w:rsidRPr="00EB29B0" w:rsidRDefault="00571FAC" w:rsidP="00571FAC">
      <w:pPr>
        <w:spacing w:after="0"/>
        <w:jc w:val="both"/>
        <w:rPr>
          <w:rFonts w:ascii="ITC Avant Garde" w:hAnsi="ITC Avant Garde"/>
        </w:rPr>
      </w:pPr>
    </w:p>
    <w:p w14:paraId="631C7585" w14:textId="20A3A67F" w:rsidR="00571FAC" w:rsidRDefault="00571FAC" w:rsidP="00571FAC">
      <w:pPr>
        <w:numPr>
          <w:ilvl w:val="0"/>
          <w:numId w:val="3"/>
        </w:numPr>
        <w:spacing w:after="0"/>
        <w:jc w:val="both"/>
        <w:rPr>
          <w:rFonts w:ascii="ITC Avant Garde" w:eastAsia="Times New Roman" w:hAnsi="ITC Avant Garde"/>
        </w:rPr>
      </w:pPr>
      <w:r w:rsidRPr="00EB29B0">
        <w:rPr>
          <w:rFonts w:ascii="ITC Avant Garde" w:eastAsia="Times New Roman" w:hAnsi="ITC Avant Garde"/>
        </w:rPr>
        <w:t>Facilita la prestación de servicios mayoristas a otros concesionarios o comercializadores.</w:t>
      </w:r>
    </w:p>
    <w:p w14:paraId="55D5482E" w14:textId="77777777" w:rsidR="00571FAC" w:rsidRDefault="00571FAC" w:rsidP="00571FAC">
      <w:pPr>
        <w:numPr>
          <w:ilvl w:val="0"/>
          <w:numId w:val="3"/>
        </w:numPr>
        <w:spacing w:after="0"/>
        <w:jc w:val="both"/>
        <w:rPr>
          <w:rFonts w:ascii="ITC Avant Garde" w:eastAsia="Times New Roman" w:hAnsi="ITC Avant Garde"/>
        </w:rPr>
      </w:pPr>
      <w:r w:rsidRPr="00EB29B0">
        <w:rPr>
          <w:rFonts w:ascii="ITC Avant Garde" w:eastAsia="Times New Roman" w:hAnsi="ITC Avant Garde"/>
        </w:rPr>
        <w:t>Permite a éstos obtener condiciones básicas en la prestación de servicios mayoristas sin necesidad de par</w:t>
      </w:r>
      <w:r>
        <w:rPr>
          <w:rFonts w:ascii="ITC Avant Garde" w:eastAsia="Times New Roman" w:hAnsi="ITC Avant Garde"/>
        </w:rPr>
        <w:t>ticipar en largas negociaciones.</w:t>
      </w:r>
    </w:p>
    <w:p w14:paraId="723EF6E2" w14:textId="34DEE355" w:rsidR="00571FAC" w:rsidRDefault="00571FAC" w:rsidP="00571FAC">
      <w:pPr>
        <w:numPr>
          <w:ilvl w:val="0"/>
          <w:numId w:val="3"/>
        </w:numPr>
        <w:spacing w:after="0"/>
        <w:jc w:val="both"/>
        <w:rPr>
          <w:rFonts w:ascii="ITC Avant Garde" w:eastAsia="Times New Roman" w:hAnsi="ITC Avant Garde"/>
        </w:rPr>
      </w:pPr>
      <w:r w:rsidRPr="00EB29B0">
        <w:rPr>
          <w:rFonts w:ascii="ITC Avant Garde" w:eastAsia="Times New Roman" w:hAnsi="ITC Avant Garde"/>
        </w:rPr>
        <w:t xml:space="preserve">Hace del conocimiento de concesionarios </w:t>
      </w:r>
      <w:r w:rsidR="00580F51">
        <w:rPr>
          <w:rFonts w:ascii="ITC Avant Garde" w:eastAsia="Times New Roman" w:hAnsi="ITC Avant Garde"/>
        </w:rPr>
        <w:t>y</w:t>
      </w:r>
      <w:r w:rsidRPr="00EB29B0">
        <w:rPr>
          <w:rFonts w:ascii="ITC Avant Garde" w:eastAsia="Times New Roman" w:hAnsi="ITC Avant Garde"/>
        </w:rPr>
        <w:t xml:space="preserve"> comercializadores las condiciones jurídicas, económicas y técnicas para la prestación de los servicios mayoristas.</w:t>
      </w:r>
    </w:p>
    <w:p w14:paraId="749224B3" w14:textId="2C85E692" w:rsidR="00571FAC" w:rsidRDefault="00580F51" w:rsidP="00571FAC">
      <w:pPr>
        <w:numPr>
          <w:ilvl w:val="0"/>
          <w:numId w:val="3"/>
        </w:numPr>
        <w:spacing w:after="0"/>
        <w:jc w:val="both"/>
        <w:rPr>
          <w:rFonts w:ascii="ITC Avant Garde" w:eastAsia="Times New Roman" w:hAnsi="ITC Avant Garde"/>
        </w:rPr>
      </w:pPr>
      <w:r>
        <w:rPr>
          <w:rFonts w:ascii="ITC Avant Garde" w:eastAsia="Times New Roman" w:hAnsi="ITC Avant Garde"/>
        </w:rPr>
        <w:t xml:space="preserve">Hace transparente las </w:t>
      </w:r>
      <w:r w:rsidR="00571FAC" w:rsidRPr="00EB29B0">
        <w:rPr>
          <w:rFonts w:ascii="ITC Avant Garde" w:eastAsia="Times New Roman" w:hAnsi="ITC Avant Garde"/>
        </w:rPr>
        <w:t xml:space="preserve">tarifas y condiciones </w:t>
      </w:r>
      <w:r>
        <w:rPr>
          <w:rFonts w:ascii="ITC Avant Garde" w:eastAsia="Times New Roman" w:hAnsi="ITC Avant Garde"/>
        </w:rPr>
        <w:t xml:space="preserve">que podrá establecer el AEP </w:t>
      </w:r>
      <w:r w:rsidR="00571FAC" w:rsidRPr="00EB29B0">
        <w:rPr>
          <w:rFonts w:ascii="ITC Avant Garde" w:eastAsia="Times New Roman" w:hAnsi="ITC Avant Garde"/>
        </w:rPr>
        <w:t xml:space="preserve">en la prestación de servicios mayoristas </w:t>
      </w:r>
      <w:r w:rsidR="00286D78">
        <w:rPr>
          <w:rFonts w:ascii="ITC Avant Garde" w:eastAsia="Times New Roman" w:hAnsi="ITC Avant Garde"/>
        </w:rPr>
        <w:t xml:space="preserve">a </w:t>
      </w:r>
      <w:r w:rsidR="00571FAC" w:rsidRPr="00EB29B0">
        <w:rPr>
          <w:rFonts w:ascii="ITC Avant Garde" w:eastAsia="Times New Roman" w:hAnsi="ITC Avant Garde"/>
        </w:rPr>
        <w:t>operadores.</w:t>
      </w:r>
    </w:p>
    <w:p w14:paraId="2596D6BF" w14:textId="77777777" w:rsidR="00571FAC" w:rsidRPr="00EB29B0" w:rsidRDefault="00571FAC" w:rsidP="00571FAC">
      <w:pPr>
        <w:spacing w:after="0"/>
        <w:ind w:left="720"/>
        <w:jc w:val="both"/>
        <w:rPr>
          <w:rFonts w:ascii="ITC Avant Garde" w:eastAsia="Times New Roman" w:hAnsi="ITC Avant Garde"/>
        </w:rPr>
      </w:pPr>
    </w:p>
    <w:p w14:paraId="26B930A2" w14:textId="4776E20D" w:rsidR="00571FAC" w:rsidRDefault="00571FAC" w:rsidP="00571FAC">
      <w:pPr>
        <w:spacing w:after="0"/>
        <w:jc w:val="both"/>
        <w:rPr>
          <w:rFonts w:ascii="ITC Avant Garde" w:hAnsi="ITC Avant Garde" w:cs="Arial"/>
          <w:bCs/>
        </w:rPr>
      </w:pPr>
      <w:r w:rsidRPr="00EB29B0">
        <w:rPr>
          <w:rFonts w:ascii="ITC Avant Garde" w:hAnsi="ITC Avant Garde"/>
        </w:rPr>
        <w:t xml:space="preserve">La supervisión del órgano regulador tiene el propósito de que los servicios mayoristas se presten </w:t>
      </w:r>
      <w:r>
        <w:rPr>
          <w:rFonts w:ascii="ITC Avant Garde" w:hAnsi="ITC Avant Garde"/>
        </w:rPr>
        <w:t>en igualdad de condiciones</w:t>
      </w:r>
      <w:r w:rsidRPr="00EB29B0">
        <w:rPr>
          <w:rFonts w:ascii="ITC Avant Garde" w:hAnsi="ITC Avant Garde"/>
        </w:rPr>
        <w:t xml:space="preserve">, evitando incurrir en prácticas anticompetitivas en la </w:t>
      </w:r>
      <w:r w:rsidRPr="00EB29B0">
        <w:rPr>
          <w:rFonts w:ascii="ITC Avant Garde" w:hAnsi="ITC Avant Garde" w:cs="Arial"/>
          <w:bCs/>
        </w:rPr>
        <w:t>prestación de los mismos.</w:t>
      </w:r>
    </w:p>
    <w:p w14:paraId="36CAF254" w14:textId="77777777" w:rsidR="00286D78" w:rsidRDefault="00286D78" w:rsidP="00571FAC">
      <w:pPr>
        <w:spacing w:after="0"/>
        <w:jc w:val="both"/>
        <w:rPr>
          <w:rFonts w:ascii="ITC Avant Garde" w:hAnsi="ITC Avant Garde" w:cs="Arial"/>
          <w:bCs/>
        </w:rPr>
      </w:pPr>
    </w:p>
    <w:p w14:paraId="1B5276D6" w14:textId="72F822B9" w:rsidR="00674014" w:rsidRPr="00EB29B0" w:rsidRDefault="007C69A8" w:rsidP="00A33196">
      <w:pPr>
        <w:spacing w:after="0"/>
        <w:jc w:val="both"/>
        <w:rPr>
          <w:rFonts w:ascii="ITC Avant Garde" w:hAnsi="ITC Avant Garde" w:cs="Arial"/>
          <w:bCs/>
        </w:rPr>
      </w:pPr>
      <w:proofErr w:type="gramStart"/>
      <w:r w:rsidRPr="00EB29B0">
        <w:rPr>
          <w:rFonts w:ascii="ITC Avant Garde" w:hAnsi="ITC Avant Garde" w:cs="Arial"/>
          <w:b/>
          <w:bCs/>
        </w:rPr>
        <w:lastRenderedPageBreak/>
        <w:t>TERCERO</w:t>
      </w:r>
      <w:r w:rsidRPr="00EB29B0">
        <w:rPr>
          <w:rFonts w:ascii="ITC Avant Garde" w:hAnsi="ITC Avant Garde" w:cs="Arial"/>
          <w:bCs/>
        </w:rPr>
        <w:t>.-</w:t>
      </w:r>
      <w:proofErr w:type="gramEnd"/>
      <w:r w:rsidRPr="00EB29B0">
        <w:rPr>
          <w:rFonts w:ascii="ITC Avant Garde" w:hAnsi="ITC Avant Garde" w:cs="Arial"/>
          <w:bCs/>
        </w:rPr>
        <w:t xml:space="preserve"> </w:t>
      </w:r>
      <w:r w:rsidRPr="00EB29B0">
        <w:rPr>
          <w:rFonts w:ascii="ITC Avant Garde" w:hAnsi="ITC Avant Garde" w:cs="Arial"/>
          <w:b/>
          <w:bCs/>
        </w:rPr>
        <w:t xml:space="preserve">Consulta Pública de </w:t>
      </w:r>
      <w:r w:rsidR="00674014" w:rsidRPr="00EB29B0">
        <w:rPr>
          <w:rFonts w:ascii="ITC Avant Garde" w:hAnsi="ITC Avant Garde" w:cs="Arial"/>
          <w:b/>
          <w:bCs/>
        </w:rPr>
        <w:t>las Ofertas de Referencia</w:t>
      </w:r>
      <w:r w:rsidRPr="00EB29B0">
        <w:rPr>
          <w:rFonts w:ascii="ITC Avant Garde" w:eastAsia="Times New Roman" w:hAnsi="ITC Avant Garde"/>
          <w:b/>
          <w:szCs w:val="20"/>
        </w:rPr>
        <w:t>.</w:t>
      </w:r>
      <w:r w:rsidR="00F921E7">
        <w:rPr>
          <w:rFonts w:ascii="ITC Avant Garde" w:eastAsia="Times New Roman" w:hAnsi="ITC Avant Garde"/>
          <w:b/>
          <w:szCs w:val="20"/>
        </w:rPr>
        <w:t xml:space="preserve"> </w:t>
      </w:r>
      <w:r w:rsidR="00674014" w:rsidRPr="00EB29B0">
        <w:rPr>
          <w:rFonts w:ascii="ITC Avant Garde" w:hAnsi="ITC Avant Garde" w:cs="Arial"/>
          <w:bCs/>
        </w:rPr>
        <w:t>Como parte de</w:t>
      </w:r>
      <w:r w:rsidR="00F921E7">
        <w:rPr>
          <w:rFonts w:ascii="ITC Avant Garde" w:hAnsi="ITC Avant Garde" w:cs="Arial"/>
          <w:bCs/>
        </w:rPr>
        <w:t>l</w:t>
      </w:r>
      <w:r w:rsidR="00674014" w:rsidRPr="00EB29B0">
        <w:rPr>
          <w:rFonts w:ascii="ITC Avant Garde" w:hAnsi="ITC Avant Garde" w:cs="Arial"/>
          <w:bCs/>
        </w:rPr>
        <w:t xml:space="preserve"> procedimiento</w:t>
      </w:r>
      <w:r w:rsidR="00F921E7">
        <w:rPr>
          <w:rFonts w:ascii="ITC Avant Garde" w:hAnsi="ITC Avant Garde" w:cs="Arial"/>
          <w:bCs/>
        </w:rPr>
        <w:t xml:space="preserve"> de autorización de las ofertas de referencia</w:t>
      </w:r>
      <w:r w:rsidR="00674014" w:rsidRPr="00EB29B0">
        <w:rPr>
          <w:rFonts w:ascii="ITC Avant Garde" w:hAnsi="ITC Avant Garde" w:cs="Arial"/>
          <w:bCs/>
        </w:rPr>
        <w:t>, es necesario que el Instituto tenga conocimiento de las opiniones de los integrantes de la industria derivado de que son ellos quienes intervienen en la operación de las redes públicas de telecomunicaciones</w:t>
      </w:r>
      <w:r w:rsidR="00F921E7">
        <w:rPr>
          <w:rFonts w:ascii="ITC Avant Garde" w:hAnsi="ITC Avant Garde" w:cs="Arial"/>
          <w:bCs/>
        </w:rPr>
        <w:t>, y demandan servicios mayoristas regulados del AEP para la</w:t>
      </w:r>
      <w:r w:rsidR="00674014" w:rsidRPr="00EB29B0">
        <w:rPr>
          <w:rFonts w:ascii="ITC Avant Garde" w:hAnsi="ITC Avant Garde" w:cs="Arial"/>
          <w:bCs/>
        </w:rPr>
        <w:t xml:space="preserve"> prestación y comercialización de </w:t>
      </w:r>
      <w:r w:rsidR="00F921E7">
        <w:rPr>
          <w:rFonts w:ascii="ITC Avant Garde" w:hAnsi="ITC Avant Garde" w:cs="Arial"/>
          <w:bCs/>
        </w:rPr>
        <w:t>sus</w:t>
      </w:r>
      <w:r w:rsidR="00674014" w:rsidRPr="00EB29B0">
        <w:rPr>
          <w:rFonts w:ascii="ITC Avant Garde" w:hAnsi="ITC Avant Garde" w:cs="Arial"/>
          <w:bCs/>
        </w:rPr>
        <w:t xml:space="preserve"> servicios; ello sin perder de vista que ante la diversidad de intereses comerciales prevalecientes en la industria</w:t>
      </w:r>
      <w:r w:rsidR="00DC5195">
        <w:rPr>
          <w:rFonts w:ascii="ITC Avant Garde" w:hAnsi="ITC Avant Garde" w:cs="Arial"/>
          <w:bCs/>
        </w:rPr>
        <w:t>,</w:t>
      </w:r>
      <w:r w:rsidR="00674014" w:rsidRPr="00EB29B0">
        <w:rPr>
          <w:rFonts w:ascii="ITC Avant Garde" w:hAnsi="ITC Avant Garde" w:cs="Arial"/>
          <w:bCs/>
        </w:rPr>
        <w:t xml:space="preserve"> es el órgano regulador quien en última instancia está encargado de determinar las condiciones bajo las cuales se deberán de prestar los servicios</w:t>
      </w:r>
      <w:r w:rsidR="00DC5195">
        <w:rPr>
          <w:rFonts w:ascii="ITC Avant Garde" w:hAnsi="ITC Avant Garde" w:cs="Arial"/>
          <w:bCs/>
        </w:rPr>
        <w:t>,</w:t>
      </w:r>
      <w:r w:rsidR="00674014" w:rsidRPr="00EB29B0">
        <w:rPr>
          <w:rFonts w:ascii="ITC Avant Garde" w:hAnsi="ITC Avant Garde" w:cs="Arial"/>
          <w:bCs/>
        </w:rPr>
        <w:t xml:space="preserve"> evitando que se afecte la competencia y la libre concurrencia.</w:t>
      </w:r>
    </w:p>
    <w:p w14:paraId="45A5ACBC" w14:textId="77777777" w:rsidR="00D95D9F" w:rsidRPr="00EB29B0" w:rsidRDefault="00D95D9F" w:rsidP="00A33196">
      <w:pPr>
        <w:spacing w:after="0"/>
        <w:jc w:val="both"/>
        <w:rPr>
          <w:rFonts w:ascii="ITC Avant Garde" w:hAnsi="ITC Avant Garde" w:cs="Arial"/>
          <w:bCs/>
        </w:rPr>
      </w:pPr>
    </w:p>
    <w:p w14:paraId="7FE07C96" w14:textId="7D6ABD44" w:rsidR="00D95D9F" w:rsidRPr="00EB29B0" w:rsidRDefault="00D95D9F" w:rsidP="00A33196">
      <w:pPr>
        <w:spacing w:after="0"/>
        <w:jc w:val="both"/>
        <w:rPr>
          <w:rFonts w:ascii="ITC Avant Garde" w:hAnsi="ITC Avant Garde" w:cs="Arial"/>
          <w:bCs/>
        </w:rPr>
      </w:pPr>
      <w:r w:rsidRPr="00EB29B0">
        <w:rPr>
          <w:rFonts w:ascii="ITC Avant Garde" w:hAnsi="ITC Avant Garde" w:cs="Arial"/>
          <w:bCs/>
        </w:rPr>
        <w:t xml:space="preserve">Es así que en la Resolución Bienal se consideró que </w:t>
      </w:r>
      <w:r w:rsidR="000A4B52">
        <w:rPr>
          <w:rFonts w:ascii="ITC Avant Garde" w:hAnsi="ITC Avant Garde" w:cs="Arial"/>
          <w:bCs/>
        </w:rPr>
        <w:t>para</w:t>
      </w:r>
      <w:r w:rsidR="000A4B52" w:rsidRPr="00141A25">
        <w:t xml:space="preserve"> </w:t>
      </w:r>
      <w:r w:rsidR="000A4B52" w:rsidRPr="00141A25">
        <w:rPr>
          <w:rFonts w:ascii="ITC Avant Garde" w:hAnsi="ITC Avant Garde" w:cs="Arial"/>
          <w:bCs/>
        </w:rPr>
        <w:t>brindar certidumbre al AEP respecto a la vigencia, plazos y procedimientos</w:t>
      </w:r>
      <w:r w:rsidR="000A4B52" w:rsidRPr="00EB29B0">
        <w:rPr>
          <w:rFonts w:ascii="ITC Avant Garde" w:hAnsi="ITC Avant Garde" w:cs="Arial"/>
          <w:bCs/>
        </w:rPr>
        <w:t xml:space="preserve">, </w:t>
      </w:r>
      <w:r w:rsidRPr="00EB29B0">
        <w:rPr>
          <w:rFonts w:ascii="ITC Avant Garde" w:hAnsi="ITC Avant Garde" w:cs="Arial"/>
          <w:bCs/>
        </w:rPr>
        <w:t xml:space="preserve">como parte del procedimiento de revisión de las Ofertas de Referencia, establecidas en las </w:t>
      </w:r>
      <w:r w:rsidRPr="00EB29B0">
        <w:rPr>
          <w:rFonts w:ascii="ITC Avant Garde" w:eastAsia="Times New Roman" w:hAnsi="ITC Avant Garde"/>
          <w:szCs w:val="20"/>
        </w:rPr>
        <w:t xml:space="preserve">Medidas </w:t>
      </w:r>
      <w:r w:rsidRPr="00EB29B0">
        <w:rPr>
          <w:rFonts w:ascii="ITC Avant Garde" w:eastAsia="Times New Roman" w:hAnsi="ITC Avant Garde"/>
        </w:rPr>
        <w:t>Decimosexta</w:t>
      </w:r>
      <w:r w:rsidRPr="00EB29B0">
        <w:rPr>
          <w:rFonts w:ascii="ITC Avant Garde" w:hAnsi="ITC Avant Garde" w:cs="Arial"/>
          <w:bCs/>
        </w:rPr>
        <w:t xml:space="preserve"> de las </w:t>
      </w:r>
      <w:r w:rsidRPr="00EB29B0">
        <w:rPr>
          <w:rFonts w:ascii="ITC Avant Garde" w:eastAsia="Times New Roman" w:hAnsi="ITC Avant Garde"/>
          <w:szCs w:val="20"/>
        </w:rPr>
        <w:t>Medidas Móviles y Cuadragésima Primera de las Medidas Fijas,</w:t>
      </w:r>
      <w:r w:rsidRPr="00EB29B0">
        <w:rPr>
          <w:rFonts w:ascii="ITC Avant Garde" w:hAnsi="ITC Avant Garde" w:cs="Arial"/>
          <w:bCs/>
        </w:rPr>
        <w:t xml:space="preserve"> se lleve a cabo un proceso de consulta pública por un periodo de treinta días naturales, </w:t>
      </w:r>
      <w:r w:rsidR="000A4B52">
        <w:rPr>
          <w:rFonts w:ascii="ITC Avant Garde" w:hAnsi="ITC Avant Garde" w:cs="Arial"/>
          <w:bCs/>
        </w:rPr>
        <w:t>aplicando lo dispuesto</w:t>
      </w:r>
      <w:r w:rsidRPr="00EB29B0">
        <w:rPr>
          <w:rFonts w:ascii="ITC Avant Garde" w:hAnsi="ITC Avant Garde" w:cs="Arial"/>
          <w:bCs/>
        </w:rPr>
        <w:t xml:space="preserve"> por el artículo 268 de la LFTR.</w:t>
      </w:r>
    </w:p>
    <w:p w14:paraId="621893F4" w14:textId="77777777" w:rsidR="00674014" w:rsidRPr="00EB29B0" w:rsidRDefault="00674014" w:rsidP="00A33196">
      <w:pPr>
        <w:spacing w:after="0"/>
        <w:jc w:val="both"/>
        <w:rPr>
          <w:rFonts w:ascii="ITC Avant Garde" w:hAnsi="ITC Avant Garde" w:cs="Arial"/>
          <w:bCs/>
        </w:rPr>
      </w:pPr>
    </w:p>
    <w:p w14:paraId="63F0F571" w14:textId="5A30CA74" w:rsidR="00674014" w:rsidRPr="00EB29B0" w:rsidRDefault="00D95D9F" w:rsidP="00A33196">
      <w:pPr>
        <w:spacing w:after="0"/>
        <w:jc w:val="both"/>
        <w:rPr>
          <w:rFonts w:ascii="ITC Avant Garde" w:hAnsi="ITC Avant Garde" w:cs="Arial"/>
          <w:bCs/>
        </w:rPr>
      </w:pPr>
      <w:r w:rsidRPr="00EB29B0">
        <w:rPr>
          <w:rFonts w:ascii="ITC Avant Garde" w:eastAsia="Times New Roman" w:hAnsi="ITC Avant Garde"/>
          <w:szCs w:val="20"/>
        </w:rPr>
        <w:t>Por otra parte, es importante</w:t>
      </w:r>
      <w:r w:rsidR="00674014" w:rsidRPr="00EB29B0">
        <w:rPr>
          <w:rFonts w:ascii="ITC Avant Garde" w:eastAsia="Times New Roman" w:hAnsi="ITC Avant Garde"/>
          <w:szCs w:val="20"/>
        </w:rPr>
        <w:t xml:space="preserve"> señalar que </w:t>
      </w:r>
      <w:r w:rsidR="00674014" w:rsidRPr="00EB29B0">
        <w:rPr>
          <w:rFonts w:ascii="ITC Avant Garde" w:hAnsi="ITC Avant Garde" w:cs="Arial"/>
          <w:bCs/>
        </w:rPr>
        <w:t xml:space="preserve">el artículo 51 de la LFTR establece la posibilidad de que </w:t>
      </w:r>
      <w:r w:rsidR="000A4B52">
        <w:rPr>
          <w:rFonts w:ascii="ITC Avant Garde" w:hAnsi="ITC Avant Garde" w:cs="Arial"/>
          <w:bCs/>
        </w:rPr>
        <w:t xml:space="preserve">tiene </w:t>
      </w:r>
      <w:r w:rsidR="00674014" w:rsidRPr="00EB29B0">
        <w:rPr>
          <w:rFonts w:ascii="ITC Avant Garde" w:hAnsi="ITC Avant Garde" w:cs="Arial"/>
          <w:bCs/>
        </w:rPr>
        <w:t xml:space="preserve">el Instituto </w:t>
      </w:r>
      <w:r w:rsidR="000A4B52">
        <w:rPr>
          <w:rFonts w:ascii="ITC Avant Garde" w:hAnsi="ITC Avant Garde" w:cs="Arial"/>
          <w:bCs/>
        </w:rPr>
        <w:t>para llevar</w:t>
      </w:r>
      <w:r w:rsidR="00674014" w:rsidRPr="00EB29B0">
        <w:rPr>
          <w:rFonts w:ascii="ITC Avant Garde" w:hAnsi="ITC Avant Garde" w:cs="Arial"/>
          <w:bCs/>
        </w:rPr>
        <w:t xml:space="preserve"> a cabo consultas públicas en cualquier caso en el que el Pleno determine. Dichas consultas se realizarán bajo los principios de transparencia y participación ciudadana en los términos que determine el Pleno.</w:t>
      </w:r>
    </w:p>
    <w:p w14:paraId="2E04EF48" w14:textId="77777777" w:rsidR="00674014" w:rsidRPr="00EB29B0" w:rsidRDefault="00674014" w:rsidP="00A33196">
      <w:pPr>
        <w:spacing w:after="0"/>
        <w:jc w:val="both"/>
        <w:rPr>
          <w:rFonts w:ascii="ITC Avant Garde" w:hAnsi="ITC Avant Garde" w:cs="Arial"/>
          <w:bCs/>
        </w:rPr>
      </w:pPr>
    </w:p>
    <w:p w14:paraId="0E5C60F8" w14:textId="0CA1D3C6" w:rsidR="00674014" w:rsidRDefault="00674014" w:rsidP="00A33196">
      <w:pPr>
        <w:spacing w:after="0"/>
        <w:jc w:val="both"/>
        <w:rPr>
          <w:rFonts w:ascii="ITC Avant Garde" w:hAnsi="ITC Avant Garde" w:cs="Arial"/>
          <w:bCs/>
        </w:rPr>
      </w:pPr>
      <w:r w:rsidRPr="00EB29B0">
        <w:rPr>
          <w:rFonts w:ascii="ITC Avant Garde" w:hAnsi="ITC Avant Garde" w:cs="Arial"/>
          <w:bCs/>
        </w:rPr>
        <w:t>Conforme a lo expuesto, se considera que las propuestas de Ofertas de Referencia deben estar sujetas a un proceso de consulta pública por un periodo de treinta días naturales para favorecer la transparencia y participación ciudadana con el fin de recibir los comentarios y opiniones de la industria, académicos, analistas y sociedad en general sobre las principales condiciones técnicas y operativas para llevar a cabo la comercialización o reventa de</w:t>
      </w:r>
      <w:r w:rsidR="00D95D9F" w:rsidRPr="00EB29B0">
        <w:rPr>
          <w:rFonts w:ascii="ITC Avant Garde" w:hAnsi="ITC Avant Garde" w:cs="Arial"/>
          <w:bCs/>
        </w:rPr>
        <w:t xml:space="preserve"> </w:t>
      </w:r>
      <w:r w:rsidRPr="00EB29B0">
        <w:rPr>
          <w:rFonts w:ascii="ITC Avant Garde" w:hAnsi="ITC Avant Garde" w:cs="Arial"/>
          <w:bCs/>
        </w:rPr>
        <w:t>servicio</w:t>
      </w:r>
      <w:r w:rsidR="00D95D9F" w:rsidRPr="00EB29B0">
        <w:rPr>
          <w:rFonts w:ascii="ITC Avant Garde" w:hAnsi="ITC Avant Garde" w:cs="Arial"/>
          <w:bCs/>
        </w:rPr>
        <w:t>s</w:t>
      </w:r>
      <w:r w:rsidRPr="00EB29B0">
        <w:rPr>
          <w:rFonts w:ascii="ITC Avant Garde" w:hAnsi="ITC Avant Garde" w:cs="Arial"/>
          <w:bCs/>
        </w:rPr>
        <w:t xml:space="preserve">; la prestación del servicio mayorista de usuario visitante; la prestación del servicio mayorista de enlaces dedicados locales para concesionarios de redes públicas de telecomunicaciones, y </w:t>
      </w:r>
      <w:r w:rsidR="00D95D9F" w:rsidRPr="00EB29B0">
        <w:rPr>
          <w:rFonts w:ascii="ITC Avant Garde" w:hAnsi="ITC Avant Garde" w:cs="Arial"/>
          <w:bCs/>
        </w:rPr>
        <w:t>para el acceso y uso compartido de infraestructura pasiva</w:t>
      </w:r>
      <w:r w:rsidRPr="00EB29B0">
        <w:rPr>
          <w:rFonts w:ascii="ITC Avant Garde" w:hAnsi="ITC Avant Garde" w:cs="Arial"/>
          <w:bCs/>
        </w:rPr>
        <w:t xml:space="preserve">, a efecto de dar cabal cumplimiento a lo establecido en </w:t>
      </w:r>
      <w:r w:rsidR="00F921E7">
        <w:rPr>
          <w:rFonts w:ascii="ITC Avant Garde" w:hAnsi="ITC Avant Garde" w:cs="Arial"/>
          <w:bCs/>
        </w:rPr>
        <w:t xml:space="preserve">la </w:t>
      </w:r>
      <w:r w:rsidRPr="00EB29B0">
        <w:rPr>
          <w:rFonts w:ascii="ITC Avant Garde" w:hAnsi="ITC Avant Garde" w:cs="Arial"/>
          <w:bCs/>
        </w:rPr>
        <w:t>disposi</w:t>
      </w:r>
      <w:r w:rsidR="00F921E7">
        <w:rPr>
          <w:rFonts w:ascii="ITC Avant Garde" w:hAnsi="ITC Avant Garde" w:cs="Arial"/>
          <w:bCs/>
        </w:rPr>
        <w:t>ción</w:t>
      </w:r>
      <w:r w:rsidRPr="00EB29B0">
        <w:rPr>
          <w:rFonts w:ascii="ITC Avant Garde" w:hAnsi="ITC Avant Garde" w:cs="Arial"/>
          <w:bCs/>
        </w:rPr>
        <w:t xml:space="preserve"> legal señalad</w:t>
      </w:r>
      <w:r w:rsidR="00F921E7">
        <w:rPr>
          <w:rFonts w:ascii="ITC Avant Garde" w:hAnsi="ITC Avant Garde" w:cs="Arial"/>
          <w:bCs/>
        </w:rPr>
        <w:t>a</w:t>
      </w:r>
      <w:r w:rsidRPr="00EB29B0">
        <w:rPr>
          <w:rFonts w:ascii="ITC Avant Garde" w:hAnsi="ITC Avant Garde" w:cs="Arial"/>
          <w:bCs/>
        </w:rPr>
        <w:t>.</w:t>
      </w:r>
    </w:p>
    <w:p w14:paraId="2DEE6139" w14:textId="77777777" w:rsidR="009A0009" w:rsidRPr="00EB29B0" w:rsidRDefault="009A0009" w:rsidP="00A33196">
      <w:pPr>
        <w:spacing w:after="0"/>
        <w:jc w:val="both"/>
        <w:rPr>
          <w:rFonts w:ascii="ITC Avant Garde" w:hAnsi="ITC Avant Garde" w:cs="Arial"/>
          <w:bCs/>
        </w:rPr>
      </w:pPr>
    </w:p>
    <w:p w14:paraId="7EABA23B" w14:textId="412273EF" w:rsidR="00395C0F" w:rsidRDefault="00395C0F" w:rsidP="00395C0F">
      <w:pPr>
        <w:spacing w:after="0"/>
        <w:jc w:val="both"/>
        <w:rPr>
          <w:rFonts w:ascii="ITC Avant Garde" w:hAnsi="ITC Avant Garde" w:cs="Arial"/>
          <w:bCs/>
        </w:rPr>
      </w:pPr>
      <w:r w:rsidRPr="00EB29B0">
        <w:rPr>
          <w:rFonts w:ascii="ITC Avant Garde" w:hAnsi="ITC Avant Garde" w:cs="Arial"/>
          <w:bCs/>
        </w:rPr>
        <w:t xml:space="preserve">Al respecto, las condiciones técnicas y operativas serían aplicables al AEP y en ese sentido los concesionarios que presten los servicios de telecomunicaciones y que soliciten los servicios </w:t>
      </w:r>
      <w:r w:rsidR="00F921E7">
        <w:rPr>
          <w:rFonts w:ascii="ITC Avant Garde" w:hAnsi="ITC Avant Garde" w:cs="Arial"/>
          <w:bCs/>
        </w:rPr>
        <w:t xml:space="preserve">mayoristas del AEP, </w:t>
      </w:r>
      <w:r w:rsidRPr="00EB29B0">
        <w:rPr>
          <w:rFonts w:ascii="ITC Avant Garde" w:hAnsi="ITC Avant Garde" w:cs="Arial"/>
          <w:bCs/>
        </w:rPr>
        <w:t xml:space="preserve">tendrán a su disposición un marco de referencia que se adapte a su enfoque comercial en un ambiente de sana competencia y de condiciones equitativas para todos los participantes del sector. </w:t>
      </w:r>
    </w:p>
    <w:p w14:paraId="385AB78C" w14:textId="6FC87D52" w:rsidR="00674014" w:rsidRDefault="00674014" w:rsidP="00A33196">
      <w:pPr>
        <w:spacing w:after="0"/>
        <w:jc w:val="both"/>
        <w:rPr>
          <w:rFonts w:ascii="ITC Avant Garde" w:eastAsia="Times New Roman" w:hAnsi="ITC Avant Garde"/>
          <w:szCs w:val="20"/>
        </w:rPr>
      </w:pPr>
      <w:r w:rsidRPr="00EB29B0">
        <w:rPr>
          <w:rFonts w:ascii="ITC Avant Garde" w:eastAsia="Times New Roman" w:hAnsi="ITC Avant Garde"/>
          <w:szCs w:val="20"/>
        </w:rPr>
        <w:lastRenderedPageBreak/>
        <w:t xml:space="preserve">Cabe señalar que el proceso de Consulta Pública no implica una aceptación por parte del Instituto de las </w:t>
      </w:r>
      <w:r w:rsidR="00F921E7">
        <w:rPr>
          <w:rFonts w:ascii="ITC Avant Garde" w:eastAsia="Times New Roman" w:hAnsi="ITC Avant Garde"/>
          <w:szCs w:val="20"/>
        </w:rPr>
        <w:t xml:space="preserve">propuestas de </w:t>
      </w:r>
      <w:r w:rsidR="00F921E7" w:rsidRPr="00EB29B0">
        <w:rPr>
          <w:rFonts w:ascii="ITC Avant Garde" w:eastAsia="Times New Roman" w:hAnsi="ITC Avant Garde"/>
          <w:szCs w:val="20"/>
        </w:rPr>
        <w:t xml:space="preserve">ofertas </w:t>
      </w:r>
      <w:r w:rsidRPr="00EB29B0">
        <w:rPr>
          <w:rFonts w:ascii="ITC Avant Garde" w:eastAsia="Times New Roman" w:hAnsi="ITC Avant Garde"/>
          <w:szCs w:val="20"/>
        </w:rPr>
        <w:t xml:space="preserve">de </w:t>
      </w:r>
      <w:r w:rsidR="00F921E7" w:rsidRPr="00EB29B0">
        <w:rPr>
          <w:rFonts w:ascii="ITC Avant Garde" w:eastAsia="Times New Roman" w:hAnsi="ITC Avant Garde"/>
          <w:szCs w:val="20"/>
        </w:rPr>
        <w:t xml:space="preserve">referencia </w:t>
      </w:r>
      <w:r w:rsidRPr="00EB29B0">
        <w:rPr>
          <w:rFonts w:ascii="ITC Avant Garde" w:eastAsia="Times New Roman" w:hAnsi="ITC Avant Garde"/>
          <w:szCs w:val="20"/>
        </w:rPr>
        <w:t xml:space="preserve">presentadas por el Agente Económico Preponderante, por lo que podrá requerir modificar los términos y condiciones de las </w:t>
      </w:r>
      <w:r w:rsidR="00F921E7">
        <w:rPr>
          <w:rFonts w:ascii="ITC Avant Garde" w:eastAsia="Times New Roman" w:hAnsi="ITC Avant Garde"/>
          <w:szCs w:val="20"/>
        </w:rPr>
        <w:t>mismas</w:t>
      </w:r>
      <w:r w:rsidRPr="00EB29B0">
        <w:rPr>
          <w:rFonts w:ascii="ITC Avant Garde" w:eastAsia="Times New Roman" w:hAnsi="ITC Avant Garde"/>
          <w:szCs w:val="20"/>
        </w:rPr>
        <w:t xml:space="preserve"> cuando no se ajusten a lo establecido en las Medidas Fijas y las Medidas Móviles o a su juicio no ofrezcan condiciones que favorezcan la competencia en el sector. Asimismo, el Instituto podrá requerir la documentación </w:t>
      </w:r>
      <w:r w:rsidR="004754E3" w:rsidRPr="00EB29B0">
        <w:rPr>
          <w:rFonts w:ascii="ITC Avant Garde" w:eastAsia="Times New Roman" w:hAnsi="ITC Avant Garde"/>
          <w:szCs w:val="20"/>
        </w:rPr>
        <w:t>e información</w:t>
      </w:r>
      <w:r w:rsidRPr="00EB29B0">
        <w:rPr>
          <w:rFonts w:ascii="ITC Avant Garde" w:eastAsia="Times New Roman" w:hAnsi="ITC Avant Garde"/>
          <w:szCs w:val="20"/>
        </w:rPr>
        <w:t xml:space="preserve"> que estime relevante a efecto de allegarse de mayores elementos de convicción o, en su caso, realizar las prevenciones necesarias, todo ello en términos de lo dispuesto en las propias Medidas</w:t>
      </w:r>
      <w:r w:rsidR="009B313D">
        <w:rPr>
          <w:rFonts w:ascii="ITC Avant Garde" w:eastAsia="Times New Roman" w:hAnsi="ITC Avant Garde"/>
          <w:szCs w:val="20"/>
        </w:rPr>
        <w:t xml:space="preserve"> </w:t>
      </w:r>
      <w:r w:rsidR="009B313D" w:rsidRPr="00EB29B0">
        <w:rPr>
          <w:rFonts w:ascii="ITC Avant Garde" w:eastAsia="Times New Roman" w:hAnsi="ITC Avant Garde"/>
          <w:szCs w:val="20"/>
        </w:rPr>
        <w:t>Fijas y las Medidas Móviles,</w:t>
      </w:r>
      <w:r w:rsidRPr="00EB29B0">
        <w:rPr>
          <w:rFonts w:ascii="ITC Avant Garde" w:eastAsia="Times New Roman" w:hAnsi="ITC Avant Garde"/>
          <w:szCs w:val="20"/>
        </w:rPr>
        <w:t xml:space="preserve"> así como en la legislación aplicable.</w:t>
      </w:r>
    </w:p>
    <w:p w14:paraId="4DFC1BCF" w14:textId="77777777" w:rsidR="004754E3" w:rsidRDefault="004754E3" w:rsidP="00A33196">
      <w:pPr>
        <w:spacing w:after="0"/>
        <w:jc w:val="both"/>
        <w:rPr>
          <w:rFonts w:ascii="ITC Avant Garde" w:eastAsia="Times New Roman" w:hAnsi="ITC Avant Garde"/>
          <w:szCs w:val="20"/>
        </w:rPr>
      </w:pPr>
    </w:p>
    <w:p w14:paraId="5BC3BB00" w14:textId="6440AA2F" w:rsidR="004754E3" w:rsidRPr="00EB29B0" w:rsidRDefault="004754E3" w:rsidP="00A33196">
      <w:pPr>
        <w:spacing w:after="0"/>
        <w:jc w:val="both"/>
        <w:rPr>
          <w:rFonts w:ascii="ITC Avant Garde" w:eastAsia="Times New Roman" w:hAnsi="ITC Avant Garde"/>
          <w:szCs w:val="20"/>
        </w:rPr>
      </w:pPr>
      <w:r>
        <w:rPr>
          <w:rFonts w:ascii="ITC Avant Garde" w:eastAsia="Times New Roman" w:hAnsi="ITC Avant Garde"/>
          <w:szCs w:val="20"/>
        </w:rPr>
        <w:t>En el mismo sentido,</w:t>
      </w:r>
      <w:r w:rsidR="00A3332D">
        <w:rPr>
          <w:rFonts w:ascii="ITC Avant Garde" w:eastAsia="Times New Roman" w:hAnsi="ITC Avant Garde"/>
          <w:szCs w:val="20"/>
        </w:rPr>
        <w:t xml:space="preserve"> el Instituto determinará</w:t>
      </w:r>
      <w:r>
        <w:rPr>
          <w:rFonts w:ascii="ITC Avant Garde" w:eastAsia="Times New Roman" w:hAnsi="ITC Avant Garde"/>
          <w:szCs w:val="20"/>
        </w:rPr>
        <w:t xml:space="preserve"> las tarifas correspondientes a los servicios objeto de las Ofertas de Referencia de acuerdo a la metodología </w:t>
      </w:r>
      <w:r w:rsidR="00A3332D">
        <w:rPr>
          <w:rFonts w:ascii="ITC Avant Garde" w:eastAsia="Times New Roman" w:hAnsi="ITC Avant Garde"/>
          <w:szCs w:val="20"/>
        </w:rPr>
        <w:t>aplicable a cada uno de los servicios establecida</w:t>
      </w:r>
      <w:r>
        <w:rPr>
          <w:rFonts w:ascii="ITC Avant Garde" w:eastAsia="Times New Roman" w:hAnsi="ITC Avant Garde"/>
          <w:szCs w:val="20"/>
        </w:rPr>
        <w:t xml:space="preserve"> en la Resolución Bienal.</w:t>
      </w:r>
    </w:p>
    <w:p w14:paraId="0B404C55" w14:textId="77777777" w:rsidR="00674014" w:rsidRPr="00EB29B0" w:rsidRDefault="00674014" w:rsidP="00A33196">
      <w:pPr>
        <w:spacing w:after="0"/>
        <w:jc w:val="both"/>
        <w:rPr>
          <w:rFonts w:ascii="ITC Avant Garde" w:eastAsia="Times New Roman" w:hAnsi="ITC Avant Garde"/>
          <w:szCs w:val="20"/>
        </w:rPr>
      </w:pPr>
    </w:p>
    <w:p w14:paraId="671D6EED" w14:textId="1F1A60B7" w:rsidR="00674014" w:rsidRPr="00EB29B0" w:rsidRDefault="00674014" w:rsidP="00A33196">
      <w:pPr>
        <w:spacing w:after="0"/>
        <w:jc w:val="both"/>
        <w:rPr>
          <w:rFonts w:ascii="ITC Avant Garde" w:hAnsi="ITC Avant Garde" w:cs="Arial"/>
          <w:bCs/>
        </w:rPr>
      </w:pPr>
      <w:r w:rsidRPr="00EB29B0">
        <w:rPr>
          <w:rFonts w:ascii="ITC Avant Garde" w:hAnsi="ITC Avant Garde" w:cs="Arial"/>
          <w:bCs/>
        </w:rPr>
        <w:t xml:space="preserve">Por lo anterior, con fundamento en lo dispuesto en los artículos 28, </w:t>
      </w:r>
      <w:proofErr w:type="gramStart"/>
      <w:r w:rsidRPr="00EB29B0">
        <w:rPr>
          <w:rFonts w:ascii="ITC Avant Garde" w:hAnsi="ITC Avant Garde" w:cs="Arial"/>
          <w:bCs/>
        </w:rPr>
        <w:t>párrafos décimo quinto</w:t>
      </w:r>
      <w:proofErr w:type="gramEnd"/>
      <w:r w:rsidRPr="00EB29B0">
        <w:rPr>
          <w:rFonts w:ascii="ITC Avant Garde" w:hAnsi="ITC Avant Garde" w:cs="Arial"/>
          <w:bCs/>
        </w:rPr>
        <w:t xml:space="preserve"> y décimo sexto de la Constitución Política de los Estados Unidos Mexicanos; 1, 2, 7, 15 fracciones XL y LXIII</w:t>
      </w:r>
      <w:r w:rsidR="003545B6" w:rsidRPr="00EB29B0">
        <w:rPr>
          <w:rFonts w:ascii="ITC Avant Garde" w:hAnsi="ITC Avant Garde" w:cs="Arial"/>
          <w:bCs/>
        </w:rPr>
        <w:t>,</w:t>
      </w:r>
      <w:r w:rsidRPr="00EB29B0">
        <w:rPr>
          <w:rFonts w:ascii="ITC Avant Garde" w:hAnsi="ITC Avant Garde" w:cs="Arial"/>
          <w:bCs/>
        </w:rPr>
        <w:t xml:space="preserve"> 51</w:t>
      </w:r>
      <w:r w:rsidR="003545B6" w:rsidRPr="00EB29B0">
        <w:rPr>
          <w:rFonts w:ascii="ITC Avant Garde" w:hAnsi="ITC Avant Garde" w:cs="Arial"/>
          <w:bCs/>
        </w:rPr>
        <w:t xml:space="preserve"> y 268</w:t>
      </w:r>
      <w:r w:rsidRPr="00EB29B0">
        <w:rPr>
          <w:rFonts w:ascii="ITC Avant Garde" w:hAnsi="ITC Avant Garde" w:cs="Arial"/>
          <w:bCs/>
        </w:rPr>
        <w:t xml:space="preserve"> de la Ley Federal de Telecomunicaciones y Radiodifusión, y 1 y 4, fracción 1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14:paraId="28CEC2F8" w14:textId="77777777" w:rsidR="00BF12F9" w:rsidRDefault="00BF12F9" w:rsidP="00A33196">
      <w:pPr>
        <w:spacing w:after="0"/>
        <w:jc w:val="both"/>
        <w:rPr>
          <w:rFonts w:ascii="ITC Avant Garde" w:hAnsi="ITC Avant Garde" w:cs="Arial"/>
          <w:bCs/>
        </w:rPr>
      </w:pPr>
    </w:p>
    <w:p w14:paraId="541A6D29" w14:textId="77777777" w:rsidR="00274117" w:rsidRPr="00EB29B0" w:rsidRDefault="00274117" w:rsidP="00A33196">
      <w:pPr>
        <w:spacing w:after="0"/>
        <w:jc w:val="both"/>
        <w:rPr>
          <w:rFonts w:ascii="ITC Avant Garde" w:hAnsi="ITC Avant Garde" w:cs="Arial"/>
          <w:bCs/>
        </w:rPr>
      </w:pPr>
    </w:p>
    <w:p w14:paraId="718D8E8C" w14:textId="77777777" w:rsidR="00BB4ADA" w:rsidRPr="00EB29B0" w:rsidRDefault="00D17822" w:rsidP="00A33196">
      <w:pPr>
        <w:spacing w:after="0"/>
        <w:jc w:val="center"/>
        <w:rPr>
          <w:rFonts w:ascii="ITC Avant Garde" w:hAnsi="ITC Avant Garde" w:cs="Arial"/>
          <w:b/>
          <w:bCs/>
        </w:rPr>
      </w:pPr>
      <w:r w:rsidRPr="00EB29B0">
        <w:rPr>
          <w:rFonts w:ascii="ITC Avant Garde" w:hAnsi="ITC Avant Garde" w:cs="Arial"/>
          <w:b/>
          <w:bCs/>
        </w:rPr>
        <w:t>ACUERDO</w:t>
      </w:r>
      <w:r w:rsidR="003545B6" w:rsidRPr="00EB29B0">
        <w:rPr>
          <w:rFonts w:ascii="ITC Avant Garde" w:hAnsi="ITC Avant Garde" w:cs="Arial"/>
          <w:b/>
          <w:bCs/>
        </w:rPr>
        <w:t>S</w:t>
      </w:r>
    </w:p>
    <w:p w14:paraId="5EA2872B" w14:textId="77777777" w:rsidR="005B5F22" w:rsidRDefault="005B5F22" w:rsidP="00A33196">
      <w:pPr>
        <w:spacing w:after="0"/>
        <w:jc w:val="both"/>
        <w:rPr>
          <w:rFonts w:ascii="ITC Avant Garde" w:hAnsi="ITC Avant Garde" w:cs="Arial"/>
          <w:bCs/>
        </w:rPr>
      </w:pPr>
    </w:p>
    <w:p w14:paraId="74C39F51" w14:textId="77777777" w:rsidR="009A0009" w:rsidRDefault="009A0009" w:rsidP="00A33196">
      <w:pPr>
        <w:spacing w:after="0"/>
        <w:jc w:val="both"/>
        <w:rPr>
          <w:rFonts w:ascii="ITC Avant Garde" w:hAnsi="ITC Avant Garde" w:cs="Arial"/>
          <w:bCs/>
        </w:rPr>
      </w:pPr>
    </w:p>
    <w:p w14:paraId="1C2875A2" w14:textId="339350DF" w:rsidR="003545B6" w:rsidRPr="00EB29B0" w:rsidRDefault="00060DAB" w:rsidP="00A33196">
      <w:pPr>
        <w:spacing w:after="0"/>
        <w:jc w:val="both"/>
        <w:rPr>
          <w:rFonts w:ascii="ITC Avant Garde" w:hAnsi="ITC Avant Garde" w:cs="Arial"/>
          <w:bCs/>
        </w:rPr>
      </w:pPr>
      <w:r w:rsidRPr="0003799D">
        <w:rPr>
          <w:rFonts w:ascii="ITC Avant Garde" w:hAnsi="ITC Avant Garde" w:cs="Arial"/>
          <w:b/>
          <w:bCs/>
        </w:rPr>
        <w:t>PRIMERO</w:t>
      </w:r>
      <w:r w:rsidRPr="0003799D">
        <w:rPr>
          <w:rFonts w:ascii="ITC Avant Garde" w:hAnsi="ITC Avant Garde" w:cs="Arial"/>
          <w:bCs/>
        </w:rPr>
        <w:t xml:space="preserve">.- </w:t>
      </w:r>
      <w:r w:rsidR="003545B6" w:rsidRPr="0003799D">
        <w:rPr>
          <w:rFonts w:ascii="ITC Avant Garde" w:hAnsi="ITC Avant Garde" w:cs="Arial"/>
          <w:bCs/>
        </w:rPr>
        <w:t xml:space="preserve">Se </w:t>
      </w:r>
      <w:r w:rsidR="000A4B52">
        <w:rPr>
          <w:rFonts w:ascii="ITC Avant Garde" w:hAnsi="ITC Avant Garde" w:cs="Arial"/>
          <w:bCs/>
        </w:rPr>
        <w:t>determina</w:t>
      </w:r>
      <w:r w:rsidR="003545B6" w:rsidRPr="0003799D">
        <w:rPr>
          <w:rFonts w:ascii="ITC Avant Garde" w:hAnsi="ITC Avant Garde" w:cs="Arial"/>
          <w:bCs/>
        </w:rPr>
        <w:t xml:space="preserve"> someter a consulta pública, por un plazo de 30 (treinta) días naturales contados a partir del día hábil siguiente al de su publicación en el portal de Internet del Instituto Federal de Telecomunicaciones, en los términos que fueron presentadas por las empresas </w:t>
      </w:r>
      <w:r w:rsidR="003545B6" w:rsidRPr="0003799D">
        <w:rPr>
          <w:rFonts w:ascii="ITC Avant Garde" w:eastAsia="Times New Roman" w:hAnsi="ITC Avant Garde"/>
        </w:rPr>
        <w:t>Teléfonos de México, S.A.B. de C.V.</w:t>
      </w:r>
      <w:r w:rsidR="008F099E">
        <w:rPr>
          <w:rFonts w:ascii="ITC Avant Garde" w:eastAsia="Times New Roman" w:hAnsi="ITC Avant Garde"/>
        </w:rPr>
        <w:t>,</w:t>
      </w:r>
      <w:r w:rsidR="003545B6" w:rsidRPr="0003799D">
        <w:rPr>
          <w:rFonts w:ascii="ITC Avant Garde" w:eastAsia="Times New Roman" w:hAnsi="ITC Avant Garde"/>
        </w:rPr>
        <w:t xml:space="preserve"> Teléfonos del Noroeste, S.A. de C.V. y </w:t>
      </w:r>
      <w:proofErr w:type="spellStart"/>
      <w:r w:rsidR="003545B6" w:rsidRPr="0003799D">
        <w:rPr>
          <w:rFonts w:ascii="ITC Avant Garde" w:eastAsia="Times New Roman" w:hAnsi="ITC Avant Garde"/>
        </w:rPr>
        <w:t>Radiomóvil</w:t>
      </w:r>
      <w:proofErr w:type="spellEnd"/>
      <w:r w:rsidR="003545B6" w:rsidRPr="0003799D">
        <w:rPr>
          <w:rFonts w:ascii="ITC Avant Garde" w:eastAsia="Times New Roman" w:hAnsi="ITC Avant Garde"/>
        </w:rPr>
        <w:t xml:space="preserve"> </w:t>
      </w:r>
      <w:proofErr w:type="spellStart"/>
      <w:r w:rsidR="003545B6" w:rsidRPr="0003799D">
        <w:rPr>
          <w:rFonts w:ascii="ITC Avant Garde" w:eastAsia="Times New Roman" w:hAnsi="ITC Avant Garde"/>
        </w:rPr>
        <w:t>Dipsa</w:t>
      </w:r>
      <w:proofErr w:type="spellEnd"/>
      <w:r w:rsidR="003545B6" w:rsidRPr="0003799D">
        <w:rPr>
          <w:rFonts w:ascii="ITC Avant Garde" w:eastAsia="Times New Roman" w:hAnsi="ITC Avant Garde"/>
        </w:rPr>
        <w:t xml:space="preserve">, S.A de C.V., integrantes del </w:t>
      </w:r>
      <w:r w:rsidR="003545B6" w:rsidRPr="0003799D">
        <w:rPr>
          <w:rFonts w:ascii="ITC Avant Garde" w:hAnsi="ITC Avant Garde" w:cs="Arial"/>
          <w:bCs/>
        </w:rPr>
        <w:t>Agente Económico Preponderante</w:t>
      </w:r>
      <w:r w:rsidR="008F099E">
        <w:rPr>
          <w:rFonts w:ascii="ITC Avant Garde" w:hAnsi="ITC Avant Garde" w:cs="Arial"/>
          <w:bCs/>
        </w:rPr>
        <w:t xml:space="preserve"> y de Operadora de </w:t>
      </w:r>
      <w:proofErr w:type="spellStart"/>
      <w:r w:rsidR="008F099E">
        <w:rPr>
          <w:rFonts w:ascii="ITC Avant Garde" w:hAnsi="ITC Avant Garde" w:cs="Arial"/>
          <w:bCs/>
        </w:rPr>
        <w:t>Sites</w:t>
      </w:r>
      <w:proofErr w:type="spellEnd"/>
      <w:r w:rsidR="008F099E">
        <w:rPr>
          <w:rFonts w:ascii="ITC Avant Garde" w:hAnsi="ITC Avant Garde" w:cs="Arial"/>
          <w:bCs/>
        </w:rPr>
        <w:t xml:space="preserve"> Mexicanos, S.A. de C.V. </w:t>
      </w:r>
      <w:r w:rsidR="008F099E" w:rsidRPr="00337EF8">
        <w:rPr>
          <w:rFonts w:ascii="ITC Avant Garde" w:hAnsi="ITC Avant Garde" w:cs="Arial"/>
          <w:bCs/>
        </w:rPr>
        <w:t xml:space="preserve">al ser una empresa escindida de </w:t>
      </w:r>
      <w:proofErr w:type="spellStart"/>
      <w:r w:rsidR="008F099E" w:rsidRPr="0003799D">
        <w:rPr>
          <w:rFonts w:ascii="ITC Avant Garde" w:eastAsia="Times New Roman" w:hAnsi="ITC Avant Garde"/>
        </w:rPr>
        <w:t>Radiomóvil</w:t>
      </w:r>
      <w:proofErr w:type="spellEnd"/>
      <w:r w:rsidR="008F099E" w:rsidRPr="0003799D">
        <w:rPr>
          <w:rFonts w:ascii="ITC Avant Garde" w:eastAsia="Times New Roman" w:hAnsi="ITC Avant Garde"/>
        </w:rPr>
        <w:t xml:space="preserve"> </w:t>
      </w:r>
      <w:proofErr w:type="spellStart"/>
      <w:r w:rsidR="008F099E" w:rsidRPr="0003799D">
        <w:rPr>
          <w:rFonts w:ascii="ITC Avant Garde" w:eastAsia="Times New Roman" w:hAnsi="ITC Avant Garde"/>
        </w:rPr>
        <w:t>Dipsa</w:t>
      </w:r>
      <w:proofErr w:type="spellEnd"/>
      <w:r w:rsidR="008F099E" w:rsidRPr="0003799D">
        <w:rPr>
          <w:rFonts w:ascii="ITC Avant Garde" w:eastAsia="Times New Roman" w:hAnsi="ITC Avant Garde"/>
        </w:rPr>
        <w:t>, S.A de C.V.</w:t>
      </w:r>
      <w:r w:rsidR="008F099E" w:rsidRPr="00337EF8">
        <w:rPr>
          <w:rFonts w:ascii="ITC Avant Garde" w:hAnsi="ITC Avant Garde" w:cs="Arial"/>
          <w:bCs/>
        </w:rPr>
        <w:t>, integrante del Agente Económico Preponderante, y ser poseedor de infraestructura pasiva móvil</w:t>
      </w:r>
      <w:r w:rsidR="003545B6" w:rsidRPr="0003799D">
        <w:rPr>
          <w:rFonts w:ascii="ITC Avant Garde" w:hAnsi="ITC Avant Garde" w:cs="Arial"/>
          <w:bCs/>
        </w:rPr>
        <w:t>, las propuestas de Ofertas de Referencia que se detallan en los Antecedentes V</w:t>
      </w:r>
      <w:r w:rsidR="00BF12F9" w:rsidRPr="0003799D">
        <w:rPr>
          <w:rFonts w:ascii="ITC Avant Garde" w:hAnsi="ITC Avant Garde" w:cs="Arial"/>
          <w:bCs/>
        </w:rPr>
        <w:t>I</w:t>
      </w:r>
      <w:r w:rsidR="003545B6" w:rsidRPr="0003799D">
        <w:rPr>
          <w:rFonts w:ascii="ITC Avant Garde" w:hAnsi="ITC Avant Garde" w:cs="Arial"/>
          <w:bCs/>
        </w:rPr>
        <w:t xml:space="preserve"> al X</w:t>
      </w:r>
      <w:r w:rsidR="00F33729" w:rsidRPr="0003799D">
        <w:rPr>
          <w:rFonts w:ascii="ITC Avant Garde" w:hAnsi="ITC Avant Garde" w:cs="Arial"/>
          <w:bCs/>
        </w:rPr>
        <w:t>I</w:t>
      </w:r>
      <w:r w:rsidR="003545B6" w:rsidRPr="0003799D">
        <w:rPr>
          <w:rFonts w:ascii="ITC Avant Garde" w:hAnsi="ITC Avant Garde" w:cs="Arial"/>
          <w:bCs/>
        </w:rPr>
        <w:t xml:space="preserve"> del presente Acuerdo, las cuales forman parte integrante del mismo.</w:t>
      </w:r>
    </w:p>
    <w:p w14:paraId="573588BD" w14:textId="77777777" w:rsidR="00EB4B6E" w:rsidRPr="00EB29B0" w:rsidRDefault="00EB4B6E" w:rsidP="00A33196">
      <w:pPr>
        <w:widowControl w:val="0"/>
        <w:spacing w:after="0"/>
        <w:jc w:val="both"/>
        <w:rPr>
          <w:rFonts w:ascii="ITC Avant Garde" w:hAnsi="ITC Avant Garde" w:cs="Arial"/>
          <w:bCs/>
        </w:rPr>
      </w:pPr>
    </w:p>
    <w:p w14:paraId="3BCBA00A" w14:textId="05400AA8" w:rsidR="00864BEB" w:rsidRPr="00EB29B0" w:rsidRDefault="00D46539" w:rsidP="00A33196">
      <w:pPr>
        <w:spacing w:after="0"/>
        <w:jc w:val="both"/>
        <w:rPr>
          <w:rFonts w:ascii="ITC Avant Garde" w:hAnsi="ITC Avant Garde" w:cs="Arial"/>
          <w:bCs/>
        </w:rPr>
      </w:pPr>
      <w:proofErr w:type="gramStart"/>
      <w:r w:rsidRPr="00EB29B0">
        <w:rPr>
          <w:rFonts w:ascii="ITC Avant Garde" w:hAnsi="ITC Avant Garde" w:cs="Arial"/>
          <w:b/>
          <w:bCs/>
        </w:rPr>
        <w:t>SEGUNDO</w:t>
      </w:r>
      <w:r w:rsidRPr="00EB29B0">
        <w:rPr>
          <w:rFonts w:ascii="ITC Avant Garde" w:hAnsi="ITC Avant Garde" w:cs="Arial"/>
          <w:bCs/>
        </w:rPr>
        <w:t>.-</w:t>
      </w:r>
      <w:proofErr w:type="gramEnd"/>
      <w:r w:rsidR="0042271F" w:rsidRPr="00EB29B0">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EB29B0">
        <w:rPr>
          <w:rFonts w:ascii="ITC Avant Garde" w:hAnsi="ITC Avant Garde" w:cs="Arial"/>
          <w:bCs/>
        </w:rPr>
        <w:t xml:space="preserve"> materia del presente Acuerdo.</w:t>
      </w:r>
    </w:p>
    <w:p w14:paraId="372A5889" w14:textId="2C7D2643" w:rsidR="00864BEB" w:rsidRPr="00EB29B0" w:rsidRDefault="0042271F" w:rsidP="00A33196">
      <w:pPr>
        <w:spacing w:after="0"/>
        <w:jc w:val="both"/>
        <w:rPr>
          <w:rFonts w:ascii="ITC Avant Garde" w:hAnsi="ITC Avant Garde" w:cs="Arial"/>
          <w:bCs/>
        </w:rPr>
      </w:pPr>
      <w:proofErr w:type="gramStart"/>
      <w:r w:rsidRPr="00EB29B0">
        <w:rPr>
          <w:rFonts w:ascii="ITC Avant Garde" w:hAnsi="ITC Avant Garde" w:cs="Arial"/>
          <w:b/>
          <w:bCs/>
        </w:rPr>
        <w:lastRenderedPageBreak/>
        <w:t>TERCERO</w:t>
      </w:r>
      <w:r w:rsidRPr="00EB29B0">
        <w:rPr>
          <w:rFonts w:ascii="ITC Avant Garde" w:hAnsi="ITC Avant Garde" w:cs="Arial"/>
          <w:bCs/>
        </w:rPr>
        <w:t>.-</w:t>
      </w:r>
      <w:proofErr w:type="gramEnd"/>
      <w:r w:rsidRPr="00EB29B0">
        <w:rPr>
          <w:rFonts w:ascii="ITC Avant Garde" w:hAnsi="ITC Avant Garde" w:cs="Arial"/>
          <w:bCs/>
        </w:rPr>
        <w:t xml:space="preserve"> Publíquese</w:t>
      </w:r>
      <w:r w:rsidR="003252F8" w:rsidRPr="00EB29B0">
        <w:rPr>
          <w:rFonts w:ascii="ITC Avant Garde" w:hAnsi="ITC Avant Garde" w:cs="Arial"/>
          <w:bCs/>
        </w:rPr>
        <w:t xml:space="preserve"> </w:t>
      </w:r>
      <w:r w:rsidR="00124FFC">
        <w:rPr>
          <w:rFonts w:ascii="ITC Avant Garde" w:hAnsi="ITC Avant Garde" w:cs="Arial"/>
          <w:bCs/>
        </w:rPr>
        <w:t xml:space="preserve">el presente Acuerdo y las </w:t>
      </w:r>
      <w:r w:rsidR="00124FFC" w:rsidRPr="0003799D">
        <w:rPr>
          <w:rFonts w:ascii="ITC Avant Garde" w:hAnsi="ITC Avant Garde" w:cs="Arial"/>
          <w:bCs/>
        </w:rPr>
        <w:t>Ofertas de Referencia que se detallan en los Antecedentes VI al XI del presente Acuerdo</w:t>
      </w:r>
      <w:r w:rsidR="00124FFC" w:rsidRPr="00EB29B0">
        <w:rPr>
          <w:rFonts w:ascii="ITC Avant Garde" w:hAnsi="ITC Avant Garde" w:cs="Arial"/>
          <w:bCs/>
        </w:rPr>
        <w:t xml:space="preserve"> </w:t>
      </w:r>
      <w:r w:rsidRPr="00EB29B0">
        <w:rPr>
          <w:rFonts w:ascii="ITC Avant Garde" w:hAnsi="ITC Avant Garde" w:cs="Arial"/>
          <w:bCs/>
        </w:rPr>
        <w:t xml:space="preserve">en </w:t>
      </w:r>
      <w:r w:rsidR="005B5F22" w:rsidRPr="00EB29B0">
        <w:rPr>
          <w:rFonts w:ascii="ITC Avant Garde" w:hAnsi="ITC Avant Garde" w:cs="Arial"/>
          <w:bCs/>
        </w:rPr>
        <w:t>el portal</w:t>
      </w:r>
      <w:r w:rsidRPr="00EB29B0">
        <w:rPr>
          <w:rFonts w:ascii="ITC Avant Garde" w:hAnsi="ITC Avant Garde" w:cs="Arial"/>
          <w:bCs/>
        </w:rPr>
        <w:t xml:space="preserve"> de Internet del Instituto</w:t>
      </w:r>
      <w:r w:rsidR="00671F9E" w:rsidRPr="00EB29B0">
        <w:rPr>
          <w:rFonts w:ascii="ITC Avant Garde" w:hAnsi="ITC Avant Garde" w:cs="Arial"/>
          <w:bCs/>
        </w:rPr>
        <w:t xml:space="preserve"> Federal de Telecomunicaciones</w:t>
      </w:r>
      <w:r w:rsidRPr="00EB29B0">
        <w:rPr>
          <w:rFonts w:ascii="ITC Avant Garde" w:hAnsi="ITC Avant Garde" w:cs="Arial"/>
          <w:bCs/>
        </w:rPr>
        <w:t>.</w:t>
      </w:r>
    </w:p>
    <w:p w14:paraId="6E936153" w14:textId="77777777" w:rsidR="00BB4ADA" w:rsidRPr="00EB29B0" w:rsidRDefault="00BB4ADA" w:rsidP="00AE4545">
      <w:pPr>
        <w:spacing w:after="0" w:line="240" w:lineRule="auto"/>
        <w:jc w:val="both"/>
        <w:rPr>
          <w:rFonts w:ascii="ITC Avant Garde" w:hAnsi="ITC Avant Garde" w:cs="Arial"/>
          <w:bCs/>
        </w:rPr>
      </w:pPr>
    </w:p>
    <w:p w14:paraId="27099A06" w14:textId="77777777" w:rsidR="0042271F" w:rsidRPr="00EB29B0" w:rsidRDefault="0042271F" w:rsidP="00AE4545">
      <w:pPr>
        <w:spacing w:after="0" w:line="240" w:lineRule="auto"/>
        <w:jc w:val="both"/>
        <w:rPr>
          <w:rFonts w:ascii="ITC Avant Garde" w:hAnsi="ITC Avant Garde" w:cs="Arial"/>
          <w:bCs/>
        </w:rPr>
      </w:pPr>
    </w:p>
    <w:p w14:paraId="1A0DB5FF" w14:textId="15C60EA8" w:rsidR="000277EE" w:rsidRDefault="000277EE" w:rsidP="00AE4545">
      <w:pPr>
        <w:spacing w:after="0" w:line="240" w:lineRule="auto"/>
        <w:jc w:val="both"/>
        <w:rPr>
          <w:rFonts w:ascii="ITC Avant Garde" w:hAnsi="ITC Avant Garde" w:cs="Arial"/>
          <w:bCs/>
        </w:rPr>
      </w:pPr>
    </w:p>
    <w:p w14:paraId="6A2D0E2F" w14:textId="32C15A66" w:rsidR="00AE4545" w:rsidRDefault="00AE4545" w:rsidP="00AE4545">
      <w:pPr>
        <w:spacing w:after="0" w:line="240" w:lineRule="auto"/>
        <w:jc w:val="both"/>
        <w:rPr>
          <w:rFonts w:ascii="ITC Avant Garde" w:hAnsi="ITC Avant Garde" w:cs="Arial"/>
          <w:bCs/>
        </w:rPr>
      </w:pPr>
    </w:p>
    <w:p w14:paraId="3EB5C250" w14:textId="49559563" w:rsidR="00AE4545" w:rsidRDefault="00AE4545" w:rsidP="00AE4545">
      <w:pPr>
        <w:spacing w:after="0" w:line="240" w:lineRule="auto"/>
        <w:jc w:val="both"/>
        <w:rPr>
          <w:rFonts w:ascii="ITC Avant Garde" w:hAnsi="ITC Avant Garde" w:cs="Arial"/>
          <w:bCs/>
        </w:rPr>
      </w:pPr>
    </w:p>
    <w:p w14:paraId="7350C590" w14:textId="0E612B56" w:rsidR="00AE4545" w:rsidRDefault="00AE4545" w:rsidP="00AE4545">
      <w:pPr>
        <w:spacing w:after="0" w:line="240" w:lineRule="auto"/>
        <w:jc w:val="both"/>
        <w:rPr>
          <w:rFonts w:ascii="ITC Avant Garde" w:hAnsi="ITC Avant Garde" w:cs="Arial"/>
          <w:bCs/>
        </w:rPr>
      </w:pPr>
    </w:p>
    <w:p w14:paraId="40C8326C" w14:textId="77777777" w:rsidR="00AE4545" w:rsidRDefault="00AE4545" w:rsidP="00AE4545">
      <w:pPr>
        <w:spacing w:after="0" w:line="240" w:lineRule="auto"/>
        <w:jc w:val="both"/>
        <w:rPr>
          <w:rFonts w:ascii="ITC Avant Garde" w:hAnsi="ITC Avant Garde" w:cs="Arial"/>
          <w:bCs/>
        </w:rPr>
      </w:pPr>
      <w:bookmarkStart w:id="0" w:name="_GoBack"/>
      <w:bookmarkEnd w:id="0"/>
    </w:p>
    <w:p w14:paraId="3FA38E53" w14:textId="665D2D7E" w:rsidR="00AE4545" w:rsidRDefault="00AE4545" w:rsidP="00AE4545">
      <w:pPr>
        <w:spacing w:after="0" w:line="240" w:lineRule="auto"/>
        <w:jc w:val="both"/>
        <w:rPr>
          <w:rFonts w:ascii="ITC Avant Garde" w:hAnsi="ITC Avant Garde" w:cs="Arial"/>
          <w:bCs/>
        </w:rPr>
      </w:pPr>
    </w:p>
    <w:p w14:paraId="1FA72B65" w14:textId="77777777" w:rsidR="00AE4545" w:rsidRDefault="00AE4545" w:rsidP="00AE4545">
      <w:pPr>
        <w:spacing w:after="0" w:line="240" w:lineRule="auto"/>
        <w:jc w:val="both"/>
        <w:rPr>
          <w:rFonts w:ascii="ITC Avant Garde" w:hAnsi="ITC Avant Garde" w:cs="Arial"/>
          <w:bCs/>
        </w:rPr>
      </w:pPr>
    </w:p>
    <w:p w14:paraId="4A6B6643" w14:textId="77777777" w:rsidR="000A4B52" w:rsidRPr="00EB29B0" w:rsidRDefault="000A4B52" w:rsidP="00AE4545">
      <w:pPr>
        <w:spacing w:after="0" w:line="240" w:lineRule="auto"/>
        <w:jc w:val="both"/>
        <w:rPr>
          <w:rFonts w:ascii="ITC Avant Garde" w:hAnsi="ITC Avant Garde" w:cs="Arial"/>
          <w:bCs/>
        </w:rPr>
      </w:pPr>
    </w:p>
    <w:p w14:paraId="153EFF4B" w14:textId="77777777" w:rsidR="000A4B52" w:rsidRPr="00AE4545" w:rsidRDefault="000A4B52" w:rsidP="00AE4545">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Gabriel Oswaldo Contreras Saldívar</w:t>
      </w:r>
    </w:p>
    <w:p w14:paraId="2CD4A9C1" w14:textId="77777777" w:rsidR="000A4B52" w:rsidRPr="00AE4545" w:rsidRDefault="000A4B52" w:rsidP="00AE4545">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Comisionado Presidente</w:t>
      </w:r>
    </w:p>
    <w:tbl>
      <w:tblPr>
        <w:tblW w:w="9560" w:type="dxa"/>
        <w:jc w:val="center"/>
        <w:tblLook w:val="04A0" w:firstRow="1" w:lastRow="0" w:firstColumn="1" w:lastColumn="0" w:noHBand="0" w:noVBand="1"/>
      </w:tblPr>
      <w:tblGrid>
        <w:gridCol w:w="4908"/>
        <w:gridCol w:w="4652"/>
      </w:tblGrid>
      <w:tr w:rsidR="000A4B52" w:rsidRPr="00AE4545" w14:paraId="5A160146" w14:textId="77777777" w:rsidTr="00AE4545">
        <w:trPr>
          <w:trHeight w:val="1586"/>
          <w:jc w:val="center"/>
        </w:trPr>
        <w:tc>
          <w:tcPr>
            <w:tcW w:w="4908" w:type="dxa"/>
          </w:tcPr>
          <w:p w14:paraId="75810BDB"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72B0B9FB" w14:textId="6B6EA5B4"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14:paraId="0ED7DE02" w14:textId="77777777"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14:paraId="00DBC1E8"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09AA8E2B"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6F1CB387"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María Elena </w:t>
            </w:r>
            <w:proofErr w:type="spellStart"/>
            <w:r w:rsidRPr="00AE4545">
              <w:rPr>
                <w:rFonts w:ascii="ITC Avant Garde" w:eastAsia="Times New Roman" w:hAnsi="ITC Avant Garde"/>
                <w:b/>
                <w:bCs/>
                <w:lang w:eastAsia="es-MX"/>
              </w:rPr>
              <w:t>Estavillo</w:t>
            </w:r>
            <w:proofErr w:type="spellEnd"/>
            <w:r w:rsidRPr="00AE4545">
              <w:rPr>
                <w:rFonts w:ascii="ITC Avant Garde" w:eastAsia="Times New Roman" w:hAnsi="ITC Avant Garde"/>
                <w:b/>
                <w:bCs/>
                <w:lang w:eastAsia="es-MX"/>
              </w:rPr>
              <w:t xml:space="preserve"> Flores</w:t>
            </w:r>
          </w:p>
          <w:p w14:paraId="3B203851"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Comisionada </w:t>
            </w:r>
          </w:p>
        </w:tc>
        <w:tc>
          <w:tcPr>
            <w:tcW w:w="4652" w:type="dxa"/>
          </w:tcPr>
          <w:p w14:paraId="5E1D5DCE"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27A494A2"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0664BD0C" w14:textId="419EE4E1"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14:paraId="07BF5B04" w14:textId="4F343402" w:rsidR="00AE4545" w:rsidRDefault="00AE4545" w:rsidP="00AE4545">
            <w:pPr>
              <w:tabs>
                <w:tab w:val="left" w:pos="993"/>
              </w:tabs>
              <w:spacing w:after="0" w:line="240" w:lineRule="auto"/>
              <w:ind w:right="-1"/>
              <w:jc w:val="both"/>
              <w:rPr>
                <w:rFonts w:ascii="ITC Avant Garde" w:eastAsia="Times New Roman" w:hAnsi="ITC Avant Garde"/>
                <w:b/>
                <w:bCs/>
                <w:lang w:eastAsia="es-MX"/>
              </w:rPr>
            </w:pPr>
          </w:p>
          <w:p w14:paraId="20BBFD4E" w14:textId="77777777"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14:paraId="61B52F6D"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Mario Germán </w:t>
            </w:r>
            <w:proofErr w:type="spellStart"/>
            <w:r w:rsidRPr="00AE4545">
              <w:rPr>
                <w:rFonts w:ascii="ITC Avant Garde" w:eastAsia="Times New Roman" w:hAnsi="ITC Avant Garde"/>
                <w:b/>
                <w:bCs/>
                <w:lang w:eastAsia="es-MX"/>
              </w:rPr>
              <w:t>Fromow</w:t>
            </w:r>
            <w:proofErr w:type="spellEnd"/>
            <w:r w:rsidRPr="00AE4545">
              <w:rPr>
                <w:rFonts w:ascii="ITC Avant Garde" w:eastAsia="Times New Roman" w:hAnsi="ITC Avant Garde"/>
                <w:b/>
                <w:bCs/>
                <w:lang w:eastAsia="es-MX"/>
              </w:rPr>
              <w:t xml:space="preserve"> Rangel</w:t>
            </w:r>
          </w:p>
          <w:p w14:paraId="7EE96008"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Comisionado </w:t>
            </w:r>
          </w:p>
        </w:tc>
      </w:tr>
      <w:tr w:rsidR="000A4B52" w:rsidRPr="00AE4545" w14:paraId="6D4F1E44" w14:textId="77777777" w:rsidTr="00AE4545">
        <w:trPr>
          <w:trHeight w:val="1699"/>
          <w:jc w:val="center"/>
        </w:trPr>
        <w:tc>
          <w:tcPr>
            <w:tcW w:w="4908" w:type="dxa"/>
          </w:tcPr>
          <w:p w14:paraId="193BC9B3"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25B5A7C1" w14:textId="65410387"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14:paraId="0A3138A0" w14:textId="77777777"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14:paraId="44F154C7"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794E42F0"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4A6AD990"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Adolfo Cuevas Teja</w:t>
            </w:r>
          </w:p>
          <w:p w14:paraId="00294434"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4652" w:type="dxa"/>
          </w:tcPr>
          <w:p w14:paraId="4A2A3F07"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51C0DBF7"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6EC37496" w14:textId="2C4F77B8"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14:paraId="7FB0A462" w14:textId="77777777"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14:paraId="5B5C80DF" w14:textId="77777777"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14:paraId="06C8D7E3"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Javier Juárez Mojica</w:t>
            </w:r>
          </w:p>
          <w:p w14:paraId="620ED004"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r w:rsidR="000A4B52" w:rsidRPr="00AE4545" w14:paraId="6D073D33" w14:textId="77777777" w:rsidTr="00AE4545">
        <w:trPr>
          <w:trHeight w:val="1634"/>
          <w:jc w:val="center"/>
        </w:trPr>
        <w:tc>
          <w:tcPr>
            <w:tcW w:w="4908" w:type="dxa"/>
          </w:tcPr>
          <w:p w14:paraId="0F48F75D"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p>
          <w:p w14:paraId="11726CCE" w14:textId="3005D643" w:rsidR="000A4B52" w:rsidRDefault="000A4B52" w:rsidP="00AE4545">
            <w:pPr>
              <w:tabs>
                <w:tab w:val="left" w:pos="993"/>
              </w:tabs>
              <w:spacing w:after="0" w:line="240" w:lineRule="auto"/>
              <w:ind w:right="-1"/>
              <w:jc w:val="center"/>
              <w:rPr>
                <w:rFonts w:ascii="ITC Avant Garde" w:eastAsia="Times New Roman" w:hAnsi="ITC Avant Garde"/>
                <w:b/>
                <w:bCs/>
                <w:lang w:eastAsia="es-MX"/>
              </w:rPr>
            </w:pPr>
          </w:p>
          <w:p w14:paraId="6AF988A0" w14:textId="77777777" w:rsid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14:paraId="0914FF6F" w14:textId="6B2E458D" w:rsid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14:paraId="692F3485" w14:textId="77777777" w:rsidR="00AE4545" w:rsidRP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14:paraId="6DC4DCB2"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 </w:t>
            </w:r>
            <w:r w:rsidRPr="00AE4545">
              <w:rPr>
                <w:rFonts w:ascii="ITC Avant Garde" w:eastAsia="Times New Roman" w:hAnsi="ITC Avant Garde"/>
                <w:b/>
                <w:bCs/>
                <w:lang w:val="es-ES" w:eastAsia="es-MX"/>
              </w:rPr>
              <w:t xml:space="preserve">Arturo Robles </w:t>
            </w:r>
            <w:proofErr w:type="spellStart"/>
            <w:r w:rsidRPr="00AE4545">
              <w:rPr>
                <w:rFonts w:ascii="ITC Avant Garde" w:eastAsia="Times New Roman" w:hAnsi="ITC Avant Garde"/>
                <w:b/>
                <w:bCs/>
                <w:lang w:val="es-ES" w:eastAsia="es-MX"/>
              </w:rPr>
              <w:t>Rovalo</w:t>
            </w:r>
            <w:proofErr w:type="spellEnd"/>
            <w:r w:rsidRPr="00AE4545">
              <w:rPr>
                <w:rFonts w:ascii="ITC Avant Garde" w:eastAsia="Times New Roman" w:hAnsi="ITC Avant Garde"/>
                <w:b/>
                <w:bCs/>
                <w:lang w:val="es-ES" w:eastAsia="es-MX"/>
              </w:rPr>
              <w:t xml:space="preserve"> </w:t>
            </w:r>
          </w:p>
          <w:p w14:paraId="34538BE8"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4652" w:type="dxa"/>
          </w:tcPr>
          <w:p w14:paraId="042B04D9"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p>
          <w:p w14:paraId="0165A9D7" w14:textId="4761B812" w:rsidR="000A4B52" w:rsidRDefault="000A4B52" w:rsidP="00AE4545">
            <w:pPr>
              <w:tabs>
                <w:tab w:val="left" w:pos="993"/>
              </w:tabs>
              <w:spacing w:after="0" w:line="240" w:lineRule="auto"/>
              <w:ind w:right="-1"/>
              <w:jc w:val="center"/>
              <w:rPr>
                <w:rFonts w:ascii="ITC Avant Garde" w:eastAsia="Times New Roman" w:hAnsi="ITC Avant Garde"/>
                <w:b/>
                <w:bCs/>
                <w:lang w:eastAsia="es-MX"/>
              </w:rPr>
            </w:pPr>
          </w:p>
          <w:p w14:paraId="0ADF5EC3" w14:textId="77777777" w:rsid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14:paraId="465B0DF5" w14:textId="77777777" w:rsidR="00AE4545" w:rsidRP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14:paraId="343148A4"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p>
          <w:p w14:paraId="61BC8382"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proofErr w:type="spellStart"/>
            <w:r w:rsidRPr="00AE4545">
              <w:rPr>
                <w:rFonts w:ascii="ITC Avant Garde" w:eastAsia="Times New Roman" w:hAnsi="ITC Avant Garde"/>
                <w:b/>
                <w:bCs/>
                <w:lang w:eastAsia="es-MX"/>
              </w:rPr>
              <w:t>Sóstenes</w:t>
            </w:r>
            <w:proofErr w:type="spellEnd"/>
            <w:r w:rsidRPr="00AE4545">
              <w:rPr>
                <w:rFonts w:ascii="ITC Avant Garde" w:eastAsia="Times New Roman" w:hAnsi="ITC Avant Garde"/>
                <w:b/>
                <w:bCs/>
                <w:lang w:eastAsia="es-MX"/>
              </w:rPr>
              <w:t xml:space="preserve"> Díaz González</w:t>
            </w:r>
          </w:p>
          <w:p w14:paraId="180E05F5" w14:textId="77777777"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bl>
    <w:p w14:paraId="54D938D6" w14:textId="77777777" w:rsidR="00AE4545" w:rsidRDefault="00AE4545" w:rsidP="00AE4545">
      <w:pPr>
        <w:spacing w:after="0" w:line="240" w:lineRule="auto"/>
        <w:jc w:val="both"/>
        <w:rPr>
          <w:rFonts w:ascii="ITC Avant Garde" w:hAnsi="ITC Avant Garde"/>
          <w:sz w:val="14"/>
          <w:szCs w:val="14"/>
          <w:lang w:val="es-ES" w:eastAsia="es-ES"/>
        </w:rPr>
      </w:pPr>
    </w:p>
    <w:p w14:paraId="03E24EB3" w14:textId="77777777" w:rsidR="00AE4545" w:rsidRDefault="00AE4545" w:rsidP="00AE4545">
      <w:pPr>
        <w:spacing w:after="0" w:line="240" w:lineRule="auto"/>
        <w:jc w:val="both"/>
        <w:rPr>
          <w:rFonts w:ascii="ITC Avant Garde" w:hAnsi="ITC Avant Garde"/>
          <w:sz w:val="14"/>
          <w:szCs w:val="14"/>
          <w:lang w:val="es-ES" w:eastAsia="es-ES"/>
        </w:rPr>
      </w:pPr>
    </w:p>
    <w:p w14:paraId="3862F260" w14:textId="77777777" w:rsidR="00AE4545" w:rsidRDefault="00AE4545" w:rsidP="00AE4545">
      <w:pPr>
        <w:spacing w:after="0" w:line="240" w:lineRule="auto"/>
        <w:jc w:val="both"/>
        <w:rPr>
          <w:rFonts w:ascii="ITC Avant Garde" w:hAnsi="ITC Avant Garde"/>
          <w:sz w:val="14"/>
          <w:szCs w:val="14"/>
          <w:lang w:val="es-ES" w:eastAsia="es-ES"/>
        </w:rPr>
      </w:pPr>
    </w:p>
    <w:p w14:paraId="13DFFE09" w14:textId="77777777" w:rsidR="00AE4545" w:rsidRDefault="00AE4545" w:rsidP="00AE4545">
      <w:pPr>
        <w:spacing w:after="0" w:line="240" w:lineRule="auto"/>
        <w:jc w:val="both"/>
        <w:rPr>
          <w:rFonts w:ascii="ITC Avant Garde" w:hAnsi="ITC Avant Garde"/>
          <w:sz w:val="14"/>
          <w:szCs w:val="14"/>
          <w:lang w:val="es-ES" w:eastAsia="es-ES"/>
        </w:rPr>
      </w:pPr>
    </w:p>
    <w:p w14:paraId="27B1B75F" w14:textId="3A777569" w:rsidR="00AE4545" w:rsidRPr="00AE4545" w:rsidRDefault="00AE4545" w:rsidP="00AE4545">
      <w:pPr>
        <w:spacing w:after="0" w:line="240" w:lineRule="auto"/>
        <w:jc w:val="both"/>
        <w:rPr>
          <w:rFonts w:ascii="ITC Avant Garde" w:hAnsi="ITC Avant Garde"/>
          <w:sz w:val="14"/>
          <w:szCs w:val="14"/>
        </w:rPr>
      </w:pPr>
      <w:r w:rsidRPr="00AE4545">
        <w:rPr>
          <w:rFonts w:ascii="ITC Avant Garde" w:hAnsi="ITC Avant Garde"/>
          <w:sz w:val="14"/>
          <w:szCs w:val="14"/>
          <w:lang w:val="es-ES" w:eastAsia="es-ES"/>
        </w:rPr>
        <w:t xml:space="preserve">El presente Acuerdo fue aprobado por el Pleno del Instituto Federal de Telecomunicaciones en su XXIV Sesión Ordinaria celebrada el 8 de agosto de 2018, por </w:t>
      </w:r>
      <w:r w:rsidRPr="00AE4545">
        <w:rPr>
          <w:rFonts w:ascii="ITC Avant Garde" w:hAnsi="ITC Avant Garde"/>
          <w:bCs/>
          <w:sz w:val="14"/>
          <w:szCs w:val="14"/>
          <w:lang w:val="es-ES" w:eastAsia="es-ES"/>
        </w:rPr>
        <w:t>unanimidad</w:t>
      </w:r>
      <w:r w:rsidRPr="00AE4545">
        <w:rPr>
          <w:rFonts w:ascii="ITC Avant Garde" w:hAnsi="ITC Avant Garde"/>
          <w:sz w:val="14"/>
          <w:szCs w:val="14"/>
          <w:lang w:val="es-ES" w:eastAsia="es-ES"/>
        </w:rPr>
        <w:t xml:space="preserve"> de votos de los Comisionados Gabriel Oswaldo Contreras Saldívar, María Elena </w:t>
      </w:r>
      <w:proofErr w:type="spellStart"/>
      <w:r w:rsidRPr="00AE4545">
        <w:rPr>
          <w:rFonts w:ascii="ITC Avant Garde" w:hAnsi="ITC Avant Garde"/>
          <w:sz w:val="14"/>
          <w:szCs w:val="14"/>
          <w:lang w:val="es-ES" w:eastAsia="es-ES"/>
        </w:rPr>
        <w:t>Estavillo</w:t>
      </w:r>
      <w:proofErr w:type="spellEnd"/>
      <w:r w:rsidRPr="00AE4545">
        <w:rPr>
          <w:rFonts w:ascii="ITC Avant Garde" w:hAnsi="ITC Avant Garde"/>
          <w:sz w:val="14"/>
          <w:szCs w:val="14"/>
          <w:lang w:val="es-ES" w:eastAsia="es-ES"/>
        </w:rPr>
        <w:t xml:space="preserve"> Flores, </w:t>
      </w:r>
      <w:r w:rsidRPr="00AE4545">
        <w:rPr>
          <w:rFonts w:ascii="ITC Avant Garde" w:hAnsi="ITC Avant Garde"/>
          <w:sz w:val="14"/>
          <w:szCs w:val="14"/>
          <w:lang w:eastAsia="es-MX"/>
        </w:rPr>
        <w:t xml:space="preserve">Mario Germán </w:t>
      </w:r>
      <w:proofErr w:type="spellStart"/>
      <w:r w:rsidRPr="00AE4545">
        <w:rPr>
          <w:rFonts w:ascii="ITC Avant Garde" w:hAnsi="ITC Avant Garde"/>
          <w:sz w:val="14"/>
          <w:szCs w:val="14"/>
          <w:lang w:eastAsia="es-MX"/>
        </w:rPr>
        <w:t>Fromow</w:t>
      </w:r>
      <w:proofErr w:type="spellEnd"/>
      <w:r w:rsidRPr="00AE4545">
        <w:rPr>
          <w:rFonts w:ascii="ITC Avant Garde" w:hAnsi="ITC Avant Garde"/>
          <w:sz w:val="14"/>
          <w:szCs w:val="14"/>
          <w:lang w:eastAsia="es-MX"/>
        </w:rPr>
        <w:t xml:space="preserve"> Rangel, Adolfo Cuevas Teja, Javier Juárez Mojica, Arturo Robles </w:t>
      </w:r>
      <w:proofErr w:type="spellStart"/>
      <w:r w:rsidRPr="00AE4545">
        <w:rPr>
          <w:rFonts w:ascii="ITC Avant Garde" w:hAnsi="ITC Avant Garde"/>
          <w:sz w:val="14"/>
          <w:szCs w:val="14"/>
          <w:lang w:eastAsia="es-MX"/>
        </w:rPr>
        <w:t>Rovalo</w:t>
      </w:r>
      <w:proofErr w:type="spellEnd"/>
      <w:r w:rsidRPr="00AE4545">
        <w:rPr>
          <w:rFonts w:ascii="ITC Avant Garde" w:hAnsi="ITC Avant Garde"/>
          <w:sz w:val="14"/>
          <w:szCs w:val="14"/>
          <w:lang w:eastAsia="es-MX"/>
        </w:rPr>
        <w:t xml:space="preserve"> y </w:t>
      </w:r>
      <w:proofErr w:type="spellStart"/>
      <w:r w:rsidRPr="00AE4545">
        <w:rPr>
          <w:rFonts w:ascii="ITC Avant Garde" w:hAnsi="ITC Avant Garde"/>
          <w:sz w:val="14"/>
          <w:szCs w:val="14"/>
          <w:lang w:eastAsia="es-MX"/>
        </w:rPr>
        <w:t>Sóstenes</w:t>
      </w:r>
      <w:proofErr w:type="spellEnd"/>
      <w:r w:rsidRPr="00AE4545">
        <w:rPr>
          <w:rFonts w:ascii="ITC Avant Garde" w:hAnsi="ITC Avant Garde"/>
          <w:sz w:val="14"/>
          <w:szCs w:val="14"/>
          <w:lang w:eastAsia="es-MX"/>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P/IFT/080818/480.</w:t>
      </w:r>
    </w:p>
    <w:sectPr w:rsidR="00AE4545" w:rsidRPr="00AE4545" w:rsidSect="00AE4545">
      <w:headerReference w:type="even" r:id="rId8"/>
      <w:footerReference w:type="default" r:id="rId9"/>
      <w:headerReference w:type="first" r:id="rId10"/>
      <w:pgSz w:w="12240" w:h="15840" w:code="1"/>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9CA3B" w14:textId="77777777" w:rsidR="00CC7191" w:rsidRDefault="00CC7191" w:rsidP="009B28E6">
      <w:pPr>
        <w:spacing w:after="0" w:line="240" w:lineRule="auto"/>
      </w:pPr>
      <w:r>
        <w:separator/>
      </w:r>
    </w:p>
  </w:endnote>
  <w:endnote w:type="continuationSeparator" w:id="0">
    <w:p w14:paraId="21732061" w14:textId="77777777" w:rsidR="00CC7191" w:rsidRDefault="00CC7191"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559805"/>
      <w:docPartObj>
        <w:docPartGallery w:val="Page Numbers (Bottom of Page)"/>
        <w:docPartUnique/>
      </w:docPartObj>
    </w:sdtPr>
    <w:sdtEndPr>
      <w:rPr>
        <w:rFonts w:ascii="ITC Avant Garde" w:hAnsi="ITC Avant Garde"/>
        <w:sz w:val="20"/>
        <w:szCs w:val="20"/>
      </w:rPr>
    </w:sdtEndPr>
    <w:sdtContent>
      <w:p w14:paraId="46636ACB" w14:textId="0154FC3E" w:rsidR="00010FC3" w:rsidRPr="00AE4545" w:rsidRDefault="00010FC3">
        <w:pPr>
          <w:pStyle w:val="Piedepgina"/>
          <w:jc w:val="right"/>
          <w:rPr>
            <w:rFonts w:ascii="ITC Avant Garde" w:hAnsi="ITC Avant Garde"/>
            <w:sz w:val="20"/>
            <w:szCs w:val="20"/>
          </w:rPr>
        </w:pPr>
        <w:r w:rsidRPr="00AE4545">
          <w:rPr>
            <w:rFonts w:ascii="ITC Avant Garde" w:hAnsi="ITC Avant Garde"/>
            <w:sz w:val="20"/>
            <w:szCs w:val="20"/>
          </w:rPr>
          <w:fldChar w:fldCharType="begin"/>
        </w:r>
        <w:r w:rsidRPr="00AE4545">
          <w:rPr>
            <w:rFonts w:ascii="ITC Avant Garde" w:hAnsi="ITC Avant Garde"/>
            <w:sz w:val="20"/>
            <w:szCs w:val="20"/>
          </w:rPr>
          <w:instrText>PAGE   \* MERGEFORMAT</w:instrText>
        </w:r>
        <w:r w:rsidRPr="00AE4545">
          <w:rPr>
            <w:rFonts w:ascii="ITC Avant Garde" w:hAnsi="ITC Avant Garde"/>
            <w:sz w:val="20"/>
            <w:szCs w:val="20"/>
          </w:rPr>
          <w:fldChar w:fldCharType="separate"/>
        </w:r>
        <w:r w:rsidR="00AE4545" w:rsidRPr="00AE4545">
          <w:rPr>
            <w:rFonts w:ascii="ITC Avant Garde" w:hAnsi="ITC Avant Garde"/>
            <w:noProof/>
            <w:sz w:val="20"/>
            <w:szCs w:val="20"/>
            <w:lang w:val="es-ES"/>
          </w:rPr>
          <w:t>10</w:t>
        </w:r>
        <w:r w:rsidRPr="00AE4545">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C3811" w14:textId="77777777" w:rsidR="00CC7191" w:rsidRDefault="00CC7191" w:rsidP="009B28E6">
      <w:pPr>
        <w:spacing w:after="0" w:line="240" w:lineRule="auto"/>
      </w:pPr>
      <w:r>
        <w:separator/>
      </w:r>
    </w:p>
  </w:footnote>
  <w:footnote w:type="continuationSeparator" w:id="0">
    <w:p w14:paraId="00694785" w14:textId="77777777" w:rsidR="00CC7191" w:rsidRDefault="00CC7191"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5FEB" w14:textId="77777777" w:rsidR="007A1607" w:rsidRDefault="00AE4545">
    <w:pPr>
      <w:pStyle w:val="Encabezado"/>
    </w:pPr>
    <w:r>
      <w:rPr>
        <w:noProof/>
        <w:lang w:eastAsia="es-MX"/>
      </w:rPr>
      <w:pict w14:anchorId="59E6F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C914" w14:textId="77777777" w:rsidR="007A1607" w:rsidRDefault="00AE4545">
    <w:pPr>
      <w:pStyle w:val="Encabezado"/>
    </w:pPr>
    <w:r>
      <w:rPr>
        <w:noProof/>
        <w:lang w:eastAsia="es-MX"/>
      </w:rPr>
      <w:pict w14:anchorId="0BAD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3BC4"/>
    <w:rsid w:val="00026F55"/>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598F"/>
    <w:rsid w:val="000665C1"/>
    <w:rsid w:val="00066945"/>
    <w:rsid w:val="00066D0C"/>
    <w:rsid w:val="000749EE"/>
    <w:rsid w:val="000758D2"/>
    <w:rsid w:val="00075FCD"/>
    <w:rsid w:val="00077880"/>
    <w:rsid w:val="000810A2"/>
    <w:rsid w:val="0008186D"/>
    <w:rsid w:val="000826C8"/>
    <w:rsid w:val="00083B34"/>
    <w:rsid w:val="000845D2"/>
    <w:rsid w:val="00084B34"/>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B52"/>
    <w:rsid w:val="000A4FF6"/>
    <w:rsid w:val="000A54BA"/>
    <w:rsid w:val="000A5AEC"/>
    <w:rsid w:val="000A7976"/>
    <w:rsid w:val="000B0072"/>
    <w:rsid w:val="000B0130"/>
    <w:rsid w:val="000B3A09"/>
    <w:rsid w:val="000B4430"/>
    <w:rsid w:val="000B55E8"/>
    <w:rsid w:val="000B5728"/>
    <w:rsid w:val="000B58C5"/>
    <w:rsid w:val="000B7ADF"/>
    <w:rsid w:val="000C1D7A"/>
    <w:rsid w:val="000C2BA6"/>
    <w:rsid w:val="000C42C9"/>
    <w:rsid w:val="000C43CA"/>
    <w:rsid w:val="000C5720"/>
    <w:rsid w:val="000C58E0"/>
    <w:rsid w:val="000C773A"/>
    <w:rsid w:val="000C77C5"/>
    <w:rsid w:val="000D0A36"/>
    <w:rsid w:val="000D2394"/>
    <w:rsid w:val="000D326F"/>
    <w:rsid w:val="000D3CF9"/>
    <w:rsid w:val="000D719C"/>
    <w:rsid w:val="000D7E15"/>
    <w:rsid w:val="000E0BAA"/>
    <w:rsid w:val="000E0DF7"/>
    <w:rsid w:val="000E2375"/>
    <w:rsid w:val="000E3B3C"/>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A8D"/>
    <w:rsid w:val="0010685C"/>
    <w:rsid w:val="001068F5"/>
    <w:rsid w:val="0011128D"/>
    <w:rsid w:val="0011148C"/>
    <w:rsid w:val="0011201D"/>
    <w:rsid w:val="00116AE9"/>
    <w:rsid w:val="001171CF"/>
    <w:rsid w:val="001200FA"/>
    <w:rsid w:val="0012111B"/>
    <w:rsid w:val="00122CDE"/>
    <w:rsid w:val="00123B6A"/>
    <w:rsid w:val="00124A18"/>
    <w:rsid w:val="00124FFC"/>
    <w:rsid w:val="001257ED"/>
    <w:rsid w:val="001259B9"/>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3EA"/>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DA3"/>
    <w:rsid w:val="001A0BB7"/>
    <w:rsid w:val="001A1138"/>
    <w:rsid w:val="001A26BB"/>
    <w:rsid w:val="001A2CFD"/>
    <w:rsid w:val="001A3EA3"/>
    <w:rsid w:val="001A69B2"/>
    <w:rsid w:val="001B137F"/>
    <w:rsid w:val="001B3139"/>
    <w:rsid w:val="001B4962"/>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46B1"/>
    <w:rsid w:val="00225E4F"/>
    <w:rsid w:val="0022603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606D2"/>
    <w:rsid w:val="00260CC2"/>
    <w:rsid w:val="00261B02"/>
    <w:rsid w:val="00261B5B"/>
    <w:rsid w:val="00264DA7"/>
    <w:rsid w:val="00265632"/>
    <w:rsid w:val="00266AF9"/>
    <w:rsid w:val="0027105F"/>
    <w:rsid w:val="00273294"/>
    <w:rsid w:val="00273A55"/>
    <w:rsid w:val="00274117"/>
    <w:rsid w:val="00274186"/>
    <w:rsid w:val="002750A8"/>
    <w:rsid w:val="002774BB"/>
    <w:rsid w:val="002809A3"/>
    <w:rsid w:val="00281276"/>
    <w:rsid w:val="00281330"/>
    <w:rsid w:val="002823AB"/>
    <w:rsid w:val="00282939"/>
    <w:rsid w:val="00283E0C"/>
    <w:rsid w:val="00284F1A"/>
    <w:rsid w:val="00286CCA"/>
    <w:rsid w:val="00286D78"/>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0DD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B6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71BAA"/>
    <w:rsid w:val="00571FAC"/>
    <w:rsid w:val="005735A7"/>
    <w:rsid w:val="005753EC"/>
    <w:rsid w:val="00575F17"/>
    <w:rsid w:val="00575F83"/>
    <w:rsid w:val="0058038F"/>
    <w:rsid w:val="00580F51"/>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A9C"/>
    <w:rsid w:val="005B5DAD"/>
    <w:rsid w:val="005B5F22"/>
    <w:rsid w:val="005B7309"/>
    <w:rsid w:val="005B7587"/>
    <w:rsid w:val="005C1ABF"/>
    <w:rsid w:val="005C76B2"/>
    <w:rsid w:val="005D09B9"/>
    <w:rsid w:val="005D1B1D"/>
    <w:rsid w:val="005D3703"/>
    <w:rsid w:val="005D3918"/>
    <w:rsid w:val="005D4C67"/>
    <w:rsid w:val="005D5CC2"/>
    <w:rsid w:val="005D62EB"/>
    <w:rsid w:val="005D6344"/>
    <w:rsid w:val="005D6687"/>
    <w:rsid w:val="005D70F4"/>
    <w:rsid w:val="005D74A3"/>
    <w:rsid w:val="005E18D2"/>
    <w:rsid w:val="005E2CCB"/>
    <w:rsid w:val="005E2E1E"/>
    <w:rsid w:val="005E33ED"/>
    <w:rsid w:val="005E3820"/>
    <w:rsid w:val="005E5174"/>
    <w:rsid w:val="005E55A3"/>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C06"/>
    <w:rsid w:val="006523AE"/>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086"/>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727"/>
    <w:rsid w:val="00721EC3"/>
    <w:rsid w:val="0072366D"/>
    <w:rsid w:val="0072394C"/>
    <w:rsid w:val="007244CA"/>
    <w:rsid w:val="007276E6"/>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22D5"/>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3AEF"/>
    <w:rsid w:val="00824C11"/>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69CB"/>
    <w:rsid w:val="008471A1"/>
    <w:rsid w:val="00847C89"/>
    <w:rsid w:val="008539E9"/>
    <w:rsid w:val="00853D33"/>
    <w:rsid w:val="00853F40"/>
    <w:rsid w:val="00854BDB"/>
    <w:rsid w:val="00855613"/>
    <w:rsid w:val="008577EC"/>
    <w:rsid w:val="00860E82"/>
    <w:rsid w:val="00860FA9"/>
    <w:rsid w:val="00862719"/>
    <w:rsid w:val="00864BEB"/>
    <w:rsid w:val="00865667"/>
    <w:rsid w:val="0086718A"/>
    <w:rsid w:val="00870CFF"/>
    <w:rsid w:val="008751B6"/>
    <w:rsid w:val="008757C8"/>
    <w:rsid w:val="00875E6F"/>
    <w:rsid w:val="0087709B"/>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6EC8"/>
    <w:rsid w:val="008A7F86"/>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47B17"/>
    <w:rsid w:val="0095084C"/>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313D"/>
    <w:rsid w:val="009B7BEE"/>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3851"/>
    <w:rsid w:val="00A439DD"/>
    <w:rsid w:val="00A455E7"/>
    <w:rsid w:val="00A46938"/>
    <w:rsid w:val="00A4788C"/>
    <w:rsid w:val="00A5264F"/>
    <w:rsid w:val="00A5286D"/>
    <w:rsid w:val="00A5347D"/>
    <w:rsid w:val="00A53CDD"/>
    <w:rsid w:val="00A54628"/>
    <w:rsid w:val="00A57828"/>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545"/>
    <w:rsid w:val="00AE47FD"/>
    <w:rsid w:val="00AE4BB9"/>
    <w:rsid w:val="00AE55F3"/>
    <w:rsid w:val="00AE58FF"/>
    <w:rsid w:val="00AE7279"/>
    <w:rsid w:val="00AE7419"/>
    <w:rsid w:val="00AE7DC4"/>
    <w:rsid w:val="00AF07D9"/>
    <w:rsid w:val="00AF121D"/>
    <w:rsid w:val="00AF2A13"/>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6F3"/>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B66"/>
    <w:rsid w:val="00C24DE2"/>
    <w:rsid w:val="00C27174"/>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4E64"/>
    <w:rsid w:val="00CB57A4"/>
    <w:rsid w:val="00CB5D74"/>
    <w:rsid w:val="00CB6095"/>
    <w:rsid w:val="00CB61F4"/>
    <w:rsid w:val="00CB669B"/>
    <w:rsid w:val="00CC08A8"/>
    <w:rsid w:val="00CC18B8"/>
    <w:rsid w:val="00CC278D"/>
    <w:rsid w:val="00CC3D6C"/>
    <w:rsid w:val="00CC48CB"/>
    <w:rsid w:val="00CC53D5"/>
    <w:rsid w:val="00CC5B8C"/>
    <w:rsid w:val="00CC6314"/>
    <w:rsid w:val="00CC6C46"/>
    <w:rsid w:val="00CC718B"/>
    <w:rsid w:val="00CC7191"/>
    <w:rsid w:val="00CD0204"/>
    <w:rsid w:val="00CD1C98"/>
    <w:rsid w:val="00CD3FE7"/>
    <w:rsid w:val="00CD4D2B"/>
    <w:rsid w:val="00CD5C65"/>
    <w:rsid w:val="00CD6B0E"/>
    <w:rsid w:val="00CD760F"/>
    <w:rsid w:val="00CE05E3"/>
    <w:rsid w:val="00CE1208"/>
    <w:rsid w:val="00CE24C3"/>
    <w:rsid w:val="00CE41B7"/>
    <w:rsid w:val="00CE479D"/>
    <w:rsid w:val="00CE5FEE"/>
    <w:rsid w:val="00CE6146"/>
    <w:rsid w:val="00CE7282"/>
    <w:rsid w:val="00CE735C"/>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CD9"/>
    <w:rsid w:val="00D46420"/>
    <w:rsid w:val="00D46539"/>
    <w:rsid w:val="00D474D2"/>
    <w:rsid w:val="00D475D5"/>
    <w:rsid w:val="00D50869"/>
    <w:rsid w:val="00D50EFC"/>
    <w:rsid w:val="00D5303F"/>
    <w:rsid w:val="00D53CD7"/>
    <w:rsid w:val="00D55E2A"/>
    <w:rsid w:val="00D56557"/>
    <w:rsid w:val="00D57636"/>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AB5"/>
    <w:rsid w:val="00DB0DEC"/>
    <w:rsid w:val="00DB4E99"/>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45D3"/>
    <w:rsid w:val="00E762D1"/>
    <w:rsid w:val="00E772A1"/>
    <w:rsid w:val="00E7743D"/>
    <w:rsid w:val="00E776AF"/>
    <w:rsid w:val="00E77804"/>
    <w:rsid w:val="00E77B5F"/>
    <w:rsid w:val="00E77BD8"/>
    <w:rsid w:val="00E80586"/>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0E9"/>
    <w:rsid w:val="00EF3A01"/>
    <w:rsid w:val="00EF472F"/>
    <w:rsid w:val="00EF5AF7"/>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401D9"/>
    <w:rsid w:val="00F40616"/>
    <w:rsid w:val="00F41873"/>
    <w:rsid w:val="00F4347E"/>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454"/>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41F0"/>
    <w:rsid w:val="00F86CBE"/>
    <w:rsid w:val="00F90E00"/>
    <w:rsid w:val="00F9106B"/>
    <w:rsid w:val="00F91213"/>
    <w:rsid w:val="00F9135C"/>
    <w:rsid w:val="00F919F7"/>
    <w:rsid w:val="00F91FFB"/>
    <w:rsid w:val="00F921E7"/>
    <w:rsid w:val="00F92584"/>
    <w:rsid w:val="00F942D1"/>
    <w:rsid w:val="00F95410"/>
    <w:rsid w:val="00F95760"/>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1FF"/>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280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072388736">
      <w:bodyDiv w:val="1"/>
      <w:marLeft w:val="0"/>
      <w:marRight w:val="0"/>
      <w:marTop w:val="0"/>
      <w:marBottom w:val="0"/>
      <w:divBdr>
        <w:top w:val="none" w:sz="0" w:space="0" w:color="auto"/>
        <w:left w:val="none" w:sz="0" w:space="0" w:color="auto"/>
        <w:bottom w:val="none" w:sz="0" w:space="0" w:color="auto"/>
        <w:right w:val="none" w:sz="0" w:space="0" w:color="auto"/>
      </w:divBdr>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AF7B8-2927-418E-89BE-3BF6AEDC8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3608</Words>
  <Characters>19847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23409</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Mireya Sanabria Cedillo</cp:lastModifiedBy>
  <cp:revision>3</cp:revision>
  <cp:lastPrinted>2015-07-02T01:52:00Z</cp:lastPrinted>
  <dcterms:created xsi:type="dcterms:W3CDTF">2018-08-08T20:51:00Z</dcterms:created>
  <dcterms:modified xsi:type="dcterms:W3CDTF">2018-08-14T21:21:00Z</dcterms:modified>
</cp:coreProperties>
</file>