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14E5A" w14:textId="77777777" w:rsidR="00181D64" w:rsidRPr="00523452" w:rsidRDefault="00181D64" w:rsidP="00181D64">
      <w:pPr>
        <w:jc w:val="center"/>
        <w:rPr>
          <w:rFonts w:ascii="ITC Avant Garde" w:hAnsi="ITC Avant Garde"/>
          <w:b/>
          <w:sz w:val="24"/>
        </w:rPr>
      </w:pPr>
    </w:p>
    <w:p w14:paraId="1E579229" w14:textId="77777777" w:rsidR="00181D64" w:rsidRPr="00523452" w:rsidRDefault="00181D64" w:rsidP="00181D64">
      <w:pPr>
        <w:jc w:val="center"/>
        <w:rPr>
          <w:rFonts w:ascii="ITC Avant Garde" w:hAnsi="ITC Avant Garde"/>
          <w:b/>
          <w:sz w:val="24"/>
        </w:rPr>
      </w:pPr>
    </w:p>
    <w:p w14:paraId="208F02F7" w14:textId="77777777" w:rsidR="00181D64" w:rsidRPr="00523452" w:rsidRDefault="00181D64" w:rsidP="00181D64">
      <w:pPr>
        <w:jc w:val="center"/>
        <w:rPr>
          <w:rFonts w:ascii="ITC Avant Garde" w:hAnsi="ITC Avant Garde"/>
          <w:b/>
          <w:sz w:val="24"/>
        </w:rPr>
      </w:pPr>
    </w:p>
    <w:p w14:paraId="29718FEE" w14:textId="77777777" w:rsidR="00181D64" w:rsidRPr="00523452" w:rsidRDefault="00181D64" w:rsidP="00181D64">
      <w:pPr>
        <w:jc w:val="center"/>
        <w:rPr>
          <w:rFonts w:ascii="ITC Avant Garde" w:hAnsi="ITC Avant Garde"/>
          <w:b/>
          <w:sz w:val="24"/>
        </w:rPr>
      </w:pPr>
    </w:p>
    <w:p w14:paraId="04AB5AE8" w14:textId="2482B976" w:rsidR="00181D64" w:rsidRPr="00A55E62" w:rsidRDefault="00181D64" w:rsidP="00E65FAD">
      <w:pPr>
        <w:pStyle w:val="Ttulo"/>
        <w:spacing w:before="240" w:after="120"/>
        <w:contextualSpacing w:val="0"/>
        <w:rPr>
          <w:rFonts w:ascii="ITC Avant Garde" w:hAnsi="ITC Avant Garde"/>
          <w:sz w:val="52"/>
          <w:szCs w:val="52"/>
          <w:lang w:val="es-MX"/>
        </w:rPr>
      </w:pPr>
      <w:r w:rsidRPr="00A55E62">
        <w:rPr>
          <w:rFonts w:ascii="ITC Avant Garde" w:hAnsi="ITC Avant Garde"/>
          <w:sz w:val="52"/>
          <w:szCs w:val="52"/>
          <w:lang w:val="es-MX"/>
        </w:rPr>
        <w:t xml:space="preserve">Modelo de Costos Evitados para </w:t>
      </w:r>
      <w:r w:rsidR="00845DE9">
        <w:rPr>
          <w:rFonts w:ascii="ITC Avant Garde" w:hAnsi="ITC Avant Garde"/>
          <w:sz w:val="52"/>
          <w:szCs w:val="52"/>
          <w:lang w:val="es-MX"/>
        </w:rPr>
        <w:t>el Servicio Mayorista de Reventa</w:t>
      </w:r>
      <w:r w:rsidR="00D079C1">
        <w:rPr>
          <w:rFonts w:ascii="ITC Avant Garde" w:hAnsi="ITC Avant Garde"/>
          <w:sz w:val="52"/>
          <w:szCs w:val="52"/>
          <w:lang w:val="es-MX"/>
        </w:rPr>
        <w:t xml:space="preserve"> del S</w:t>
      </w:r>
      <w:r w:rsidR="00544E74">
        <w:rPr>
          <w:rFonts w:ascii="ITC Avant Garde" w:hAnsi="ITC Avant Garde"/>
          <w:sz w:val="52"/>
          <w:szCs w:val="52"/>
          <w:lang w:val="es-MX"/>
        </w:rPr>
        <w:t xml:space="preserve">ervicio de </w:t>
      </w:r>
      <w:r w:rsidR="00D079C1">
        <w:rPr>
          <w:rFonts w:ascii="ITC Avant Garde" w:hAnsi="ITC Avant Garde"/>
          <w:sz w:val="52"/>
          <w:szCs w:val="52"/>
          <w:lang w:val="es-MX"/>
        </w:rPr>
        <w:t>T</w:t>
      </w:r>
      <w:r w:rsidR="00544E74">
        <w:rPr>
          <w:rFonts w:ascii="ITC Avant Garde" w:hAnsi="ITC Avant Garde"/>
          <w:sz w:val="52"/>
          <w:szCs w:val="52"/>
          <w:lang w:val="es-MX"/>
        </w:rPr>
        <w:t xml:space="preserve">elevisión y </w:t>
      </w:r>
      <w:r w:rsidR="00D079C1">
        <w:rPr>
          <w:rFonts w:ascii="ITC Avant Garde" w:hAnsi="ITC Avant Garde"/>
          <w:sz w:val="52"/>
          <w:szCs w:val="52"/>
          <w:lang w:val="es-MX"/>
        </w:rPr>
        <w:t>A</w:t>
      </w:r>
      <w:r w:rsidR="00544E74">
        <w:rPr>
          <w:rFonts w:ascii="ITC Avant Garde" w:hAnsi="ITC Avant Garde"/>
          <w:sz w:val="52"/>
          <w:szCs w:val="52"/>
          <w:lang w:val="es-MX"/>
        </w:rPr>
        <w:t xml:space="preserve">udio </w:t>
      </w:r>
      <w:r w:rsidR="00D079C1">
        <w:rPr>
          <w:rFonts w:ascii="ITC Avant Garde" w:hAnsi="ITC Avant Garde"/>
          <w:sz w:val="52"/>
          <w:szCs w:val="52"/>
          <w:lang w:val="es-MX"/>
        </w:rPr>
        <w:t>R</w:t>
      </w:r>
      <w:r w:rsidR="00544E74">
        <w:rPr>
          <w:rFonts w:ascii="ITC Avant Garde" w:hAnsi="ITC Avant Garde"/>
          <w:sz w:val="52"/>
          <w:szCs w:val="52"/>
          <w:lang w:val="es-MX"/>
        </w:rPr>
        <w:t>estringi</w:t>
      </w:r>
      <w:r w:rsidR="007B0E64">
        <w:rPr>
          <w:rFonts w:ascii="ITC Avant Garde" w:hAnsi="ITC Avant Garde"/>
          <w:sz w:val="52"/>
          <w:szCs w:val="52"/>
          <w:lang w:val="es-MX"/>
        </w:rPr>
        <w:t>d</w:t>
      </w:r>
      <w:r w:rsidR="00544E74">
        <w:rPr>
          <w:rFonts w:ascii="ITC Avant Garde" w:hAnsi="ITC Avant Garde"/>
          <w:sz w:val="52"/>
          <w:szCs w:val="52"/>
          <w:lang w:val="es-MX"/>
        </w:rPr>
        <w:t>os</w:t>
      </w:r>
      <w:r w:rsidR="00B16017" w:rsidRPr="00A55E62">
        <w:rPr>
          <w:rFonts w:ascii="ITC Avant Garde" w:hAnsi="ITC Avant Garde"/>
          <w:sz w:val="52"/>
          <w:szCs w:val="52"/>
          <w:lang w:val="es-MX"/>
        </w:rPr>
        <w:t xml:space="preserve"> provisto por </w:t>
      </w:r>
      <w:r w:rsidR="001A6BB6">
        <w:rPr>
          <w:rFonts w:ascii="ITC Avant Garde" w:hAnsi="ITC Avant Garde"/>
          <w:sz w:val="52"/>
          <w:szCs w:val="52"/>
          <w:lang w:val="es-MX"/>
        </w:rPr>
        <w:t>Megacable</w:t>
      </w:r>
    </w:p>
    <w:p w14:paraId="3CCB27A9" w14:textId="77777777" w:rsidR="00181D64" w:rsidRPr="00523452" w:rsidRDefault="00181D64" w:rsidP="00181D64">
      <w:pPr>
        <w:rPr>
          <w:rFonts w:ascii="ITC Avant Garde" w:hAnsi="ITC Avant Garde"/>
        </w:rPr>
      </w:pPr>
    </w:p>
    <w:p w14:paraId="58BD4CC5" w14:textId="77777777" w:rsidR="00181D64" w:rsidRPr="00523452" w:rsidRDefault="00181D64" w:rsidP="00181D64">
      <w:pPr>
        <w:rPr>
          <w:rFonts w:ascii="ITC Avant Garde" w:hAnsi="ITC Avant Garde"/>
          <w:sz w:val="36"/>
          <w:szCs w:val="36"/>
        </w:rPr>
      </w:pPr>
      <w:r w:rsidRPr="00523452">
        <w:rPr>
          <w:rFonts w:ascii="ITC Avant Garde" w:hAnsi="ITC Avant Garde"/>
          <w:sz w:val="36"/>
          <w:szCs w:val="36"/>
        </w:rPr>
        <w:t xml:space="preserve">Documento metodológico </w:t>
      </w:r>
    </w:p>
    <w:p w14:paraId="7136FB41" w14:textId="539193E5" w:rsidR="00181D64" w:rsidRPr="00523452" w:rsidRDefault="00CC7684" w:rsidP="00181D64">
      <w:pPr>
        <w:rPr>
          <w:rFonts w:ascii="ITC Avant Garde" w:hAnsi="ITC Avant Garde"/>
        </w:rPr>
      </w:pPr>
      <w:r>
        <w:rPr>
          <w:rFonts w:ascii="ITC Avant Garde" w:hAnsi="ITC Avant Garde"/>
        </w:rPr>
        <w:t xml:space="preserve">30 </w:t>
      </w:r>
      <w:r w:rsidR="00181D64" w:rsidRPr="00523452">
        <w:rPr>
          <w:rFonts w:ascii="ITC Avant Garde" w:hAnsi="ITC Avant Garde"/>
        </w:rPr>
        <w:t xml:space="preserve">de </w:t>
      </w:r>
      <w:r w:rsidR="00641E49">
        <w:rPr>
          <w:rFonts w:ascii="ITC Avant Garde" w:hAnsi="ITC Avant Garde"/>
        </w:rPr>
        <w:t>octubre</w:t>
      </w:r>
      <w:r w:rsidR="00641E49" w:rsidRPr="00523452">
        <w:rPr>
          <w:rFonts w:ascii="ITC Avant Garde" w:hAnsi="ITC Avant Garde"/>
        </w:rPr>
        <w:t xml:space="preserve"> </w:t>
      </w:r>
      <w:r w:rsidR="00181D64" w:rsidRPr="00523452">
        <w:rPr>
          <w:rFonts w:ascii="ITC Avant Garde" w:hAnsi="ITC Avant Garde"/>
        </w:rPr>
        <w:t>de 202</w:t>
      </w:r>
      <w:r w:rsidR="001A6BB6">
        <w:rPr>
          <w:rFonts w:ascii="ITC Avant Garde" w:hAnsi="ITC Avant Garde"/>
        </w:rPr>
        <w:t>4</w:t>
      </w:r>
    </w:p>
    <w:p w14:paraId="6551D6B6" w14:textId="77777777" w:rsidR="00181D64" w:rsidRPr="00523452" w:rsidRDefault="00181D64" w:rsidP="00181D64">
      <w:pPr>
        <w:jc w:val="center"/>
        <w:rPr>
          <w:rFonts w:ascii="ITC Avant Garde" w:hAnsi="ITC Avant Garde"/>
          <w:b/>
          <w:sz w:val="24"/>
        </w:rPr>
      </w:pPr>
    </w:p>
    <w:p w14:paraId="0FA6E5C1" w14:textId="77777777" w:rsidR="00181D64" w:rsidRPr="00523452" w:rsidRDefault="00181D64" w:rsidP="00181D64">
      <w:pPr>
        <w:jc w:val="center"/>
        <w:rPr>
          <w:rFonts w:ascii="ITC Avant Garde" w:hAnsi="ITC Avant Garde"/>
          <w:b/>
          <w:sz w:val="24"/>
        </w:rPr>
      </w:pPr>
    </w:p>
    <w:p w14:paraId="10C8C43B" w14:textId="77777777" w:rsidR="00181D64" w:rsidRPr="00523452" w:rsidRDefault="00181D64" w:rsidP="00181D64">
      <w:pPr>
        <w:jc w:val="center"/>
        <w:rPr>
          <w:rFonts w:ascii="ITC Avant Garde" w:hAnsi="ITC Avant Garde"/>
          <w:b/>
          <w:sz w:val="24"/>
        </w:rPr>
      </w:pPr>
    </w:p>
    <w:p w14:paraId="38662B74" w14:textId="6B4C7290" w:rsidR="007157EB" w:rsidRDefault="007157EB" w:rsidP="00181D64">
      <w:pPr>
        <w:jc w:val="center"/>
        <w:rPr>
          <w:rFonts w:ascii="ITC Avant Garde" w:hAnsi="ITC Avant Garde"/>
          <w:b/>
          <w:sz w:val="24"/>
        </w:rPr>
      </w:pPr>
    </w:p>
    <w:p w14:paraId="6ED3EEB4" w14:textId="53795AE9" w:rsidR="007157EB" w:rsidRDefault="007157EB" w:rsidP="00181D64">
      <w:pPr>
        <w:jc w:val="center"/>
        <w:rPr>
          <w:rFonts w:ascii="ITC Avant Garde" w:hAnsi="ITC Avant Garde"/>
          <w:b/>
          <w:sz w:val="24"/>
        </w:rPr>
      </w:pPr>
    </w:p>
    <w:p w14:paraId="71A18FA8" w14:textId="77777777" w:rsidR="007157EB" w:rsidRPr="00523452" w:rsidRDefault="007157EB" w:rsidP="00181D64">
      <w:pPr>
        <w:jc w:val="center"/>
        <w:rPr>
          <w:rFonts w:ascii="ITC Avant Garde" w:hAnsi="ITC Avant Garde"/>
          <w:b/>
          <w:sz w:val="24"/>
        </w:rPr>
      </w:pPr>
    </w:p>
    <w:p w14:paraId="011CB7DF" w14:textId="77777777" w:rsidR="00181D64" w:rsidRPr="00523452" w:rsidRDefault="00181D64" w:rsidP="00181D64">
      <w:pPr>
        <w:jc w:val="center"/>
        <w:rPr>
          <w:rFonts w:ascii="ITC Avant Garde" w:hAnsi="ITC Avant Garde"/>
          <w:b/>
          <w:sz w:val="24"/>
        </w:rPr>
      </w:pPr>
    </w:p>
    <w:p w14:paraId="45C68E79" w14:textId="47351CE3" w:rsidR="00FA5597" w:rsidRDefault="00FA5597">
      <w:pPr>
        <w:rPr>
          <w:rFonts w:ascii="ITC Avant Garde" w:hAnsi="ITC Avant Garde"/>
          <w:b/>
          <w:sz w:val="24"/>
        </w:rPr>
      </w:pPr>
      <w:r>
        <w:rPr>
          <w:rFonts w:ascii="ITC Avant Garde" w:hAnsi="ITC Avant Garde"/>
          <w:b/>
          <w:sz w:val="24"/>
        </w:rPr>
        <w:br w:type="page"/>
      </w:r>
    </w:p>
    <w:sdt>
      <w:sdtPr>
        <w:rPr>
          <w:rFonts w:ascii="ITC Avant Garde" w:eastAsiaTheme="minorHAnsi" w:hAnsi="ITC Avant Garde" w:cstheme="minorBidi"/>
          <w:color w:val="auto"/>
          <w:sz w:val="22"/>
          <w:szCs w:val="22"/>
          <w:lang w:eastAsia="en-US"/>
        </w:rPr>
        <w:id w:val="1600065484"/>
        <w:docPartObj>
          <w:docPartGallery w:val="Table of Contents"/>
          <w:docPartUnique/>
        </w:docPartObj>
      </w:sdtPr>
      <w:sdtEndPr>
        <w:rPr>
          <w:sz w:val="20"/>
          <w:szCs w:val="20"/>
        </w:rPr>
      </w:sdtEndPr>
      <w:sdtContent>
        <w:p w14:paraId="51D6E004" w14:textId="34039EC2" w:rsidR="00181D64" w:rsidRPr="0069597F" w:rsidRDefault="00F83F45" w:rsidP="00E64182">
          <w:pPr>
            <w:pStyle w:val="TtuloTDC"/>
            <w:numPr>
              <w:ilvl w:val="0"/>
              <w:numId w:val="0"/>
            </w:numPr>
            <w:rPr>
              <w:rFonts w:ascii="ITC Avant Garde" w:hAnsi="ITC Avant Garde"/>
              <w:color w:val="auto"/>
              <w:sz w:val="22"/>
              <w:szCs w:val="22"/>
            </w:rPr>
          </w:pPr>
          <w:r w:rsidRPr="0069597F">
            <w:rPr>
              <w:rFonts w:ascii="ITC Avant Garde" w:hAnsi="ITC Avant Garde"/>
              <w:color w:val="auto"/>
              <w:sz w:val="22"/>
              <w:szCs w:val="22"/>
            </w:rPr>
            <w:t>ÍNDI</w:t>
          </w:r>
          <w:r w:rsidR="0069597F">
            <w:rPr>
              <w:rFonts w:ascii="ITC Avant Garde" w:hAnsi="ITC Avant Garde"/>
              <w:color w:val="auto"/>
              <w:sz w:val="22"/>
              <w:szCs w:val="22"/>
            </w:rPr>
            <w:t>C</w:t>
          </w:r>
          <w:r w:rsidRPr="0069597F">
            <w:rPr>
              <w:rFonts w:ascii="ITC Avant Garde" w:hAnsi="ITC Avant Garde"/>
              <w:color w:val="auto"/>
              <w:sz w:val="22"/>
              <w:szCs w:val="22"/>
            </w:rPr>
            <w:t>E</w:t>
          </w:r>
        </w:p>
        <w:p w14:paraId="3B5CEA5F" w14:textId="77777777" w:rsidR="00181D64" w:rsidRPr="0069597F" w:rsidRDefault="00181D64" w:rsidP="00181D64">
          <w:pPr>
            <w:rPr>
              <w:rFonts w:ascii="ITC Avant Garde" w:hAnsi="ITC Avant Garde"/>
              <w:lang w:eastAsia="es-MX"/>
            </w:rPr>
          </w:pPr>
        </w:p>
        <w:p w14:paraId="53302804" w14:textId="71D0F4DF" w:rsidR="0069597F" w:rsidRPr="0069597F" w:rsidRDefault="00181D64">
          <w:pPr>
            <w:pStyle w:val="TDC1"/>
            <w:rPr>
              <w:rFonts w:ascii="ITC Avant Garde" w:hAnsi="ITC Avant Garde" w:cstheme="minorBidi"/>
              <w:noProof/>
            </w:rPr>
          </w:pPr>
          <w:r w:rsidRPr="0069597F">
            <w:rPr>
              <w:rFonts w:ascii="ITC Avant Garde" w:hAnsi="ITC Avant Garde"/>
            </w:rPr>
            <w:fldChar w:fldCharType="begin"/>
          </w:r>
          <w:r w:rsidRPr="0069597F">
            <w:rPr>
              <w:rFonts w:ascii="ITC Avant Garde" w:hAnsi="ITC Avant Garde"/>
            </w:rPr>
            <w:instrText xml:space="preserve"> TOC \o "1-3" \h \z \u </w:instrText>
          </w:r>
          <w:r w:rsidRPr="0069597F">
            <w:rPr>
              <w:rFonts w:ascii="ITC Avant Garde" w:hAnsi="ITC Avant Garde"/>
            </w:rPr>
            <w:fldChar w:fldCharType="separate"/>
          </w:r>
          <w:hyperlink w:anchor="_Toc180491367" w:history="1">
            <w:r w:rsidR="0069597F" w:rsidRPr="0069597F">
              <w:rPr>
                <w:rStyle w:val="Hipervnculo"/>
                <w:rFonts w:ascii="ITC Avant Garde" w:eastAsia="MS Mincho" w:hAnsi="ITC Avant Garde" w:cs="Calibri"/>
                <w:bCs/>
                <w:noProof/>
              </w:rPr>
              <w:t>1.</w:t>
            </w:r>
            <w:r w:rsidR="0069597F" w:rsidRPr="0069597F">
              <w:rPr>
                <w:rFonts w:ascii="ITC Avant Garde" w:hAnsi="ITC Avant Garde" w:cstheme="minorBidi"/>
                <w:noProof/>
              </w:rPr>
              <w:tab/>
            </w:r>
            <w:r w:rsidR="0069597F" w:rsidRPr="0069597F">
              <w:rPr>
                <w:rStyle w:val="Hipervnculo"/>
                <w:rFonts w:ascii="ITC Avant Garde" w:eastAsia="MS Mincho" w:hAnsi="ITC Avant Garde" w:cs="Calibri"/>
                <w:bCs/>
                <w:noProof/>
              </w:rPr>
              <w:t>Contexto regulatorio</w:t>
            </w:r>
            <w:r w:rsidR="0069597F" w:rsidRPr="0069597F">
              <w:rPr>
                <w:rFonts w:ascii="ITC Avant Garde" w:hAnsi="ITC Avant Garde"/>
                <w:noProof/>
                <w:webHidden/>
              </w:rPr>
              <w:tab/>
            </w:r>
            <w:r w:rsidR="0069597F" w:rsidRPr="0069597F">
              <w:rPr>
                <w:rFonts w:ascii="ITC Avant Garde" w:hAnsi="ITC Avant Garde"/>
                <w:noProof/>
                <w:webHidden/>
              </w:rPr>
              <w:fldChar w:fldCharType="begin"/>
            </w:r>
            <w:r w:rsidR="0069597F" w:rsidRPr="0069597F">
              <w:rPr>
                <w:rFonts w:ascii="ITC Avant Garde" w:hAnsi="ITC Avant Garde"/>
                <w:noProof/>
                <w:webHidden/>
              </w:rPr>
              <w:instrText xml:space="preserve"> PAGEREF _Toc180491367 \h </w:instrText>
            </w:r>
            <w:r w:rsidR="0069597F" w:rsidRPr="0069597F">
              <w:rPr>
                <w:rFonts w:ascii="ITC Avant Garde" w:hAnsi="ITC Avant Garde"/>
                <w:noProof/>
                <w:webHidden/>
              </w:rPr>
            </w:r>
            <w:r w:rsidR="0069597F" w:rsidRPr="0069597F">
              <w:rPr>
                <w:rFonts w:ascii="ITC Avant Garde" w:hAnsi="ITC Avant Garde"/>
                <w:noProof/>
                <w:webHidden/>
              </w:rPr>
              <w:fldChar w:fldCharType="separate"/>
            </w:r>
            <w:r w:rsidR="0069597F" w:rsidRPr="0069597F">
              <w:rPr>
                <w:rFonts w:ascii="ITC Avant Garde" w:hAnsi="ITC Avant Garde"/>
                <w:noProof/>
                <w:webHidden/>
              </w:rPr>
              <w:t>3</w:t>
            </w:r>
            <w:r w:rsidR="0069597F" w:rsidRPr="0069597F">
              <w:rPr>
                <w:rFonts w:ascii="ITC Avant Garde" w:hAnsi="ITC Avant Garde"/>
                <w:noProof/>
                <w:webHidden/>
              </w:rPr>
              <w:fldChar w:fldCharType="end"/>
            </w:r>
          </w:hyperlink>
        </w:p>
        <w:p w14:paraId="797C022F" w14:textId="6ABEF543" w:rsidR="0069597F" w:rsidRPr="0069597F" w:rsidRDefault="0069597F">
          <w:pPr>
            <w:pStyle w:val="TDC1"/>
            <w:rPr>
              <w:rFonts w:ascii="ITC Avant Garde" w:hAnsi="ITC Avant Garde" w:cstheme="minorBidi"/>
              <w:noProof/>
            </w:rPr>
          </w:pPr>
          <w:hyperlink w:anchor="_Toc180491368" w:history="1">
            <w:r w:rsidRPr="0069597F">
              <w:rPr>
                <w:rStyle w:val="Hipervnculo"/>
                <w:rFonts w:ascii="ITC Avant Garde" w:eastAsia="MS Mincho" w:hAnsi="ITC Avant Garde" w:cs="Calibri"/>
                <w:noProof/>
              </w:rPr>
              <w:t>2.</w:t>
            </w:r>
            <w:r w:rsidRPr="0069597F">
              <w:rPr>
                <w:rFonts w:ascii="ITC Avant Garde" w:hAnsi="ITC Avant Garde" w:cstheme="minorBidi"/>
                <w:noProof/>
              </w:rPr>
              <w:tab/>
            </w:r>
            <w:r w:rsidRPr="0069597F">
              <w:rPr>
                <w:rStyle w:val="Hipervnculo"/>
                <w:rFonts w:ascii="ITC Avant Garde" w:eastAsia="MS Mincho" w:hAnsi="ITC Avant Garde" w:cs="Calibri"/>
                <w:noProof/>
              </w:rPr>
              <w:t>Introducción</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_Toc180491368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5</w:t>
            </w:r>
            <w:r w:rsidRPr="0069597F">
              <w:rPr>
                <w:rFonts w:ascii="ITC Avant Garde" w:hAnsi="ITC Avant Garde"/>
                <w:noProof/>
                <w:webHidden/>
              </w:rPr>
              <w:fldChar w:fldCharType="end"/>
            </w:r>
          </w:hyperlink>
        </w:p>
        <w:p w14:paraId="256CB206" w14:textId="1B6DBEE2" w:rsidR="0069597F" w:rsidRPr="0069597F" w:rsidRDefault="0069597F">
          <w:pPr>
            <w:pStyle w:val="TDC1"/>
            <w:rPr>
              <w:rFonts w:ascii="ITC Avant Garde" w:hAnsi="ITC Avant Garde" w:cstheme="minorBidi"/>
              <w:noProof/>
            </w:rPr>
          </w:pPr>
          <w:hyperlink w:anchor="_Toc180491369" w:history="1">
            <w:r w:rsidRPr="0069597F">
              <w:rPr>
                <w:rStyle w:val="Hipervnculo"/>
                <w:rFonts w:ascii="ITC Avant Garde" w:eastAsia="MS Mincho" w:hAnsi="ITC Avant Garde" w:cs="Calibri"/>
                <w:noProof/>
              </w:rPr>
              <w:t>3.</w:t>
            </w:r>
            <w:r w:rsidRPr="0069597F">
              <w:rPr>
                <w:rFonts w:ascii="ITC Avant Garde" w:hAnsi="ITC Avant Garde" w:cstheme="minorBidi"/>
                <w:noProof/>
              </w:rPr>
              <w:tab/>
            </w:r>
            <w:r w:rsidRPr="0069597F">
              <w:rPr>
                <w:rStyle w:val="Hipervnculo"/>
                <w:rFonts w:ascii="ITC Avant Garde" w:eastAsia="MS Mincho" w:hAnsi="ITC Avant Garde" w:cs="Calibri"/>
                <w:bCs/>
                <w:noProof/>
              </w:rPr>
              <w:t>Metodología del Modelo de Costos Evitados</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_Toc180491369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6</w:t>
            </w:r>
            <w:r w:rsidRPr="0069597F">
              <w:rPr>
                <w:rFonts w:ascii="ITC Avant Garde" w:hAnsi="ITC Avant Garde"/>
                <w:noProof/>
                <w:webHidden/>
              </w:rPr>
              <w:fldChar w:fldCharType="end"/>
            </w:r>
          </w:hyperlink>
        </w:p>
        <w:p w14:paraId="55F647DA" w14:textId="5165D798" w:rsidR="0069597F" w:rsidRPr="0069597F" w:rsidRDefault="0069597F">
          <w:pPr>
            <w:pStyle w:val="TDC2"/>
            <w:rPr>
              <w:rFonts w:ascii="ITC Avant Garde" w:hAnsi="ITC Avant Garde" w:cstheme="minorBidi"/>
              <w:noProof/>
            </w:rPr>
          </w:pPr>
          <w:hyperlink w:anchor="_Toc180491370" w:history="1">
            <w:r w:rsidRPr="0069597F">
              <w:rPr>
                <w:rStyle w:val="Hipervnculo"/>
                <w:rFonts w:ascii="ITC Avant Garde" w:eastAsia="MS Mincho" w:hAnsi="ITC Avant Garde" w:cs="Calibri"/>
                <w:noProof/>
              </w:rPr>
              <w:t>3.1.</w:t>
            </w:r>
            <w:r w:rsidRPr="0069597F">
              <w:rPr>
                <w:rFonts w:ascii="ITC Avant Garde" w:hAnsi="ITC Avant Garde" w:cstheme="minorBidi"/>
                <w:noProof/>
              </w:rPr>
              <w:tab/>
            </w:r>
            <w:r w:rsidRPr="0069597F">
              <w:rPr>
                <w:rStyle w:val="Hipervnculo"/>
                <w:rFonts w:ascii="ITC Avant Garde" w:eastAsia="MS Mincho" w:hAnsi="ITC Avant Garde" w:cs="Calibri"/>
                <w:noProof/>
              </w:rPr>
              <w:t>Servicios STAR</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_Toc180491370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6</w:t>
            </w:r>
            <w:r w:rsidRPr="0069597F">
              <w:rPr>
                <w:rFonts w:ascii="ITC Avant Garde" w:hAnsi="ITC Avant Garde"/>
                <w:noProof/>
                <w:webHidden/>
              </w:rPr>
              <w:fldChar w:fldCharType="end"/>
            </w:r>
          </w:hyperlink>
        </w:p>
        <w:p w14:paraId="642F4E75" w14:textId="6DC62E34" w:rsidR="0069597F" w:rsidRPr="0069597F" w:rsidRDefault="0069597F">
          <w:pPr>
            <w:pStyle w:val="TDC2"/>
            <w:rPr>
              <w:rFonts w:ascii="ITC Avant Garde" w:hAnsi="ITC Avant Garde" w:cstheme="minorBidi"/>
              <w:noProof/>
            </w:rPr>
          </w:pPr>
          <w:hyperlink w:anchor="_Toc180491371" w:history="1">
            <w:r w:rsidRPr="0069597F">
              <w:rPr>
                <w:rStyle w:val="Hipervnculo"/>
                <w:rFonts w:ascii="ITC Avant Garde" w:eastAsia="MS Mincho" w:hAnsi="ITC Avant Garde" w:cs="Calibri"/>
                <w:noProof/>
              </w:rPr>
              <w:t>3.2.</w:t>
            </w:r>
            <w:r w:rsidRPr="0069597F">
              <w:rPr>
                <w:rFonts w:ascii="ITC Avant Garde" w:hAnsi="ITC Avant Garde" w:cstheme="minorBidi"/>
                <w:noProof/>
              </w:rPr>
              <w:tab/>
            </w:r>
            <w:r w:rsidRPr="0069597F">
              <w:rPr>
                <w:rStyle w:val="Hipervnculo"/>
                <w:rFonts w:ascii="ITC Avant Garde" w:eastAsia="MS Mincho" w:hAnsi="ITC Avant Garde" w:cs="Calibri"/>
                <w:noProof/>
              </w:rPr>
              <w:t>Sobre la metodología de costos evitados (</w:t>
            </w:r>
            <w:r w:rsidRPr="0069597F">
              <w:rPr>
                <w:rStyle w:val="Hipervnculo"/>
                <w:rFonts w:ascii="ITC Avant Garde" w:eastAsia="MS Mincho" w:hAnsi="ITC Avant Garde" w:cs="Calibri"/>
                <w:i/>
                <w:noProof/>
              </w:rPr>
              <w:t>retail minus</w:t>
            </w:r>
            <w:r w:rsidRPr="0069597F">
              <w:rPr>
                <w:rStyle w:val="Hipervnculo"/>
                <w:rFonts w:ascii="ITC Avant Garde" w:eastAsia="MS Mincho" w:hAnsi="ITC Avant Garde" w:cs="Calibri"/>
                <w:noProof/>
              </w:rPr>
              <w:t>)</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_Toc180491371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6</w:t>
            </w:r>
            <w:r w:rsidRPr="0069597F">
              <w:rPr>
                <w:rFonts w:ascii="ITC Avant Garde" w:hAnsi="ITC Avant Garde"/>
                <w:noProof/>
                <w:webHidden/>
              </w:rPr>
              <w:fldChar w:fldCharType="end"/>
            </w:r>
          </w:hyperlink>
        </w:p>
        <w:p w14:paraId="05E1DDA9" w14:textId="0B263C17" w:rsidR="0069597F" w:rsidRPr="0069597F" w:rsidRDefault="0069597F">
          <w:pPr>
            <w:pStyle w:val="TDC2"/>
            <w:rPr>
              <w:rFonts w:ascii="ITC Avant Garde" w:hAnsi="ITC Avant Garde" w:cstheme="minorBidi"/>
              <w:noProof/>
            </w:rPr>
          </w:pPr>
          <w:hyperlink w:anchor="_Toc180491372" w:history="1">
            <w:r w:rsidRPr="0069597F">
              <w:rPr>
                <w:rStyle w:val="Hipervnculo"/>
                <w:rFonts w:ascii="ITC Avant Garde" w:eastAsia="MS Mincho" w:hAnsi="ITC Avant Garde" w:cs="Calibri"/>
                <w:noProof/>
              </w:rPr>
              <w:t>3.3.</w:t>
            </w:r>
            <w:r w:rsidRPr="0069597F">
              <w:rPr>
                <w:rFonts w:ascii="ITC Avant Garde" w:hAnsi="ITC Avant Garde" w:cstheme="minorBidi"/>
                <w:noProof/>
              </w:rPr>
              <w:tab/>
            </w:r>
            <w:r w:rsidRPr="0069597F">
              <w:rPr>
                <w:rStyle w:val="Hipervnculo"/>
                <w:rFonts w:ascii="ITC Avant Garde" w:eastAsia="MS Mincho" w:hAnsi="ITC Avant Garde" w:cs="Calibri"/>
                <w:noProof/>
              </w:rPr>
              <w:t>Metodología para definir precios de referencia del STAR</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_Toc180491372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7</w:t>
            </w:r>
            <w:r w:rsidRPr="0069597F">
              <w:rPr>
                <w:rFonts w:ascii="ITC Avant Garde" w:hAnsi="ITC Avant Garde"/>
                <w:noProof/>
                <w:webHidden/>
              </w:rPr>
              <w:fldChar w:fldCharType="end"/>
            </w:r>
          </w:hyperlink>
        </w:p>
        <w:p w14:paraId="4501593C" w14:textId="2D4A75D1" w:rsidR="0069597F" w:rsidRPr="0069597F" w:rsidRDefault="0069597F">
          <w:pPr>
            <w:pStyle w:val="TDC2"/>
            <w:rPr>
              <w:rFonts w:ascii="ITC Avant Garde" w:hAnsi="ITC Avant Garde" w:cstheme="minorBidi"/>
              <w:noProof/>
            </w:rPr>
          </w:pPr>
          <w:hyperlink w:anchor="_Toc180491373" w:history="1">
            <w:r w:rsidRPr="0069597F">
              <w:rPr>
                <w:rStyle w:val="Hipervnculo"/>
                <w:rFonts w:ascii="ITC Avant Garde" w:eastAsia="MS Mincho" w:hAnsi="ITC Avant Garde" w:cs="Calibri"/>
                <w:noProof/>
              </w:rPr>
              <w:t>3.4.</w:t>
            </w:r>
            <w:r w:rsidRPr="0069597F">
              <w:rPr>
                <w:rFonts w:ascii="ITC Avant Garde" w:hAnsi="ITC Avant Garde" w:cstheme="minorBidi"/>
                <w:noProof/>
              </w:rPr>
              <w:tab/>
            </w:r>
            <w:r w:rsidRPr="0069597F">
              <w:rPr>
                <w:rStyle w:val="Hipervnculo"/>
                <w:rFonts w:ascii="ITC Avant Garde" w:eastAsia="MS Mincho" w:hAnsi="ITC Avant Garde" w:cs="Calibri"/>
                <w:noProof/>
              </w:rPr>
              <w:t>Enfoque de estimación del precio implícito de los elementos que integran la canasta de servicios de los planes y paquetes de APSM</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_Toc180491373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10</w:t>
            </w:r>
            <w:r w:rsidRPr="0069597F">
              <w:rPr>
                <w:rFonts w:ascii="ITC Avant Garde" w:hAnsi="ITC Avant Garde"/>
                <w:noProof/>
                <w:webHidden/>
              </w:rPr>
              <w:fldChar w:fldCharType="end"/>
            </w:r>
          </w:hyperlink>
        </w:p>
        <w:p w14:paraId="5FC93F84" w14:textId="62C625C5" w:rsidR="0069597F" w:rsidRPr="0069597F" w:rsidRDefault="0069597F">
          <w:pPr>
            <w:pStyle w:val="TDC2"/>
            <w:rPr>
              <w:rFonts w:ascii="ITC Avant Garde" w:hAnsi="ITC Avant Garde" w:cstheme="minorBidi"/>
              <w:noProof/>
            </w:rPr>
          </w:pPr>
          <w:hyperlink w:anchor="_Toc180491374" w:history="1">
            <w:r w:rsidRPr="0069597F">
              <w:rPr>
                <w:rStyle w:val="Hipervnculo"/>
                <w:rFonts w:ascii="ITC Avant Garde" w:eastAsia="MS Mincho" w:hAnsi="ITC Avant Garde" w:cs="Calibri"/>
                <w:noProof/>
              </w:rPr>
              <w:t>3.4.1.</w:t>
            </w:r>
            <w:r w:rsidRPr="0069597F">
              <w:rPr>
                <w:rFonts w:ascii="ITC Avant Garde" w:hAnsi="ITC Avant Garde" w:cstheme="minorBidi"/>
                <w:noProof/>
              </w:rPr>
              <w:tab/>
            </w:r>
            <w:r w:rsidRPr="0069597F">
              <w:rPr>
                <w:rStyle w:val="Hipervnculo"/>
                <w:rFonts w:ascii="ITC Avant Garde" w:eastAsia="MS Mincho" w:hAnsi="ITC Avant Garde" w:cs="Calibri"/>
                <w:noProof/>
              </w:rPr>
              <w:t>Análisis de la información proporcionada por el APSM.</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_Toc180491374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11</w:t>
            </w:r>
            <w:r w:rsidRPr="0069597F">
              <w:rPr>
                <w:rFonts w:ascii="ITC Avant Garde" w:hAnsi="ITC Avant Garde"/>
                <w:noProof/>
                <w:webHidden/>
              </w:rPr>
              <w:fldChar w:fldCharType="end"/>
            </w:r>
          </w:hyperlink>
        </w:p>
        <w:p w14:paraId="46969A4C" w14:textId="1D355414" w:rsidR="0069597F" w:rsidRPr="0069597F" w:rsidRDefault="0069597F">
          <w:pPr>
            <w:pStyle w:val="TDC2"/>
            <w:rPr>
              <w:rFonts w:ascii="ITC Avant Garde" w:hAnsi="ITC Avant Garde" w:cstheme="minorBidi"/>
              <w:noProof/>
            </w:rPr>
          </w:pPr>
          <w:hyperlink w:anchor="_Toc180491375" w:history="1">
            <w:r w:rsidRPr="0069597F">
              <w:rPr>
                <w:rStyle w:val="Hipervnculo"/>
                <w:rFonts w:ascii="ITC Avant Garde" w:eastAsia="MS Mincho" w:hAnsi="ITC Avant Garde" w:cs="Calibri"/>
                <w:noProof/>
              </w:rPr>
              <w:t>3.5.</w:t>
            </w:r>
            <w:r w:rsidRPr="0069597F">
              <w:rPr>
                <w:rFonts w:ascii="ITC Avant Garde" w:hAnsi="ITC Avant Garde" w:cstheme="minorBidi"/>
                <w:noProof/>
              </w:rPr>
              <w:tab/>
            </w:r>
            <w:r w:rsidRPr="0069597F">
              <w:rPr>
                <w:rStyle w:val="Hipervnculo"/>
                <w:rFonts w:ascii="ITC Avant Garde" w:eastAsia="MS Mincho" w:hAnsi="ITC Avant Garde" w:cs="Calibri"/>
                <w:noProof/>
              </w:rPr>
              <w:t>Precio de Referencia asociado al SMR</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_Toc180491375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15</w:t>
            </w:r>
            <w:r w:rsidRPr="0069597F">
              <w:rPr>
                <w:rFonts w:ascii="ITC Avant Garde" w:hAnsi="ITC Avant Garde"/>
                <w:noProof/>
                <w:webHidden/>
              </w:rPr>
              <w:fldChar w:fldCharType="end"/>
            </w:r>
          </w:hyperlink>
        </w:p>
        <w:p w14:paraId="1AAA2C4E" w14:textId="4DDF215E" w:rsidR="0069597F" w:rsidRPr="0069597F" w:rsidRDefault="0069597F">
          <w:pPr>
            <w:pStyle w:val="TDC3"/>
            <w:rPr>
              <w:rFonts w:ascii="ITC Avant Garde" w:hAnsi="ITC Avant Garde" w:cstheme="minorBidi"/>
              <w:noProof/>
            </w:rPr>
          </w:pPr>
          <w:hyperlink w:anchor="_Toc180491376" w:history="1">
            <w:r w:rsidRPr="0069597F">
              <w:rPr>
                <w:rStyle w:val="Hipervnculo"/>
                <w:rFonts w:ascii="ITC Avant Garde" w:eastAsia="MS Mincho" w:hAnsi="ITC Avant Garde" w:cs="Calibri"/>
                <w:bCs/>
                <w:noProof/>
              </w:rPr>
              <w:t>3.5.1.</w:t>
            </w:r>
            <w:r w:rsidRPr="0069597F">
              <w:rPr>
                <w:rFonts w:ascii="ITC Avant Garde" w:hAnsi="ITC Avant Garde" w:cstheme="minorBidi"/>
                <w:noProof/>
              </w:rPr>
              <w:tab/>
            </w:r>
            <w:r w:rsidRPr="0069597F">
              <w:rPr>
                <w:rStyle w:val="Hipervnculo"/>
                <w:rFonts w:ascii="ITC Avant Garde" w:eastAsia="MS Mincho" w:hAnsi="ITC Avant Garde" w:cs="Calibri"/>
                <w:bCs/>
                <w:noProof/>
              </w:rPr>
              <w:t>Precio de referencia del SRM</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_Toc180491376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17</w:t>
            </w:r>
            <w:r w:rsidRPr="0069597F">
              <w:rPr>
                <w:rFonts w:ascii="ITC Avant Garde" w:hAnsi="ITC Avant Garde"/>
                <w:noProof/>
                <w:webHidden/>
              </w:rPr>
              <w:fldChar w:fldCharType="end"/>
            </w:r>
          </w:hyperlink>
        </w:p>
        <w:p w14:paraId="0D7265E2" w14:textId="4492B129" w:rsidR="0069597F" w:rsidRPr="0069597F" w:rsidRDefault="0069597F">
          <w:pPr>
            <w:pStyle w:val="TDC2"/>
            <w:rPr>
              <w:rFonts w:ascii="ITC Avant Garde" w:hAnsi="ITC Avant Garde" w:cstheme="minorBidi"/>
              <w:noProof/>
            </w:rPr>
          </w:pPr>
          <w:hyperlink w:anchor="_Toc180491377" w:history="1">
            <w:r w:rsidRPr="0069597F">
              <w:rPr>
                <w:rStyle w:val="Hipervnculo"/>
                <w:rFonts w:ascii="ITC Avant Garde" w:eastAsia="MS Mincho" w:hAnsi="ITC Avant Garde" w:cs="Calibri"/>
                <w:noProof/>
              </w:rPr>
              <w:t>3.6.</w:t>
            </w:r>
            <w:r w:rsidRPr="0069597F">
              <w:rPr>
                <w:rFonts w:ascii="ITC Avant Garde" w:hAnsi="ITC Avant Garde" w:cstheme="minorBidi"/>
                <w:noProof/>
              </w:rPr>
              <w:tab/>
            </w:r>
            <w:r w:rsidRPr="0069597F">
              <w:rPr>
                <w:rStyle w:val="Hipervnculo"/>
                <w:rFonts w:ascii="ITC Avant Garde" w:eastAsia="MS Mincho" w:hAnsi="ITC Avant Garde" w:cs="Calibri"/>
                <w:noProof/>
              </w:rPr>
              <w:t>Definición de conceptos de costos evitados en los Servicios de Reventa</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_Toc180491377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18</w:t>
            </w:r>
            <w:r w:rsidRPr="0069597F">
              <w:rPr>
                <w:rFonts w:ascii="ITC Avant Garde" w:hAnsi="ITC Avant Garde"/>
                <w:noProof/>
                <w:webHidden/>
              </w:rPr>
              <w:fldChar w:fldCharType="end"/>
            </w:r>
          </w:hyperlink>
        </w:p>
        <w:p w14:paraId="78BB55C1" w14:textId="0B6930A9" w:rsidR="0069597F" w:rsidRPr="0069597F" w:rsidRDefault="0069597F">
          <w:pPr>
            <w:pStyle w:val="TDC3"/>
            <w:rPr>
              <w:rFonts w:ascii="ITC Avant Garde" w:hAnsi="ITC Avant Garde" w:cstheme="minorBidi"/>
              <w:noProof/>
            </w:rPr>
          </w:pPr>
          <w:hyperlink w:anchor="_Toc180491378" w:history="1">
            <w:r w:rsidRPr="0069597F">
              <w:rPr>
                <w:rStyle w:val="Hipervnculo"/>
                <w:rFonts w:ascii="ITC Avant Garde" w:eastAsia="MS Mincho" w:hAnsi="ITC Avant Garde" w:cs="Calibri"/>
                <w:bCs/>
                <w:noProof/>
              </w:rPr>
              <w:t>3.6.1.</w:t>
            </w:r>
            <w:r w:rsidRPr="0069597F">
              <w:rPr>
                <w:rFonts w:ascii="ITC Avant Garde" w:hAnsi="ITC Avant Garde" w:cstheme="minorBidi"/>
                <w:noProof/>
              </w:rPr>
              <w:tab/>
            </w:r>
            <w:r w:rsidRPr="0069597F">
              <w:rPr>
                <w:rStyle w:val="Hipervnculo"/>
                <w:rFonts w:ascii="ITC Avant Garde" w:eastAsia="MS Mincho" w:hAnsi="ITC Avant Garde" w:cs="Calibri"/>
                <w:bCs/>
                <w:noProof/>
              </w:rPr>
              <w:t>Churn Rate</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_Toc180491378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19</w:t>
            </w:r>
            <w:r w:rsidRPr="0069597F">
              <w:rPr>
                <w:rFonts w:ascii="ITC Avant Garde" w:hAnsi="ITC Avant Garde"/>
                <w:noProof/>
                <w:webHidden/>
              </w:rPr>
              <w:fldChar w:fldCharType="end"/>
            </w:r>
          </w:hyperlink>
        </w:p>
        <w:p w14:paraId="45D5D854" w14:textId="0C2FFB94" w:rsidR="0069597F" w:rsidRPr="0069597F" w:rsidRDefault="0069597F">
          <w:pPr>
            <w:pStyle w:val="TDC3"/>
            <w:rPr>
              <w:rFonts w:ascii="ITC Avant Garde" w:hAnsi="ITC Avant Garde" w:cstheme="minorBidi"/>
              <w:noProof/>
            </w:rPr>
          </w:pPr>
          <w:hyperlink w:anchor="_Toc180491379" w:history="1">
            <w:r w:rsidRPr="0069597F">
              <w:rPr>
                <w:rStyle w:val="Hipervnculo"/>
                <w:rFonts w:ascii="ITC Avant Garde" w:hAnsi="ITC Avant Garde"/>
                <w:noProof/>
              </w:rPr>
              <w:t>3.6.2.</w:t>
            </w:r>
            <w:r w:rsidRPr="0069597F">
              <w:rPr>
                <w:rFonts w:ascii="ITC Avant Garde" w:hAnsi="ITC Avant Garde" w:cstheme="minorBidi"/>
                <w:noProof/>
              </w:rPr>
              <w:tab/>
            </w:r>
            <w:r w:rsidRPr="0069597F">
              <w:rPr>
                <w:rStyle w:val="Hipervnculo"/>
                <w:rFonts w:ascii="ITC Avant Garde" w:eastAsia="MS Mincho" w:hAnsi="ITC Avant Garde" w:cs="Calibri"/>
                <w:bCs/>
                <w:noProof/>
              </w:rPr>
              <w:t>Facturación</w:t>
            </w:r>
            <w:r w:rsidRPr="0069597F">
              <w:rPr>
                <w:rStyle w:val="Hipervnculo"/>
                <w:rFonts w:ascii="ITC Avant Garde" w:hAnsi="ITC Avant Garde"/>
                <w:noProof/>
              </w:rPr>
              <w:t xml:space="preserve"> (incluyendo el sistema de facturación a usuarios finales minoristas)</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_Toc180491379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19</w:t>
            </w:r>
            <w:r w:rsidRPr="0069597F">
              <w:rPr>
                <w:rFonts w:ascii="ITC Avant Garde" w:hAnsi="ITC Avant Garde"/>
                <w:noProof/>
                <w:webHidden/>
              </w:rPr>
              <w:fldChar w:fldCharType="end"/>
            </w:r>
          </w:hyperlink>
        </w:p>
        <w:p w14:paraId="37D8FB3D" w14:textId="5659328C" w:rsidR="0069597F" w:rsidRPr="0069597F" w:rsidRDefault="0069597F">
          <w:pPr>
            <w:pStyle w:val="TDC3"/>
            <w:rPr>
              <w:rFonts w:ascii="ITC Avant Garde" w:hAnsi="ITC Avant Garde" w:cstheme="minorBidi"/>
              <w:noProof/>
            </w:rPr>
          </w:pPr>
          <w:hyperlink w:anchor="_Toc180491380" w:history="1">
            <w:r w:rsidRPr="0069597F">
              <w:rPr>
                <w:rStyle w:val="Hipervnculo"/>
                <w:rFonts w:ascii="ITC Avant Garde" w:eastAsia="MS Mincho" w:hAnsi="ITC Avant Garde" w:cs="Calibri"/>
                <w:bCs/>
                <w:noProof/>
              </w:rPr>
              <w:t>3.6.3.</w:t>
            </w:r>
            <w:r w:rsidRPr="0069597F">
              <w:rPr>
                <w:rFonts w:ascii="ITC Avant Garde" w:hAnsi="ITC Avant Garde" w:cstheme="minorBidi"/>
                <w:noProof/>
              </w:rPr>
              <w:tab/>
            </w:r>
            <w:r w:rsidRPr="0069597F">
              <w:rPr>
                <w:rStyle w:val="Hipervnculo"/>
                <w:rFonts w:ascii="ITC Avant Garde" w:eastAsia="MS Mincho" w:hAnsi="ITC Avant Garde" w:cs="Calibri"/>
                <w:bCs/>
                <w:noProof/>
              </w:rPr>
              <w:t>Deuda incobrable</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_Toc180491380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19</w:t>
            </w:r>
            <w:r w:rsidRPr="0069597F">
              <w:rPr>
                <w:rFonts w:ascii="ITC Avant Garde" w:hAnsi="ITC Avant Garde"/>
                <w:noProof/>
                <w:webHidden/>
              </w:rPr>
              <w:fldChar w:fldCharType="end"/>
            </w:r>
          </w:hyperlink>
        </w:p>
        <w:p w14:paraId="1A2B1C25" w14:textId="1586070B" w:rsidR="0069597F" w:rsidRPr="0069597F" w:rsidRDefault="0069597F">
          <w:pPr>
            <w:pStyle w:val="TDC3"/>
            <w:rPr>
              <w:rFonts w:ascii="ITC Avant Garde" w:hAnsi="ITC Avant Garde" w:cstheme="minorBidi"/>
              <w:noProof/>
            </w:rPr>
          </w:pPr>
          <w:hyperlink w:anchor="_Toc180491381" w:history="1">
            <w:r w:rsidRPr="0069597F">
              <w:rPr>
                <w:rStyle w:val="Hipervnculo"/>
                <w:rFonts w:ascii="ITC Avant Garde" w:eastAsia="MS Mincho" w:hAnsi="ITC Avant Garde" w:cs="Calibri"/>
                <w:bCs/>
                <w:noProof/>
              </w:rPr>
              <w:t>3.6.4.</w:t>
            </w:r>
            <w:r w:rsidRPr="0069597F">
              <w:rPr>
                <w:rFonts w:ascii="ITC Avant Garde" w:hAnsi="ITC Avant Garde" w:cstheme="minorBidi"/>
                <w:noProof/>
              </w:rPr>
              <w:tab/>
            </w:r>
            <w:r w:rsidRPr="0069597F">
              <w:rPr>
                <w:rStyle w:val="Hipervnculo"/>
                <w:rFonts w:ascii="ITC Avant Garde" w:eastAsia="MS Mincho" w:hAnsi="ITC Avant Garde" w:cs="Calibri"/>
                <w:bCs/>
                <w:noProof/>
              </w:rPr>
              <w:t>Mercadotecnia y publicidad</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_Toc180491381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19</w:t>
            </w:r>
            <w:r w:rsidRPr="0069597F">
              <w:rPr>
                <w:rFonts w:ascii="ITC Avant Garde" w:hAnsi="ITC Avant Garde"/>
                <w:noProof/>
                <w:webHidden/>
              </w:rPr>
              <w:fldChar w:fldCharType="end"/>
            </w:r>
          </w:hyperlink>
        </w:p>
        <w:p w14:paraId="02E367C6" w14:textId="6D331966" w:rsidR="0069597F" w:rsidRPr="0069597F" w:rsidRDefault="0069597F">
          <w:pPr>
            <w:pStyle w:val="TDC3"/>
            <w:rPr>
              <w:rFonts w:ascii="ITC Avant Garde" w:hAnsi="ITC Avant Garde" w:cstheme="minorBidi"/>
              <w:noProof/>
            </w:rPr>
          </w:pPr>
          <w:hyperlink w:anchor="_Toc180491382" w:history="1">
            <w:r w:rsidRPr="0069597F">
              <w:rPr>
                <w:rStyle w:val="Hipervnculo"/>
                <w:rFonts w:ascii="ITC Avant Garde" w:eastAsia="MS Mincho" w:hAnsi="ITC Avant Garde" w:cs="Calibri"/>
                <w:bCs/>
                <w:noProof/>
              </w:rPr>
              <w:t>3.6.5.</w:t>
            </w:r>
            <w:r w:rsidRPr="0069597F">
              <w:rPr>
                <w:rFonts w:ascii="ITC Avant Garde" w:hAnsi="ITC Avant Garde" w:cstheme="minorBidi"/>
                <w:noProof/>
              </w:rPr>
              <w:tab/>
            </w:r>
            <w:r w:rsidRPr="0069597F">
              <w:rPr>
                <w:rStyle w:val="Hipervnculo"/>
                <w:rFonts w:ascii="ITC Avant Garde" w:eastAsia="MS Mincho" w:hAnsi="ITC Avant Garde" w:cs="Calibri"/>
                <w:bCs/>
                <w:noProof/>
              </w:rPr>
              <w:t>Servicio de atención al cliente (incluyendo asistencia técnica de primera línea</w:t>
            </w:r>
            <w:r w:rsidRPr="0069597F">
              <w:rPr>
                <w:rFonts w:ascii="ITC Avant Garde" w:hAnsi="ITC Avant Garde"/>
                <w:noProof/>
                <w:webHidden/>
              </w:rPr>
              <w:tab/>
            </w:r>
            <w:r w:rsidR="00880D2A">
              <w:rPr>
                <w:rFonts w:ascii="ITC Avant Garde" w:hAnsi="ITC Avant Garde"/>
                <w:noProof/>
                <w:webHidden/>
              </w:rPr>
              <w:t>……………………………………………………………………………………………...</w:t>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_Toc180491382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19</w:t>
            </w:r>
            <w:r w:rsidRPr="0069597F">
              <w:rPr>
                <w:rFonts w:ascii="ITC Avant Garde" w:hAnsi="ITC Avant Garde"/>
                <w:noProof/>
                <w:webHidden/>
              </w:rPr>
              <w:fldChar w:fldCharType="end"/>
            </w:r>
          </w:hyperlink>
        </w:p>
        <w:p w14:paraId="6910D079" w14:textId="3C4AA77F" w:rsidR="0069597F" w:rsidRPr="0069597F" w:rsidRDefault="0069597F">
          <w:pPr>
            <w:pStyle w:val="TDC3"/>
            <w:rPr>
              <w:rFonts w:ascii="ITC Avant Garde" w:hAnsi="ITC Avant Garde" w:cstheme="minorBidi"/>
              <w:noProof/>
            </w:rPr>
          </w:pPr>
          <w:hyperlink w:anchor="_Toc180491383" w:history="1">
            <w:r w:rsidRPr="0069597F">
              <w:rPr>
                <w:rStyle w:val="Hipervnculo"/>
                <w:rFonts w:ascii="ITC Avant Garde" w:eastAsia="MS Mincho" w:hAnsi="ITC Avant Garde" w:cs="Calibri"/>
                <w:bCs/>
                <w:noProof/>
              </w:rPr>
              <w:t>3.6.6.</w:t>
            </w:r>
            <w:r w:rsidRPr="0069597F">
              <w:rPr>
                <w:rFonts w:ascii="ITC Avant Garde" w:hAnsi="ITC Avant Garde" w:cstheme="minorBidi"/>
                <w:noProof/>
              </w:rPr>
              <w:tab/>
            </w:r>
            <w:r w:rsidRPr="0069597F">
              <w:rPr>
                <w:rStyle w:val="Hipervnculo"/>
                <w:rFonts w:ascii="ITC Avant Garde" w:eastAsia="MS Mincho" w:hAnsi="ITC Avant Garde" w:cs="Calibri"/>
                <w:bCs/>
                <w:noProof/>
              </w:rPr>
              <w:t>Gastos generales y administrativos, incluyendo los gastos de personal (salarios y participación en las utilidades) y los asociados al uso de espacio para oficina</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_Toc180491383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20</w:t>
            </w:r>
            <w:r w:rsidRPr="0069597F">
              <w:rPr>
                <w:rFonts w:ascii="ITC Avant Garde" w:hAnsi="ITC Avant Garde"/>
                <w:noProof/>
                <w:webHidden/>
              </w:rPr>
              <w:fldChar w:fldCharType="end"/>
            </w:r>
          </w:hyperlink>
        </w:p>
        <w:p w14:paraId="451A9EFB" w14:textId="2B09FF47" w:rsidR="0069597F" w:rsidRPr="0069597F" w:rsidRDefault="0069597F">
          <w:pPr>
            <w:pStyle w:val="TDC3"/>
            <w:rPr>
              <w:rFonts w:ascii="ITC Avant Garde" w:hAnsi="ITC Avant Garde" w:cstheme="minorBidi"/>
              <w:noProof/>
            </w:rPr>
          </w:pPr>
          <w:hyperlink w:anchor="_Toc180491384" w:history="1">
            <w:r w:rsidRPr="0069597F">
              <w:rPr>
                <w:rStyle w:val="Hipervnculo"/>
                <w:rFonts w:ascii="ITC Avant Garde" w:eastAsia="MS Mincho" w:hAnsi="ITC Avant Garde" w:cs="Calibri"/>
                <w:bCs/>
                <w:noProof/>
              </w:rPr>
              <w:t>3.6.7.</w:t>
            </w:r>
            <w:r w:rsidRPr="0069597F">
              <w:rPr>
                <w:rFonts w:ascii="ITC Avant Garde" w:hAnsi="ITC Avant Garde" w:cstheme="minorBidi"/>
                <w:noProof/>
              </w:rPr>
              <w:tab/>
            </w:r>
            <w:r w:rsidRPr="0069597F">
              <w:rPr>
                <w:rStyle w:val="Hipervnculo"/>
                <w:rFonts w:ascii="ITC Avant Garde" w:eastAsia="MS Mincho" w:hAnsi="ITC Avant Garde" w:cs="Calibri"/>
                <w:bCs/>
                <w:noProof/>
              </w:rPr>
              <w:t>Margen de beneficios sobre costos evitados</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_Toc180491384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20</w:t>
            </w:r>
            <w:r w:rsidRPr="0069597F">
              <w:rPr>
                <w:rFonts w:ascii="ITC Avant Garde" w:hAnsi="ITC Avant Garde"/>
                <w:noProof/>
                <w:webHidden/>
              </w:rPr>
              <w:fldChar w:fldCharType="end"/>
            </w:r>
          </w:hyperlink>
        </w:p>
        <w:p w14:paraId="2951D8AE" w14:textId="16A4441F" w:rsidR="0069597F" w:rsidRPr="0069597F" w:rsidRDefault="0069597F">
          <w:pPr>
            <w:pStyle w:val="TDC2"/>
            <w:rPr>
              <w:rFonts w:ascii="ITC Avant Garde" w:hAnsi="ITC Avant Garde" w:cstheme="minorBidi"/>
              <w:noProof/>
            </w:rPr>
          </w:pPr>
          <w:hyperlink w:anchor="_Toc180491385" w:history="1">
            <w:r w:rsidRPr="0069597F">
              <w:rPr>
                <w:rStyle w:val="Hipervnculo"/>
                <w:rFonts w:ascii="ITC Avant Garde" w:eastAsia="MS Mincho" w:hAnsi="ITC Avant Garde" w:cs="Calibri"/>
                <w:noProof/>
              </w:rPr>
              <w:t>3.7.</w:t>
            </w:r>
            <w:r w:rsidRPr="0069597F">
              <w:rPr>
                <w:rFonts w:ascii="ITC Avant Garde" w:hAnsi="ITC Avant Garde" w:cstheme="minorBidi"/>
                <w:noProof/>
              </w:rPr>
              <w:tab/>
            </w:r>
            <w:r w:rsidRPr="0069597F">
              <w:rPr>
                <w:rStyle w:val="Hipervnculo"/>
                <w:rFonts w:ascii="ITC Avant Garde" w:eastAsia="MS Mincho" w:hAnsi="ITC Avant Garde" w:cs="Calibri"/>
                <w:noProof/>
              </w:rPr>
              <w:t>Resumen de esquemas de aplicación del Modelo de Costos Evitados</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_Toc180491385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21</w:t>
            </w:r>
            <w:r w:rsidRPr="0069597F">
              <w:rPr>
                <w:rFonts w:ascii="ITC Avant Garde" w:hAnsi="ITC Avant Garde"/>
                <w:noProof/>
                <w:webHidden/>
              </w:rPr>
              <w:fldChar w:fldCharType="end"/>
            </w:r>
          </w:hyperlink>
        </w:p>
        <w:p w14:paraId="43F2485A" w14:textId="2BB3E8A2" w:rsidR="0069597F" w:rsidRPr="0069597F" w:rsidRDefault="0069597F">
          <w:pPr>
            <w:pStyle w:val="TDC3"/>
            <w:rPr>
              <w:rFonts w:ascii="ITC Avant Garde" w:hAnsi="ITC Avant Garde" w:cstheme="minorBidi"/>
              <w:noProof/>
            </w:rPr>
          </w:pPr>
          <w:hyperlink w:anchor="_Toc180491386" w:history="1">
            <w:r w:rsidRPr="0069597F">
              <w:rPr>
                <w:rStyle w:val="Hipervnculo"/>
                <w:rFonts w:ascii="ITC Avant Garde" w:eastAsia="MS Mincho" w:hAnsi="ITC Avant Garde" w:cs="Calibri"/>
                <w:bCs/>
                <w:noProof/>
              </w:rPr>
              <w:t>3.7.1.</w:t>
            </w:r>
            <w:r w:rsidRPr="0069597F">
              <w:rPr>
                <w:rFonts w:ascii="ITC Avant Garde" w:hAnsi="ITC Avant Garde" w:cstheme="minorBidi"/>
                <w:noProof/>
              </w:rPr>
              <w:tab/>
            </w:r>
            <w:r w:rsidRPr="0069597F">
              <w:rPr>
                <w:rStyle w:val="Hipervnculo"/>
                <w:rFonts w:ascii="ITC Avant Garde" w:eastAsia="MS Mincho" w:hAnsi="ITC Avant Garde" w:cs="Calibri"/>
                <w:bCs/>
                <w:noProof/>
              </w:rPr>
              <w:t>Esquema para el SMR</w:t>
            </w:r>
            <w:r w:rsidRPr="0069597F">
              <w:rPr>
                <w:rFonts w:ascii="ITC Avant Garde" w:hAnsi="ITC Avant Garde"/>
                <w:noProof/>
                <w:webHidden/>
              </w:rPr>
              <w:tab/>
            </w:r>
            <w:r w:rsidRPr="0069597F">
              <w:rPr>
                <w:rFonts w:ascii="ITC Avant Garde" w:hAnsi="ITC Avant Garde"/>
                <w:noProof/>
                <w:webHidden/>
              </w:rPr>
              <w:fldChar w:fldCharType="begin"/>
            </w:r>
            <w:r w:rsidRPr="0069597F">
              <w:rPr>
                <w:rFonts w:ascii="ITC Avant Garde" w:hAnsi="ITC Avant Garde"/>
                <w:noProof/>
                <w:webHidden/>
              </w:rPr>
              <w:instrText xml:space="preserve"> PAGEREF _Toc180491386 \h </w:instrText>
            </w:r>
            <w:r w:rsidRPr="0069597F">
              <w:rPr>
                <w:rFonts w:ascii="ITC Avant Garde" w:hAnsi="ITC Avant Garde"/>
                <w:noProof/>
                <w:webHidden/>
              </w:rPr>
            </w:r>
            <w:r w:rsidRPr="0069597F">
              <w:rPr>
                <w:rFonts w:ascii="ITC Avant Garde" w:hAnsi="ITC Avant Garde"/>
                <w:noProof/>
                <w:webHidden/>
              </w:rPr>
              <w:fldChar w:fldCharType="separate"/>
            </w:r>
            <w:r w:rsidRPr="0069597F">
              <w:rPr>
                <w:rFonts w:ascii="ITC Avant Garde" w:hAnsi="ITC Avant Garde"/>
                <w:noProof/>
                <w:webHidden/>
              </w:rPr>
              <w:t>21</w:t>
            </w:r>
            <w:r w:rsidRPr="0069597F">
              <w:rPr>
                <w:rFonts w:ascii="ITC Avant Garde" w:hAnsi="ITC Avant Garde"/>
                <w:noProof/>
                <w:webHidden/>
              </w:rPr>
              <w:fldChar w:fldCharType="end"/>
            </w:r>
          </w:hyperlink>
        </w:p>
        <w:p w14:paraId="39A9E761" w14:textId="7997E4C4" w:rsidR="00181D64" w:rsidRPr="00D5693A" w:rsidRDefault="00181D64" w:rsidP="00181D64">
          <w:pPr>
            <w:rPr>
              <w:sz w:val="20"/>
              <w:szCs w:val="20"/>
            </w:rPr>
          </w:pPr>
          <w:r w:rsidRPr="0069597F">
            <w:rPr>
              <w:rFonts w:ascii="ITC Avant Garde" w:hAnsi="ITC Avant Garde"/>
            </w:rPr>
            <w:fldChar w:fldCharType="end"/>
          </w:r>
        </w:p>
      </w:sdtContent>
    </w:sdt>
    <w:p w14:paraId="461E490F" w14:textId="77777777" w:rsidR="00181D64" w:rsidRPr="00523452" w:rsidRDefault="00181D64" w:rsidP="00181D64">
      <w:pPr>
        <w:jc w:val="center"/>
        <w:rPr>
          <w:rFonts w:ascii="ITC Avant Garde" w:hAnsi="ITC Avant Garde"/>
          <w:b/>
          <w:sz w:val="24"/>
        </w:rPr>
      </w:pPr>
    </w:p>
    <w:p w14:paraId="12E58F9B" w14:textId="222470F4" w:rsidR="00045FC9" w:rsidRDefault="00045FC9">
      <w:pPr>
        <w:rPr>
          <w:rFonts w:ascii="ITC Avant Garde" w:hAnsi="ITC Avant Garde"/>
          <w:b/>
          <w:sz w:val="24"/>
        </w:rPr>
      </w:pPr>
      <w:r>
        <w:rPr>
          <w:rFonts w:ascii="ITC Avant Garde" w:hAnsi="ITC Avant Garde"/>
          <w:b/>
          <w:sz w:val="24"/>
        </w:rPr>
        <w:br w:type="page"/>
      </w:r>
    </w:p>
    <w:p w14:paraId="0BC2E7E8" w14:textId="2528D499" w:rsidR="00181D64" w:rsidRPr="00FA0267" w:rsidRDefault="00181D64" w:rsidP="00B3143B">
      <w:pPr>
        <w:jc w:val="center"/>
        <w:rPr>
          <w:rFonts w:ascii="ITC Avant Garde" w:hAnsi="ITC Avant Garde"/>
          <w:b/>
          <w:sz w:val="28"/>
        </w:rPr>
      </w:pPr>
      <w:r w:rsidRPr="00FA0267">
        <w:rPr>
          <w:rFonts w:ascii="ITC Avant Garde" w:hAnsi="ITC Avant Garde"/>
          <w:b/>
          <w:sz w:val="28"/>
        </w:rPr>
        <w:lastRenderedPageBreak/>
        <w:t xml:space="preserve">Modelo de Costos Evitados para </w:t>
      </w:r>
      <w:r w:rsidR="00F96E66" w:rsidRPr="00FA0267">
        <w:rPr>
          <w:rFonts w:ascii="ITC Avant Garde" w:hAnsi="ITC Avant Garde"/>
          <w:b/>
          <w:sz w:val="28"/>
        </w:rPr>
        <w:t>el Servicio Mayorista de Reventa del Servicio de Televisión y Audio Restringidos</w:t>
      </w:r>
    </w:p>
    <w:p w14:paraId="00E3BB4F" w14:textId="73AA30CF" w:rsidR="00181D64" w:rsidRPr="00523452" w:rsidRDefault="00F167B6" w:rsidP="00181D64">
      <w:pPr>
        <w:pStyle w:val="Ttulo1"/>
        <w:numPr>
          <w:ilvl w:val="0"/>
          <w:numId w:val="7"/>
        </w:numPr>
        <w:spacing w:after="240"/>
        <w:ind w:left="357" w:hanging="357"/>
        <w:rPr>
          <w:rStyle w:val="IFTnormalCar"/>
          <w:b/>
          <w:color w:val="auto"/>
          <w:sz w:val="24"/>
          <w:szCs w:val="24"/>
        </w:rPr>
      </w:pPr>
      <w:bookmarkStart w:id="0" w:name="_Toc180491367"/>
      <w:r>
        <w:rPr>
          <w:rStyle w:val="IFTnormalCar"/>
          <w:b/>
          <w:color w:val="auto"/>
          <w:sz w:val="24"/>
          <w:szCs w:val="24"/>
        </w:rPr>
        <w:t>Contexto regulatorio</w:t>
      </w:r>
      <w:bookmarkEnd w:id="0"/>
    </w:p>
    <w:p w14:paraId="0BBA8F36" w14:textId="6AB92D81" w:rsidR="00461FFD" w:rsidRPr="00461FFD" w:rsidRDefault="002B4F9A" w:rsidP="002B4F9A">
      <w:pPr>
        <w:numPr>
          <w:ilvl w:val="1"/>
          <w:numId w:val="74"/>
        </w:numPr>
        <w:jc w:val="both"/>
        <w:rPr>
          <w:rFonts w:ascii="ITC Avant Garde" w:eastAsia="MS Mincho" w:hAnsi="ITC Avant Garde" w:cs="Calibri"/>
          <w:bCs/>
        </w:rPr>
      </w:pPr>
      <w:r w:rsidRPr="00461FFD">
        <w:rPr>
          <w:rFonts w:ascii="ITC Avant Garde" w:eastAsia="MS Mincho" w:hAnsi="ITC Avant Garde" w:cs="Calibri"/>
          <w:bCs/>
        </w:rPr>
        <w:t xml:space="preserve">El 29 de noviembre de 2021, mediante </w:t>
      </w:r>
      <w:r w:rsidR="00936317">
        <w:rPr>
          <w:rFonts w:ascii="ITC Avant Garde" w:eastAsia="MS Mincho" w:hAnsi="ITC Avant Garde" w:cs="Calibri"/>
          <w:bCs/>
        </w:rPr>
        <w:t>Resolución</w:t>
      </w:r>
      <w:r w:rsidR="00936317" w:rsidRPr="00461FFD">
        <w:rPr>
          <w:rFonts w:ascii="ITC Avant Garde" w:eastAsia="MS Mincho" w:hAnsi="ITC Avant Garde" w:cs="Calibri"/>
          <w:bCs/>
        </w:rPr>
        <w:t xml:space="preserve"> </w:t>
      </w:r>
      <w:r w:rsidRPr="00461FFD">
        <w:rPr>
          <w:rFonts w:ascii="ITC Avant Garde" w:eastAsia="MS Mincho" w:hAnsi="ITC Avant Garde" w:cs="Calibri"/>
          <w:bCs/>
        </w:rPr>
        <w:t>P/IFT/EXT/291121/36, el Pleno del Instituto en su XX Sesión Extraordinaria aprobó la “</w:t>
      </w:r>
      <w:r w:rsidRPr="00CE578C">
        <w:rPr>
          <w:rFonts w:ascii="ITC Avant Garde" w:eastAsia="MS Mincho" w:hAnsi="ITC Avant Garde" w:cs="Calibri"/>
          <w:bCs/>
          <w:i/>
        </w:rPr>
        <w:t>Resolución mediante la cual el Pleno del Instituto Federal de Telecomunicaciones resuelve sobre la existencia de un grupo de interés económico con poder sustancial en mercados relevantes correspondientes a la provisión del servicio de televisión y audio restringidos, en el Expediente AI/DC-003-2019</w:t>
      </w:r>
      <w:r w:rsidRPr="00461FFD">
        <w:rPr>
          <w:rFonts w:ascii="ITC Avant Garde" w:eastAsia="MS Mincho" w:hAnsi="ITC Avant Garde" w:cs="Calibri"/>
          <w:bCs/>
        </w:rPr>
        <w:t>”</w:t>
      </w:r>
      <w:r w:rsidR="009B496E">
        <w:rPr>
          <w:rFonts w:ascii="ITC Avant Garde" w:eastAsia="MS Mincho" w:hAnsi="ITC Avant Garde" w:cs="Calibri"/>
          <w:bCs/>
        </w:rPr>
        <w:t xml:space="preserve"> (en lo sucesivo, la “Resolución APSM”)</w:t>
      </w:r>
      <w:r w:rsidR="00461FFD" w:rsidRPr="00461FFD">
        <w:rPr>
          <w:rFonts w:ascii="ITC Avant Garde" w:eastAsia="MS Mincho" w:hAnsi="ITC Avant Garde" w:cs="Calibri"/>
          <w:bCs/>
        </w:rPr>
        <w:t>.</w:t>
      </w:r>
    </w:p>
    <w:p w14:paraId="30E49FDD" w14:textId="40C507F7" w:rsidR="00845DE9" w:rsidRDefault="00806425" w:rsidP="002B4F9A">
      <w:pPr>
        <w:numPr>
          <w:ilvl w:val="1"/>
          <w:numId w:val="74"/>
        </w:numPr>
        <w:jc w:val="both"/>
        <w:rPr>
          <w:rStyle w:val="IFTnormalCar"/>
        </w:rPr>
      </w:pPr>
      <w:r>
        <w:rPr>
          <w:rStyle w:val="IFTnormalCar"/>
        </w:rPr>
        <w:t>L</w:t>
      </w:r>
      <w:r w:rsidR="00845DE9">
        <w:rPr>
          <w:rStyle w:val="IFTnormalCar"/>
        </w:rPr>
        <w:t xml:space="preserve">a Resolución APSM </w:t>
      </w:r>
      <w:r>
        <w:rPr>
          <w:rStyle w:val="IFTnormalCar"/>
        </w:rPr>
        <w:t>señala</w:t>
      </w:r>
      <w:r w:rsidR="00845DE9">
        <w:rPr>
          <w:rStyle w:val="IFTnormalCar"/>
        </w:rPr>
        <w:t xml:space="preserve"> la existencia de poder sustancial de mercado a las empresas M</w:t>
      </w:r>
      <w:r w:rsidR="00845DE9" w:rsidRPr="009B496E">
        <w:rPr>
          <w:rStyle w:val="IFTnormalCar"/>
        </w:rPr>
        <w:t>egacable Holdings, S.A.B. de C.V., Telefonía por Cable, S.A. de C.V., Entretenimiento Satelital, S.A. de C.V., Productora y Comercializadora de Televisión, S.A. de C.V. y Proveedora de Servicios de Televisión, S.A. de C.V.</w:t>
      </w:r>
      <w:r w:rsidR="00845DE9">
        <w:rPr>
          <w:rStyle w:val="IFTnormalCar"/>
        </w:rPr>
        <w:t xml:space="preserve"> (en lo sucesivo, de manera conjunta, el “APSM”) en nueve (9) mercados relevantes que corresponden con los siguientes municipios: </w:t>
      </w:r>
      <w:r w:rsidR="00845DE9" w:rsidRPr="00845DE9">
        <w:rPr>
          <w:rStyle w:val="IFTnormalCar"/>
        </w:rPr>
        <w:t>(1) San Mateo Atenco, Estado de México;</w:t>
      </w:r>
      <w:r w:rsidR="00845DE9">
        <w:rPr>
          <w:rStyle w:val="IFTnormalCar"/>
        </w:rPr>
        <w:t xml:space="preserve"> </w:t>
      </w:r>
      <w:r w:rsidR="00845DE9" w:rsidRPr="00845DE9">
        <w:rPr>
          <w:rStyle w:val="IFTnormalCar"/>
        </w:rPr>
        <w:t>(2) Zinacantepec, Estado de México;</w:t>
      </w:r>
      <w:r w:rsidR="00845DE9">
        <w:rPr>
          <w:rStyle w:val="IFTnormalCar"/>
        </w:rPr>
        <w:t xml:space="preserve"> </w:t>
      </w:r>
      <w:r w:rsidR="00845DE9" w:rsidRPr="00845DE9">
        <w:rPr>
          <w:rStyle w:val="IFTnormalCar"/>
        </w:rPr>
        <w:t>(3) León, Guanajuato;</w:t>
      </w:r>
      <w:r w:rsidR="00845DE9">
        <w:rPr>
          <w:rStyle w:val="IFTnormalCar"/>
        </w:rPr>
        <w:t xml:space="preserve"> </w:t>
      </w:r>
      <w:r w:rsidR="00845DE9" w:rsidRPr="00845DE9">
        <w:rPr>
          <w:rStyle w:val="IFTnormalCar"/>
        </w:rPr>
        <w:t>(4) Guadalajara, Jalisco;</w:t>
      </w:r>
      <w:r w:rsidR="00845DE9">
        <w:rPr>
          <w:rStyle w:val="IFTnormalCar"/>
        </w:rPr>
        <w:t xml:space="preserve"> </w:t>
      </w:r>
      <w:r w:rsidR="00845DE9" w:rsidRPr="00845DE9">
        <w:rPr>
          <w:rStyle w:val="IFTnormalCar"/>
        </w:rPr>
        <w:t>(5) Tonalá, Jalisco;</w:t>
      </w:r>
      <w:r w:rsidR="00845DE9">
        <w:rPr>
          <w:rStyle w:val="IFTnormalCar"/>
        </w:rPr>
        <w:t xml:space="preserve"> </w:t>
      </w:r>
      <w:r w:rsidR="00845DE9" w:rsidRPr="00845DE9">
        <w:rPr>
          <w:rStyle w:val="IFTnormalCar"/>
        </w:rPr>
        <w:t>(6) Cuautlancingo, Puebla;</w:t>
      </w:r>
      <w:r w:rsidR="00845DE9">
        <w:rPr>
          <w:rStyle w:val="IFTnormalCar"/>
        </w:rPr>
        <w:t xml:space="preserve"> </w:t>
      </w:r>
      <w:r w:rsidR="00845DE9" w:rsidRPr="00845DE9">
        <w:rPr>
          <w:rStyle w:val="IFTnormalCar"/>
        </w:rPr>
        <w:t>(7) San Pedro Cholula, Puebla;</w:t>
      </w:r>
      <w:r w:rsidR="00845DE9">
        <w:rPr>
          <w:rStyle w:val="IFTnormalCar"/>
        </w:rPr>
        <w:t xml:space="preserve"> </w:t>
      </w:r>
      <w:r w:rsidR="00845DE9" w:rsidRPr="00845DE9">
        <w:rPr>
          <w:rStyle w:val="IFTnormalCar"/>
        </w:rPr>
        <w:t>(8) Corregidora, Querétaro y</w:t>
      </w:r>
      <w:r w:rsidR="00845DE9">
        <w:rPr>
          <w:rStyle w:val="IFTnormalCar"/>
        </w:rPr>
        <w:t xml:space="preserve"> </w:t>
      </w:r>
      <w:r w:rsidR="00845DE9" w:rsidRPr="00845DE9">
        <w:rPr>
          <w:rStyle w:val="IFTnormalCar"/>
        </w:rPr>
        <w:t>(9) El Marqués, Querétaro</w:t>
      </w:r>
      <w:r w:rsidR="00845DE9">
        <w:rPr>
          <w:rStyle w:val="IFTnormalCar"/>
        </w:rPr>
        <w:t xml:space="preserve"> (en lo sucesivo, “9 mercados con PSM”)</w:t>
      </w:r>
      <w:r w:rsidR="00845DE9" w:rsidRPr="00845DE9">
        <w:rPr>
          <w:rStyle w:val="IFTnormalCar"/>
        </w:rPr>
        <w:t>.</w:t>
      </w:r>
      <w:r w:rsidR="00845DE9">
        <w:rPr>
          <w:rStyle w:val="IFTnormalCar"/>
        </w:rPr>
        <w:t xml:space="preserve">  </w:t>
      </w:r>
    </w:p>
    <w:p w14:paraId="77A31F75" w14:textId="64A6B4E3" w:rsidR="002B4F9A" w:rsidRPr="00461FFD" w:rsidRDefault="00641E49" w:rsidP="002B4F9A">
      <w:pPr>
        <w:numPr>
          <w:ilvl w:val="1"/>
          <w:numId w:val="74"/>
        </w:numPr>
        <w:jc w:val="both"/>
        <w:rPr>
          <w:rFonts w:ascii="ITC Avant Garde" w:eastAsia="MS Mincho" w:hAnsi="ITC Avant Garde" w:cs="Calibri"/>
          <w:bCs/>
        </w:rPr>
      </w:pPr>
      <w:r>
        <w:rPr>
          <w:rFonts w:ascii="ITC Avant Garde" w:eastAsia="MS Mincho" w:hAnsi="ITC Avant Garde" w:cs="Calibri"/>
          <w:bCs/>
        </w:rPr>
        <w:t>En consecuencia, e</w:t>
      </w:r>
      <w:r w:rsidR="002B4F9A" w:rsidRPr="00461FFD">
        <w:rPr>
          <w:rFonts w:ascii="ITC Avant Garde" w:eastAsia="MS Mincho" w:hAnsi="ITC Avant Garde" w:cs="Calibri"/>
          <w:bCs/>
        </w:rPr>
        <w:t>l 2</w:t>
      </w:r>
      <w:r w:rsidR="00461FFD" w:rsidRPr="00461FFD">
        <w:rPr>
          <w:rFonts w:ascii="ITC Avant Garde" w:eastAsia="MS Mincho" w:hAnsi="ITC Avant Garde" w:cs="Calibri"/>
          <w:bCs/>
        </w:rPr>
        <w:t>0</w:t>
      </w:r>
      <w:r w:rsidR="002B4F9A" w:rsidRPr="00461FFD">
        <w:rPr>
          <w:rFonts w:ascii="ITC Avant Garde" w:eastAsia="MS Mincho" w:hAnsi="ITC Avant Garde" w:cs="Calibri"/>
          <w:bCs/>
        </w:rPr>
        <w:t xml:space="preserve"> de </w:t>
      </w:r>
      <w:r w:rsidR="00461FFD" w:rsidRPr="00461FFD">
        <w:rPr>
          <w:rFonts w:ascii="ITC Avant Garde" w:eastAsia="MS Mincho" w:hAnsi="ITC Avant Garde" w:cs="Calibri"/>
          <w:bCs/>
        </w:rPr>
        <w:t>marzo</w:t>
      </w:r>
      <w:r w:rsidR="002B4F9A" w:rsidRPr="00461FFD">
        <w:rPr>
          <w:rFonts w:ascii="ITC Avant Garde" w:eastAsia="MS Mincho" w:hAnsi="ITC Avant Garde" w:cs="Calibri"/>
          <w:bCs/>
        </w:rPr>
        <w:t xml:space="preserve"> de 202</w:t>
      </w:r>
      <w:r w:rsidR="00461FFD" w:rsidRPr="00461FFD">
        <w:rPr>
          <w:rFonts w:ascii="ITC Avant Garde" w:eastAsia="MS Mincho" w:hAnsi="ITC Avant Garde" w:cs="Calibri"/>
          <w:bCs/>
        </w:rPr>
        <w:t>4</w:t>
      </w:r>
      <w:r w:rsidR="002B4F9A" w:rsidRPr="00461FFD">
        <w:rPr>
          <w:rFonts w:ascii="ITC Avant Garde" w:eastAsia="MS Mincho" w:hAnsi="ITC Avant Garde" w:cs="Calibri"/>
          <w:bCs/>
        </w:rPr>
        <w:t xml:space="preserve">, mediante </w:t>
      </w:r>
      <w:r w:rsidR="00461FFD" w:rsidRPr="00461FFD">
        <w:rPr>
          <w:rFonts w:ascii="ITC Avant Garde" w:eastAsia="MS Mincho" w:hAnsi="ITC Avant Garde" w:cs="Calibri"/>
          <w:bCs/>
        </w:rPr>
        <w:t xml:space="preserve">Resolución </w:t>
      </w:r>
      <w:r w:rsidR="00461FFD" w:rsidRPr="00461FFD">
        <w:rPr>
          <w:rFonts w:ascii="ITC Avant Garde" w:hAnsi="ITC Avant Garde"/>
        </w:rPr>
        <w:t>P/IFT/200324/101</w:t>
      </w:r>
      <w:r>
        <w:rPr>
          <w:rFonts w:ascii="ITC Avant Garde" w:hAnsi="ITC Avant Garde"/>
        </w:rPr>
        <w:t xml:space="preserve"> el Pleno del Instituto </w:t>
      </w:r>
      <w:r w:rsidR="00461FFD" w:rsidRPr="00461FFD">
        <w:rPr>
          <w:rFonts w:ascii="ITC Avant Garde" w:hAnsi="ITC Avant Garde"/>
        </w:rPr>
        <w:t>en su VIII Sesión Ordinaria</w:t>
      </w:r>
      <w:r>
        <w:rPr>
          <w:rFonts w:ascii="ITC Avant Garde" w:hAnsi="ITC Avant Garde"/>
        </w:rPr>
        <w:t xml:space="preserve"> aprobó la “</w:t>
      </w:r>
      <w:r w:rsidR="00461FFD" w:rsidRPr="00CE578C">
        <w:rPr>
          <w:rFonts w:ascii="ITC Avant Garde" w:hAnsi="ITC Avant Garde"/>
          <w:i/>
        </w:rPr>
        <w:t>Resolución mediante la cual el Pleno del Instituto Federal de Telecomunicaciones establece las obligaciones específicas al agente económico con poder sustancial en nueve mercados correspondientes a la provisión del servicio de televisión y audio restringidos declarado mediante resolución P/IFT/EXT/291121/36</w:t>
      </w:r>
      <w:r w:rsidR="00461FFD" w:rsidRPr="00461FFD">
        <w:rPr>
          <w:rFonts w:ascii="ITC Avant Garde" w:hAnsi="ITC Avant Garde"/>
        </w:rPr>
        <w:t>” (en lo sucesivo, “Resolución de Obligaciones Específicas”)</w:t>
      </w:r>
    </w:p>
    <w:p w14:paraId="0CD62EED" w14:textId="7DD68A17" w:rsidR="009B496E" w:rsidRDefault="00641E49" w:rsidP="00666054">
      <w:pPr>
        <w:jc w:val="both"/>
        <w:rPr>
          <w:rStyle w:val="IFTnormalCar"/>
        </w:rPr>
      </w:pPr>
      <w:r>
        <w:rPr>
          <w:rStyle w:val="IFTnormalCar"/>
        </w:rPr>
        <w:t>En este contexto,</w:t>
      </w:r>
      <w:r w:rsidR="00355D9C">
        <w:rPr>
          <w:rStyle w:val="IFTnormalCar"/>
        </w:rPr>
        <w:t xml:space="preserve"> </w:t>
      </w:r>
      <w:r w:rsidR="00461FFD">
        <w:rPr>
          <w:rStyle w:val="IFTnormalCar"/>
        </w:rPr>
        <w:t>la Resolución de Obligaciones Específicas</w:t>
      </w:r>
      <w:r>
        <w:rPr>
          <w:rStyle w:val="IFTnormalCar"/>
        </w:rPr>
        <w:t xml:space="preserve"> emitió el </w:t>
      </w:r>
      <w:r w:rsidR="00140901">
        <w:rPr>
          <w:rStyle w:val="IFTnormalCar"/>
        </w:rPr>
        <w:t>“</w:t>
      </w:r>
      <w:r w:rsidRPr="00CE578C">
        <w:rPr>
          <w:rStyle w:val="IFTnormalCar"/>
          <w:i/>
        </w:rPr>
        <w:t>Anexo Único</w:t>
      </w:r>
      <w:r w:rsidR="00140901">
        <w:rPr>
          <w:rStyle w:val="IFTnormalCar"/>
        </w:rPr>
        <w:t>”</w:t>
      </w:r>
      <w:r>
        <w:rPr>
          <w:rStyle w:val="IFTnormalCar"/>
        </w:rPr>
        <w:t xml:space="preserve"> dentro del cual se </w:t>
      </w:r>
      <w:r w:rsidR="009B496E">
        <w:rPr>
          <w:rStyle w:val="IFTnormalCar"/>
        </w:rPr>
        <w:t xml:space="preserve">establecen un conjunto de </w:t>
      </w:r>
      <w:r w:rsidR="00255223">
        <w:rPr>
          <w:rStyle w:val="IFTnormalCar"/>
        </w:rPr>
        <w:t>obligaciones específicas</w:t>
      </w:r>
      <w:r w:rsidR="009B496E">
        <w:rPr>
          <w:rStyle w:val="IFTnormalCar"/>
        </w:rPr>
        <w:t xml:space="preserve"> aplicables a</w:t>
      </w:r>
      <w:r w:rsidR="00255223">
        <w:rPr>
          <w:rStyle w:val="IFTnormalCar"/>
        </w:rPr>
        <w:t xml:space="preserve">l </w:t>
      </w:r>
      <w:r w:rsidR="009B496E">
        <w:rPr>
          <w:rStyle w:val="IFTnormalCar"/>
        </w:rPr>
        <w:t>APSM</w:t>
      </w:r>
      <w:r w:rsidR="009B496E" w:rsidRPr="009B496E">
        <w:rPr>
          <w:rStyle w:val="IFTnormalCar"/>
        </w:rPr>
        <w:t xml:space="preserve">, </w:t>
      </w:r>
      <w:r w:rsidR="009B496E">
        <w:rPr>
          <w:rStyle w:val="IFTnormalCar"/>
        </w:rPr>
        <w:t xml:space="preserve">las cuales fueron </w:t>
      </w:r>
      <w:r w:rsidR="009B496E" w:rsidRPr="009B496E">
        <w:rPr>
          <w:rStyle w:val="IFTnormalCar"/>
        </w:rPr>
        <w:t>declaradas con poder sustancial de mercado a través de la</w:t>
      </w:r>
      <w:r w:rsidR="009B496E">
        <w:rPr>
          <w:rStyle w:val="IFTnormalCar"/>
        </w:rPr>
        <w:t xml:space="preserve"> Resolución APSM.</w:t>
      </w:r>
    </w:p>
    <w:p w14:paraId="64707D00" w14:textId="63D3218A" w:rsidR="00461FFD" w:rsidRPr="002F3E55" w:rsidRDefault="009B496E" w:rsidP="00666054">
      <w:pPr>
        <w:jc w:val="both"/>
        <w:rPr>
          <w:rStyle w:val="IFTnormalCar"/>
        </w:rPr>
      </w:pPr>
      <w:r>
        <w:rPr>
          <w:rStyle w:val="IFTnormalCar"/>
        </w:rPr>
        <w:t xml:space="preserve">Como parte de dichas </w:t>
      </w:r>
      <w:r w:rsidR="00255223">
        <w:rPr>
          <w:rStyle w:val="IFTnormalCar"/>
        </w:rPr>
        <w:t>obligaciones</w:t>
      </w:r>
      <w:r>
        <w:rPr>
          <w:rStyle w:val="IFTnormalCar"/>
        </w:rPr>
        <w:t xml:space="preserve">, se </w:t>
      </w:r>
      <w:r w:rsidR="00641E49">
        <w:rPr>
          <w:rStyle w:val="IFTnormalCar"/>
        </w:rPr>
        <w:t xml:space="preserve">destaca el contenido de la </w:t>
      </w:r>
      <w:r w:rsidR="00792E5C">
        <w:rPr>
          <w:rStyle w:val="IFTnormalCar"/>
        </w:rPr>
        <w:t>O</w:t>
      </w:r>
      <w:r w:rsidR="00255223">
        <w:rPr>
          <w:rStyle w:val="IFTnormalCar"/>
        </w:rPr>
        <w:t xml:space="preserve">bligación </w:t>
      </w:r>
      <w:r w:rsidR="00461FFD">
        <w:rPr>
          <w:rStyle w:val="IFTnormalCar"/>
        </w:rPr>
        <w:t xml:space="preserve">QUINTA </w:t>
      </w:r>
      <w:r w:rsidR="00F27234">
        <w:rPr>
          <w:rStyle w:val="IFTnormalCar"/>
        </w:rPr>
        <w:t xml:space="preserve">del Anexo </w:t>
      </w:r>
      <w:r w:rsidR="00F27234" w:rsidRPr="002F3E55">
        <w:rPr>
          <w:rStyle w:val="IFTnormalCar"/>
        </w:rPr>
        <w:t xml:space="preserve">Único </w:t>
      </w:r>
      <w:r w:rsidR="00641E49" w:rsidRPr="002F3E55">
        <w:rPr>
          <w:rStyle w:val="IFTnormalCar"/>
        </w:rPr>
        <w:t>que a la letra señala:</w:t>
      </w:r>
    </w:p>
    <w:p w14:paraId="0050D600" w14:textId="77777777" w:rsidR="00461FFD" w:rsidRPr="002F3E55" w:rsidRDefault="00461FFD" w:rsidP="00461FFD">
      <w:pPr>
        <w:pStyle w:val="Cita"/>
        <w:jc w:val="both"/>
        <w:rPr>
          <w:rFonts w:ascii="ITC Avant Garde" w:hAnsi="ITC Avant Garde"/>
          <w:color w:val="auto"/>
          <w:sz w:val="20"/>
          <w:szCs w:val="20"/>
          <w:lang w:val="es-ES_tradnl" w:eastAsia="es-ES"/>
        </w:rPr>
      </w:pPr>
      <w:r w:rsidRPr="002F3E55">
        <w:rPr>
          <w:rFonts w:ascii="ITC Avant Garde" w:hAnsi="ITC Avant Garde"/>
          <w:color w:val="auto"/>
          <w:sz w:val="20"/>
          <w:szCs w:val="20"/>
          <w:lang w:val="es-ES_tradnl" w:eastAsia="es-ES"/>
        </w:rPr>
        <w:t>“</w:t>
      </w:r>
      <w:r w:rsidRPr="002F3E55">
        <w:rPr>
          <w:rFonts w:ascii="ITC Avant Garde" w:hAnsi="ITC Avant Garde"/>
          <w:b/>
          <w:color w:val="auto"/>
          <w:sz w:val="20"/>
          <w:szCs w:val="20"/>
          <w:lang w:val="es-ES_tradnl" w:eastAsia="es-ES"/>
        </w:rPr>
        <w:t>QUINTA.-</w:t>
      </w:r>
      <w:r w:rsidRPr="002F3E55">
        <w:rPr>
          <w:rFonts w:ascii="ITC Avant Garde" w:hAnsi="ITC Avant Garde"/>
          <w:color w:val="auto"/>
          <w:sz w:val="20"/>
          <w:szCs w:val="20"/>
          <w:lang w:val="es-ES_tradnl" w:eastAsia="es-ES"/>
        </w:rPr>
        <w:t xml:space="preserve"> </w:t>
      </w:r>
      <w:r w:rsidRPr="002F3E55">
        <w:rPr>
          <w:rFonts w:ascii="ITC Avant Garde" w:hAnsi="ITC Avant Garde"/>
          <w:b/>
          <w:color w:val="auto"/>
          <w:sz w:val="20"/>
          <w:szCs w:val="20"/>
          <w:u w:val="single"/>
          <w:lang w:val="es-ES_tradnl" w:eastAsia="es-ES"/>
        </w:rPr>
        <w:t xml:space="preserve">Las tarifas aplicables para el Servicio Mayorista de Reventa se determinarán para cada uno de los servicios minoristas que el Agente Económico con Poder Sustancial de Mercado provea a los usuarios finales con una </w:t>
      </w:r>
      <w:r w:rsidRPr="002F3E55">
        <w:rPr>
          <w:rFonts w:ascii="ITC Avant Garde" w:hAnsi="ITC Avant Garde"/>
          <w:b/>
          <w:bCs/>
          <w:color w:val="auto"/>
          <w:sz w:val="20"/>
          <w:szCs w:val="20"/>
          <w:u w:val="single"/>
          <w:lang w:val="es-ES_tradnl" w:eastAsia="es-ES"/>
        </w:rPr>
        <w:t>metodología de costos evitados (retail minus)</w:t>
      </w:r>
      <w:r w:rsidRPr="002F3E55">
        <w:rPr>
          <w:rFonts w:ascii="ITC Avant Garde" w:hAnsi="ITC Avant Garde"/>
          <w:color w:val="auto"/>
          <w:sz w:val="20"/>
          <w:szCs w:val="20"/>
          <w:lang w:val="es-ES_tradnl" w:eastAsia="es-ES"/>
        </w:rPr>
        <w:t>, con base en los ingresos o tarifas minoristas eliminando aquellos costos que no sean necesarios para la comercialización de los servicios a los usuarios finales.</w:t>
      </w:r>
    </w:p>
    <w:p w14:paraId="30233ADE" w14:textId="653D20FF" w:rsidR="00461FFD" w:rsidRPr="002F3E55" w:rsidRDefault="00461FFD" w:rsidP="00461FFD">
      <w:pPr>
        <w:pStyle w:val="Cita"/>
        <w:jc w:val="both"/>
        <w:rPr>
          <w:rFonts w:ascii="ITC Avant Garde" w:hAnsi="ITC Avant Garde"/>
          <w:color w:val="auto"/>
          <w:sz w:val="20"/>
          <w:szCs w:val="20"/>
          <w:lang w:val="es-ES_tradnl" w:eastAsia="es-ES"/>
        </w:rPr>
      </w:pPr>
      <w:r w:rsidRPr="002F3E55">
        <w:rPr>
          <w:rFonts w:ascii="ITC Avant Garde" w:hAnsi="ITC Avant Garde"/>
          <w:color w:val="auto"/>
          <w:sz w:val="20"/>
          <w:szCs w:val="20"/>
          <w:lang w:val="es-ES_tradnl" w:eastAsia="es-ES"/>
        </w:rPr>
        <w:lastRenderedPageBreak/>
        <w:t>Las tarifas de los elementos auxiliares del Servicio Mayorista de Reventa las determinará el Instituto con una metodología que le permita al Agente Económico con Poder Sustancial de Mercado recuperar los costos por proveer el servicio.”</w:t>
      </w:r>
    </w:p>
    <w:p w14:paraId="2CB635DD" w14:textId="098E4370" w:rsidR="005E7AC2" w:rsidRPr="002F3E55" w:rsidRDefault="005E7AC2" w:rsidP="00CE578C">
      <w:pPr>
        <w:pStyle w:val="Cita"/>
        <w:jc w:val="right"/>
        <w:rPr>
          <w:rFonts w:ascii="ITC Avant Garde" w:hAnsi="ITC Avant Garde"/>
          <w:color w:val="auto"/>
          <w:sz w:val="20"/>
          <w:szCs w:val="20"/>
          <w:lang w:val="es-ES_tradnl" w:eastAsia="es-ES"/>
        </w:rPr>
      </w:pPr>
      <w:r w:rsidRPr="002F3E55">
        <w:rPr>
          <w:rFonts w:ascii="ITC Avant Garde" w:hAnsi="ITC Avant Garde"/>
          <w:color w:val="auto"/>
          <w:sz w:val="20"/>
          <w:szCs w:val="20"/>
          <w:lang w:val="es-ES_tradnl" w:eastAsia="es-ES"/>
        </w:rPr>
        <w:t>[Énfasis añadido]</w:t>
      </w:r>
    </w:p>
    <w:p w14:paraId="62AD10B1" w14:textId="34DA463E" w:rsidR="009B496E" w:rsidRDefault="009B496E" w:rsidP="00666054">
      <w:pPr>
        <w:jc w:val="both"/>
        <w:rPr>
          <w:rStyle w:val="IFTnormalCar"/>
        </w:rPr>
      </w:pPr>
      <w:r>
        <w:rPr>
          <w:rStyle w:val="IFTnormalCar"/>
        </w:rPr>
        <w:t xml:space="preserve">En este caso se dispone que las tarifas aplicables para el Servicio Mayorista de Reventa (en lo sucesivo, “SMR”) </w:t>
      </w:r>
      <w:r w:rsidR="00FD4649">
        <w:rPr>
          <w:rStyle w:val="IFTnormalCar"/>
        </w:rPr>
        <w:t xml:space="preserve">provisto por el APSM </w:t>
      </w:r>
      <w:r>
        <w:rPr>
          <w:rStyle w:val="IFTnormalCar"/>
        </w:rPr>
        <w:t>se determinarán con</w:t>
      </w:r>
      <w:r w:rsidR="005E7AC2">
        <w:rPr>
          <w:rStyle w:val="IFTnormalCar"/>
        </w:rPr>
        <w:t xml:space="preserve"> base en</w:t>
      </w:r>
      <w:r>
        <w:rPr>
          <w:rStyle w:val="IFTnormalCar"/>
        </w:rPr>
        <w:t xml:space="preserve"> una metodología de costos evitados (</w:t>
      </w:r>
      <w:r w:rsidRPr="00411ED4">
        <w:rPr>
          <w:rStyle w:val="IFTnormalCar"/>
          <w:i/>
        </w:rPr>
        <w:t>retail minus</w:t>
      </w:r>
      <w:r>
        <w:rPr>
          <w:rStyle w:val="IFTnormalCar"/>
        </w:rPr>
        <w:t xml:space="preserve">), </w:t>
      </w:r>
      <w:r w:rsidR="00FD4649">
        <w:rPr>
          <w:rStyle w:val="IFTnormalCar"/>
        </w:rPr>
        <w:t xml:space="preserve">a partir de </w:t>
      </w:r>
      <w:r>
        <w:rPr>
          <w:rStyle w:val="IFTnormalCar"/>
        </w:rPr>
        <w:t>los ingresos o tarifas minoristas</w:t>
      </w:r>
      <w:r w:rsidR="005E7AC2">
        <w:rPr>
          <w:rStyle w:val="IFTnormalCar"/>
        </w:rPr>
        <w:t xml:space="preserve"> </w:t>
      </w:r>
      <w:r w:rsidR="00FD4649">
        <w:rPr>
          <w:rStyle w:val="IFTnormalCar"/>
        </w:rPr>
        <w:t xml:space="preserve">y </w:t>
      </w:r>
      <w:r>
        <w:rPr>
          <w:rStyle w:val="IFTnormalCar"/>
        </w:rPr>
        <w:t>eliminado aquellos costos que no sean necesario</w:t>
      </w:r>
      <w:r w:rsidR="00FD4649">
        <w:rPr>
          <w:rStyle w:val="IFTnormalCar"/>
        </w:rPr>
        <w:t>s</w:t>
      </w:r>
      <w:r>
        <w:rPr>
          <w:rStyle w:val="IFTnormalCar"/>
        </w:rPr>
        <w:t xml:space="preserve"> para la comercialización de los servicios a los usuarios finales.</w:t>
      </w:r>
    </w:p>
    <w:p w14:paraId="3CE5CF20" w14:textId="7D4C1370" w:rsidR="009B496E" w:rsidRPr="0060308A" w:rsidRDefault="009B496E" w:rsidP="00666054">
      <w:pPr>
        <w:jc w:val="both"/>
        <w:rPr>
          <w:rStyle w:val="IFTnormalCar"/>
        </w:rPr>
      </w:pPr>
      <w:r>
        <w:rPr>
          <w:rStyle w:val="IFTnormalCar"/>
        </w:rPr>
        <w:t xml:space="preserve">En este </w:t>
      </w:r>
      <w:r w:rsidRPr="001A2A85">
        <w:rPr>
          <w:rStyle w:val="IFTnormalCar"/>
        </w:rPr>
        <w:t>contexto, el SMR previsto en</w:t>
      </w:r>
      <w:r w:rsidRPr="00F14F99">
        <w:rPr>
          <w:rStyle w:val="IFTnormalCar"/>
        </w:rPr>
        <w:t xml:space="preserve"> la</w:t>
      </w:r>
      <w:r w:rsidRPr="0060308A">
        <w:rPr>
          <w:rStyle w:val="IFTnormalCar"/>
        </w:rPr>
        <w:t xml:space="preserve"> </w:t>
      </w:r>
      <w:r w:rsidR="008B43A4">
        <w:rPr>
          <w:rStyle w:val="IFTnormalCar"/>
        </w:rPr>
        <w:t>O</w:t>
      </w:r>
      <w:r w:rsidR="00255223">
        <w:rPr>
          <w:rStyle w:val="IFTnormalCar"/>
        </w:rPr>
        <w:t>bligación</w:t>
      </w:r>
      <w:r w:rsidR="00255223" w:rsidRPr="0060308A">
        <w:rPr>
          <w:rStyle w:val="IFTnormalCar"/>
        </w:rPr>
        <w:t xml:space="preserve"> </w:t>
      </w:r>
      <w:r w:rsidRPr="0060308A">
        <w:rPr>
          <w:rStyle w:val="IFTnormalCar"/>
        </w:rPr>
        <w:t xml:space="preserve">TERCERA, numeral XI, </w:t>
      </w:r>
      <w:r w:rsidR="005E7AC2" w:rsidRPr="0060308A">
        <w:rPr>
          <w:rStyle w:val="IFTnormalCar"/>
        </w:rPr>
        <w:t>define a dicho servicio en los siguientes términos</w:t>
      </w:r>
      <w:r w:rsidRPr="0060308A">
        <w:rPr>
          <w:rStyle w:val="IFTnormalCar"/>
        </w:rPr>
        <w:t>:</w:t>
      </w:r>
    </w:p>
    <w:p w14:paraId="545364AC" w14:textId="31A3F503" w:rsidR="009B496E" w:rsidRPr="00CE578C" w:rsidRDefault="005E7AC2" w:rsidP="00CE578C">
      <w:pPr>
        <w:pStyle w:val="Cita"/>
        <w:jc w:val="both"/>
        <w:rPr>
          <w:sz w:val="20"/>
          <w:szCs w:val="20"/>
          <w:lang w:val="es-ES_tradnl" w:eastAsia="es-ES"/>
        </w:rPr>
      </w:pPr>
      <w:r w:rsidRPr="00CE578C">
        <w:rPr>
          <w:rFonts w:ascii="ITC Avant Garde" w:hAnsi="ITC Avant Garde"/>
          <w:color w:val="auto"/>
          <w:sz w:val="20"/>
          <w:szCs w:val="20"/>
          <w:lang w:val="es-ES_tradnl" w:eastAsia="es-ES"/>
        </w:rPr>
        <w:t>“</w:t>
      </w:r>
      <w:r w:rsidR="009B496E" w:rsidRPr="00CE578C">
        <w:rPr>
          <w:rFonts w:ascii="ITC Avant Garde" w:hAnsi="ITC Avant Garde"/>
          <w:b/>
          <w:color w:val="auto"/>
          <w:sz w:val="20"/>
          <w:szCs w:val="20"/>
          <w:lang w:val="es-ES_tradnl" w:eastAsia="es-ES"/>
        </w:rPr>
        <w:t>XI.</w:t>
      </w:r>
      <w:r w:rsidR="009B496E" w:rsidRPr="0060308A">
        <w:rPr>
          <w:rFonts w:ascii="ITC Avant Garde" w:hAnsi="ITC Avant Garde"/>
          <w:color w:val="auto"/>
          <w:sz w:val="20"/>
          <w:szCs w:val="20"/>
          <w:lang w:val="es-ES_tradnl" w:eastAsia="es-ES"/>
        </w:rPr>
        <w:t xml:space="preserve"> Servicio Mayorista de Reventa: </w:t>
      </w:r>
      <w:r w:rsidR="009B496E" w:rsidRPr="00CE578C">
        <w:rPr>
          <w:rFonts w:ascii="ITC Avant Garde" w:hAnsi="ITC Avant Garde"/>
          <w:color w:val="auto"/>
          <w:sz w:val="20"/>
          <w:szCs w:val="20"/>
          <w:lang w:val="es-ES_tradnl" w:eastAsia="es-ES"/>
        </w:rPr>
        <w:t>Servicio a través del cual el Agente Económico con Poder Sustancial de Mercado permite a los Concesionarios del STAR y Autorizados realizar la reventa o comercialización de los servicios minoristas que incluyan el STAR que aquel oferte y provea a los usuarios finales del STAR en forma individual y/o en paquete con otros servicios de telecomunicaciones fijas (servicio de banda ancha fija y/o servicio de telefonía fija).</w:t>
      </w:r>
      <w:r w:rsidRPr="0060308A">
        <w:rPr>
          <w:rFonts w:ascii="ITC Avant Garde" w:hAnsi="ITC Avant Garde"/>
          <w:color w:val="auto"/>
          <w:sz w:val="20"/>
          <w:szCs w:val="20"/>
          <w:lang w:val="es-ES_tradnl" w:eastAsia="es-ES"/>
        </w:rPr>
        <w:t>”</w:t>
      </w:r>
    </w:p>
    <w:p w14:paraId="4108C19A" w14:textId="17D1DEF0" w:rsidR="0051002A" w:rsidRPr="00CE578C" w:rsidRDefault="005E7AC2" w:rsidP="00666054">
      <w:pPr>
        <w:jc w:val="both"/>
        <w:rPr>
          <w:rStyle w:val="IFTnormalCar"/>
        </w:rPr>
      </w:pPr>
      <w:r w:rsidRPr="001A2A85">
        <w:rPr>
          <w:rStyle w:val="IFTnormalCar"/>
        </w:rPr>
        <w:t>Es decir, el S</w:t>
      </w:r>
      <w:r w:rsidRPr="00F14F99">
        <w:rPr>
          <w:rStyle w:val="IFTnormalCar"/>
        </w:rPr>
        <w:t xml:space="preserve">MR considera al </w:t>
      </w:r>
      <w:r w:rsidRPr="0060308A">
        <w:rPr>
          <w:rStyle w:val="IFTnormalCar"/>
        </w:rPr>
        <w:t>Servicio de Televisión y Audio Restringidos (en lo sucesivo, “STAR”) como aquel en el que los Concesionarios</w:t>
      </w:r>
      <w:r w:rsidR="0030504A">
        <w:rPr>
          <w:rStyle w:val="IFTnormalCar"/>
        </w:rPr>
        <w:t xml:space="preserve"> o Autorizados Solicitantes</w:t>
      </w:r>
      <w:r w:rsidRPr="0060308A">
        <w:rPr>
          <w:rStyle w:val="IFTnormalCar"/>
        </w:rPr>
        <w:t xml:space="preserve"> (en lo sucesivo, “CS</w:t>
      </w:r>
      <w:r w:rsidR="0030504A">
        <w:rPr>
          <w:rStyle w:val="IFTnormalCar"/>
        </w:rPr>
        <w:t>”</w:t>
      </w:r>
      <w:r w:rsidRPr="0060308A">
        <w:rPr>
          <w:rStyle w:val="IFTnormalCar"/>
        </w:rPr>
        <w:t xml:space="preserve">) podrán realizar la reventa o comercialización de los servicios minoristas que incluyan el STAR. En este contexto, el STAR fue también señalado en la </w:t>
      </w:r>
      <w:r w:rsidR="00792E5C">
        <w:rPr>
          <w:rStyle w:val="IFTnormalCar"/>
        </w:rPr>
        <w:t>O</w:t>
      </w:r>
      <w:r w:rsidR="00255223" w:rsidRPr="00EA3EF1">
        <w:rPr>
          <w:rStyle w:val="IFTnormalCar"/>
        </w:rPr>
        <w:t>bligación</w:t>
      </w:r>
      <w:r w:rsidR="00255223" w:rsidRPr="0060308A">
        <w:rPr>
          <w:rStyle w:val="IFTnormalCar"/>
        </w:rPr>
        <w:t xml:space="preserve"> </w:t>
      </w:r>
      <w:r w:rsidRPr="0060308A">
        <w:rPr>
          <w:rStyle w:val="IFTnormalCar"/>
        </w:rPr>
        <w:t>TERCERA, numeral XII, como sigue:</w:t>
      </w:r>
    </w:p>
    <w:p w14:paraId="7A825535" w14:textId="772FDD2A" w:rsidR="005E7AC2" w:rsidRPr="00CE578C" w:rsidRDefault="005E7AC2" w:rsidP="005E7AC2">
      <w:pPr>
        <w:pStyle w:val="Cita"/>
        <w:jc w:val="both"/>
        <w:rPr>
          <w:rStyle w:val="IFTnormalCar"/>
          <w:color w:val="auto"/>
        </w:rPr>
      </w:pPr>
      <w:r w:rsidRPr="00CE578C">
        <w:rPr>
          <w:rFonts w:ascii="ITC Avant Garde" w:hAnsi="ITC Avant Garde"/>
          <w:color w:val="auto"/>
          <w:sz w:val="20"/>
          <w:szCs w:val="20"/>
          <w:lang w:val="es-ES_tradnl" w:eastAsia="es-ES"/>
        </w:rPr>
        <w:t>“</w:t>
      </w:r>
      <w:r w:rsidRPr="00CE578C">
        <w:rPr>
          <w:rFonts w:ascii="ITC Avant Garde" w:hAnsi="ITC Avant Garde"/>
          <w:b/>
          <w:color w:val="auto"/>
          <w:sz w:val="20"/>
          <w:szCs w:val="20"/>
          <w:lang w:val="es-ES_tradnl" w:eastAsia="es-ES"/>
        </w:rPr>
        <w:t xml:space="preserve">XII. </w:t>
      </w:r>
      <w:r w:rsidRPr="00CE578C">
        <w:rPr>
          <w:rStyle w:val="IFTnormalCar"/>
          <w:color w:val="auto"/>
        </w:rPr>
        <w:t>STAR: Servicio de televisión y audio restringidos ofrecido de manera individual o empaquetado con otros servicios de telecomunicaciones fijas (servicio de banda ancha fija y/o servicio de telefonía fija).</w:t>
      </w:r>
    </w:p>
    <w:p w14:paraId="78378D9D" w14:textId="691ABAF8" w:rsidR="005E7AC2" w:rsidRDefault="005E7AC2" w:rsidP="00CE578C">
      <w:pPr>
        <w:pStyle w:val="Cita"/>
        <w:jc w:val="both"/>
        <w:rPr>
          <w:rStyle w:val="IFTnormalCar"/>
          <w:color w:val="auto"/>
        </w:rPr>
      </w:pPr>
      <w:r w:rsidRPr="0060308A">
        <w:rPr>
          <w:rStyle w:val="IFTnormalCar"/>
          <w:color w:val="auto"/>
        </w:rPr>
        <w:t>Los términos anteriormente definidos podrán utilizarse indistintamente en singular o plural, mayúsculas o minúsculas. Asimismo, los términos, estándares, formatos, interfaces y protocolos no definidos en las presentes obligaciones tendrán el significado establecido en la LFTR, en las demás disposiciones aplicables, las recomendaciones de la Unión Internacional de Telecomunicaciones, o en su defecto, las recomendaciones emitidas por organismos internacionales reconocidos que resulten aplicables.”</w:t>
      </w:r>
    </w:p>
    <w:p w14:paraId="4183A392" w14:textId="32BAA180" w:rsidR="0026384F" w:rsidRDefault="0026384F" w:rsidP="0026384F">
      <w:pPr>
        <w:jc w:val="both"/>
        <w:rPr>
          <w:rStyle w:val="IFTnormalCar"/>
        </w:rPr>
      </w:pPr>
      <w:r w:rsidRPr="0026384F">
        <w:rPr>
          <w:rStyle w:val="IFTnormalCar"/>
        </w:rPr>
        <w:lastRenderedPageBreak/>
        <w:t>En c</w:t>
      </w:r>
      <w:r>
        <w:rPr>
          <w:rStyle w:val="IFTnormalCar"/>
        </w:rPr>
        <w:t xml:space="preserve">onsecuencia, el Instituto desarrolló el Modelo de Costos Evitados a efecto de determinar las tarifas correspondientes al SMR del STAR. </w:t>
      </w:r>
    </w:p>
    <w:p w14:paraId="0EB88A67" w14:textId="1E5C7ACD" w:rsidR="00E920E0" w:rsidRDefault="00A16627" w:rsidP="00181D64">
      <w:pPr>
        <w:pStyle w:val="Ttulo1"/>
        <w:numPr>
          <w:ilvl w:val="0"/>
          <w:numId w:val="7"/>
        </w:numPr>
        <w:spacing w:after="240"/>
        <w:ind w:left="357" w:hanging="357"/>
        <w:rPr>
          <w:rStyle w:val="IFTnormalCar"/>
          <w:b/>
          <w:bCs w:val="0"/>
          <w:color w:val="auto"/>
          <w:sz w:val="24"/>
          <w:szCs w:val="24"/>
        </w:rPr>
      </w:pPr>
      <w:bookmarkStart w:id="1" w:name="_Toc180330884"/>
      <w:bookmarkStart w:id="2" w:name="_Toc180330940"/>
      <w:bookmarkStart w:id="3" w:name="_Toc180330372"/>
      <w:bookmarkStart w:id="4" w:name="_Toc180330885"/>
      <w:bookmarkStart w:id="5" w:name="_Toc180330941"/>
      <w:bookmarkStart w:id="6" w:name="_Toc114513047"/>
      <w:bookmarkStart w:id="7" w:name="_Toc180491368"/>
      <w:bookmarkEnd w:id="1"/>
      <w:bookmarkEnd w:id="2"/>
      <w:bookmarkEnd w:id="3"/>
      <w:bookmarkEnd w:id="4"/>
      <w:bookmarkEnd w:id="5"/>
      <w:r>
        <w:rPr>
          <w:rStyle w:val="IFTnormalCar"/>
          <w:b/>
          <w:bCs w:val="0"/>
          <w:color w:val="auto"/>
          <w:sz w:val="24"/>
          <w:szCs w:val="24"/>
        </w:rPr>
        <w:t>Introducción</w:t>
      </w:r>
      <w:bookmarkEnd w:id="6"/>
      <w:bookmarkEnd w:id="7"/>
    </w:p>
    <w:p w14:paraId="5CDFDA0C" w14:textId="29F84D46" w:rsidR="00A16627" w:rsidRDefault="00D1102E" w:rsidP="00A16627">
      <w:pPr>
        <w:jc w:val="both"/>
        <w:rPr>
          <w:rFonts w:ascii="ITC Avant Garde" w:hAnsi="ITC Avant Garde"/>
        </w:rPr>
      </w:pPr>
      <w:r>
        <w:rPr>
          <w:rFonts w:ascii="ITC Avant Garde" w:hAnsi="ITC Avant Garde"/>
        </w:rPr>
        <w:t>En términos de lo señalado en la sección anterior, e</w:t>
      </w:r>
      <w:r w:rsidR="00A16627">
        <w:rPr>
          <w:rFonts w:ascii="ITC Avant Garde" w:hAnsi="ITC Avant Garde"/>
        </w:rPr>
        <w:t xml:space="preserve">l presente documento tiene el objetivo de describir </w:t>
      </w:r>
      <w:r w:rsidR="00D079C1">
        <w:rPr>
          <w:rFonts w:ascii="ITC Avant Garde" w:hAnsi="ITC Avant Garde"/>
        </w:rPr>
        <w:t>la metodología</w:t>
      </w:r>
      <w:r w:rsidR="00A16627">
        <w:rPr>
          <w:rFonts w:ascii="ITC Avant Garde" w:hAnsi="ITC Avant Garde"/>
        </w:rPr>
        <w:t>,</w:t>
      </w:r>
      <w:r w:rsidR="00890E09">
        <w:rPr>
          <w:rFonts w:ascii="ITC Avant Garde" w:hAnsi="ITC Avant Garde"/>
        </w:rPr>
        <w:t xml:space="preserve"> </w:t>
      </w:r>
      <w:r w:rsidR="00A16627" w:rsidRPr="00A16627">
        <w:rPr>
          <w:rFonts w:ascii="ITC Avant Garde" w:hAnsi="ITC Avant Garde"/>
        </w:rPr>
        <w:t>así como la estructura y flujo de cálculo del Modelo de Costos Evitados</w:t>
      </w:r>
      <w:r>
        <w:rPr>
          <w:rFonts w:ascii="ITC Avant Garde" w:hAnsi="ITC Avant Garde"/>
        </w:rPr>
        <w:t xml:space="preserve"> por medio del cual se determinarán las tarifas del SMR del STAR</w:t>
      </w:r>
      <w:r w:rsidR="00D079C1">
        <w:rPr>
          <w:rFonts w:ascii="ITC Avant Garde" w:hAnsi="ITC Avant Garde"/>
        </w:rPr>
        <w:t>.</w:t>
      </w:r>
      <w:r w:rsidR="00A16627" w:rsidRPr="00A16627">
        <w:rPr>
          <w:rFonts w:ascii="ITC Avant Garde" w:hAnsi="ITC Avant Garde"/>
        </w:rPr>
        <w:t xml:space="preserve"> </w:t>
      </w:r>
      <w:r w:rsidR="00D079C1">
        <w:rPr>
          <w:rFonts w:ascii="ITC Avant Garde" w:hAnsi="ITC Avant Garde"/>
        </w:rPr>
        <w:t>A</w:t>
      </w:r>
      <w:r w:rsidR="00A16627" w:rsidRPr="00A16627">
        <w:rPr>
          <w:rFonts w:ascii="ITC Avant Garde" w:hAnsi="ITC Avant Garde"/>
        </w:rPr>
        <w:t>demás de presentar los resultados preliminares obtenidos</w:t>
      </w:r>
      <w:r w:rsidR="00A16627">
        <w:rPr>
          <w:rFonts w:ascii="ITC Avant Garde" w:hAnsi="ITC Avant Garde"/>
        </w:rPr>
        <w:t>.</w:t>
      </w:r>
    </w:p>
    <w:p w14:paraId="0102E1CD" w14:textId="7A26C5D6" w:rsidR="00A16627" w:rsidRDefault="00A16627" w:rsidP="00A16627">
      <w:pPr>
        <w:jc w:val="both"/>
        <w:rPr>
          <w:rFonts w:ascii="ITC Avant Garde" w:hAnsi="ITC Avant Garde"/>
        </w:rPr>
      </w:pPr>
      <w:r w:rsidRPr="00A16627">
        <w:rPr>
          <w:rFonts w:ascii="ITC Avant Garde" w:hAnsi="ITC Avant Garde"/>
        </w:rPr>
        <w:t xml:space="preserve">En vista de ello, el Instituto considera conveniente someter el Modelo de Costos Evitados a </w:t>
      </w:r>
      <w:r w:rsidR="00CC7684">
        <w:rPr>
          <w:rFonts w:ascii="ITC Avant Garde" w:hAnsi="ITC Avant Garde"/>
        </w:rPr>
        <w:t>C</w:t>
      </w:r>
      <w:r w:rsidRPr="00A16627">
        <w:rPr>
          <w:rFonts w:ascii="ITC Avant Garde" w:hAnsi="ITC Avant Garde"/>
        </w:rPr>
        <w:t xml:space="preserve">onsulta </w:t>
      </w:r>
      <w:r w:rsidR="00CC7684">
        <w:rPr>
          <w:rFonts w:ascii="ITC Avant Garde" w:hAnsi="ITC Avant Garde"/>
        </w:rPr>
        <w:t>P</w:t>
      </w:r>
      <w:r w:rsidRPr="00A16627">
        <w:rPr>
          <w:rFonts w:ascii="ITC Avant Garde" w:hAnsi="ITC Avant Garde"/>
        </w:rPr>
        <w:t>ública a efecto de recabar comentarios, opiniones y aportaciones de información que ayuden a ajustar su implementación y calibración.</w:t>
      </w:r>
    </w:p>
    <w:p w14:paraId="1011D86F" w14:textId="4C9554CA" w:rsidR="00A16627" w:rsidRDefault="00A16627" w:rsidP="00A16627">
      <w:pPr>
        <w:jc w:val="both"/>
        <w:rPr>
          <w:rFonts w:ascii="ITC Avant Garde" w:hAnsi="ITC Avant Garde"/>
        </w:rPr>
      </w:pPr>
      <w:r>
        <w:rPr>
          <w:rFonts w:ascii="ITC Avant Garde" w:hAnsi="ITC Avant Garde"/>
        </w:rPr>
        <w:t xml:space="preserve">Para este ejercicio se considera de la mayor relevancia dar a conocer las principales </w:t>
      </w:r>
      <w:r w:rsidR="00D1102E">
        <w:rPr>
          <w:rFonts w:ascii="ITC Avant Garde" w:hAnsi="ITC Avant Garde"/>
        </w:rPr>
        <w:t xml:space="preserve">consideraciones </w:t>
      </w:r>
      <w:r>
        <w:rPr>
          <w:rFonts w:ascii="ITC Avant Garde" w:hAnsi="ITC Avant Garde"/>
        </w:rPr>
        <w:t>respecto a los parámetros y referencias de costos evitados</w:t>
      </w:r>
      <w:r w:rsidR="009B385D">
        <w:rPr>
          <w:rFonts w:ascii="ITC Avant Garde" w:hAnsi="ITC Avant Garde"/>
        </w:rPr>
        <w:t xml:space="preserve"> utilizados</w:t>
      </w:r>
      <w:r>
        <w:rPr>
          <w:rFonts w:ascii="ITC Avant Garde" w:hAnsi="ITC Avant Garde"/>
        </w:rPr>
        <w:t xml:space="preserve">, a partir del enfoque de precios de referencia y precios implícitos. </w:t>
      </w:r>
    </w:p>
    <w:p w14:paraId="7ED6BD2E" w14:textId="0E79963E" w:rsidR="00A16627" w:rsidRDefault="00A16627" w:rsidP="00A16627">
      <w:pPr>
        <w:pStyle w:val="IFTnormal"/>
      </w:pPr>
      <w:r>
        <w:t xml:space="preserve">Para ello, la estructura </w:t>
      </w:r>
      <w:r w:rsidR="00600401">
        <w:t xml:space="preserve">de la presente </w:t>
      </w:r>
      <w:r w:rsidR="00CC7684">
        <w:t>C</w:t>
      </w:r>
      <w:r w:rsidR="00600401">
        <w:t xml:space="preserve">onsulta </w:t>
      </w:r>
      <w:r w:rsidR="00CC7684">
        <w:t>P</w:t>
      </w:r>
      <w:r w:rsidR="00600401">
        <w:t>ública</w:t>
      </w:r>
      <w:r>
        <w:t xml:space="preserve"> se ha organizado mediante diversos capítulos cuyo contenido se resume como sigue:</w:t>
      </w:r>
    </w:p>
    <w:p w14:paraId="0F2494CF" w14:textId="67928212" w:rsidR="00A16627" w:rsidRDefault="00A16627" w:rsidP="00F83047">
      <w:pPr>
        <w:pStyle w:val="IFTnormal"/>
        <w:numPr>
          <w:ilvl w:val="0"/>
          <w:numId w:val="29"/>
        </w:numPr>
      </w:pPr>
      <w:r>
        <w:rPr>
          <w:b/>
        </w:rPr>
        <w:t>Metodología. -</w:t>
      </w:r>
      <w:r>
        <w:t xml:space="preserve"> Describe de manera general los principios metodológicos y de implementación para el desarrollo del Modelo de Costos Evitados.</w:t>
      </w:r>
    </w:p>
    <w:p w14:paraId="096D8FDC" w14:textId="0DB98A72" w:rsidR="00A16627" w:rsidRDefault="00A16627" w:rsidP="00F83047">
      <w:pPr>
        <w:pStyle w:val="IFTnormal"/>
        <w:numPr>
          <w:ilvl w:val="0"/>
          <w:numId w:val="29"/>
        </w:numPr>
      </w:pPr>
      <w:r>
        <w:rPr>
          <w:b/>
        </w:rPr>
        <w:t>Presentación del modelo Excel. -</w:t>
      </w:r>
      <w:r>
        <w:t xml:space="preserve"> Contiene una descripción de las hojas de cálculo que conforman al Modelo de Costos Evitados.</w:t>
      </w:r>
    </w:p>
    <w:p w14:paraId="4B34A969" w14:textId="44C6A30E" w:rsidR="00A16627" w:rsidRDefault="00A16627" w:rsidP="00F83047">
      <w:pPr>
        <w:pStyle w:val="IFTnormal"/>
        <w:numPr>
          <w:ilvl w:val="0"/>
          <w:numId w:val="29"/>
        </w:numPr>
      </w:pPr>
      <w:r>
        <w:rPr>
          <w:b/>
        </w:rPr>
        <w:t xml:space="preserve">Presentación de resultados. - </w:t>
      </w:r>
      <w:r>
        <w:t>Se presentan los resultados obtenidos por el Modelo</w:t>
      </w:r>
      <w:r w:rsidR="00B87E25">
        <w:t xml:space="preserve"> de Costos Evitados</w:t>
      </w:r>
      <w:r>
        <w:t>, en términos de los niveles de costos evitados estimados para los servicios.</w:t>
      </w:r>
      <w:bookmarkStart w:id="8" w:name="_Toc525142204"/>
      <w:bookmarkEnd w:id="8"/>
    </w:p>
    <w:p w14:paraId="20C5525F" w14:textId="1BF38B0F" w:rsidR="00A16627" w:rsidRPr="00A16627" w:rsidRDefault="00A16627" w:rsidP="00A16627">
      <w:pPr>
        <w:jc w:val="both"/>
        <w:rPr>
          <w:rFonts w:ascii="ITC Avant Garde" w:hAnsi="ITC Avant Garde"/>
        </w:rPr>
      </w:pPr>
      <w:r w:rsidRPr="00A16627">
        <w:rPr>
          <w:rFonts w:ascii="ITC Avant Garde" w:hAnsi="ITC Avant Garde"/>
        </w:rPr>
        <w:t xml:space="preserve">En complemento, se destaca que con el objetivo de preservar la confidencialidad de la información aportada </w:t>
      </w:r>
      <w:r w:rsidR="0033168B">
        <w:rPr>
          <w:rFonts w:ascii="ITC Avant Garde" w:hAnsi="ITC Avant Garde"/>
        </w:rPr>
        <w:t xml:space="preserve">por </w:t>
      </w:r>
      <w:r w:rsidR="00D1102E">
        <w:rPr>
          <w:rFonts w:ascii="ITC Avant Garde" w:hAnsi="ITC Avant Garde"/>
        </w:rPr>
        <w:t>el APSM</w:t>
      </w:r>
      <w:r w:rsidR="0033168B">
        <w:rPr>
          <w:rFonts w:ascii="ITC Avant Garde" w:hAnsi="ITC Avant Garde"/>
        </w:rPr>
        <w:t xml:space="preserve"> </w:t>
      </w:r>
      <w:r w:rsidRPr="00A16627">
        <w:rPr>
          <w:rFonts w:ascii="ITC Avant Garde" w:hAnsi="ITC Avant Garde"/>
        </w:rPr>
        <w:t>durante la fase de construcción del modelo se han modificado los datos de entrada, aplicando un factor aleatorio. Para facilitar la identificación de aquellos datos sometidos a dicho proceso, las celdas del archivo Excel al que corresponde el modelo de costos se han marcado con un fondo en color rosado, tal como se muestra a continuación:</w:t>
      </w:r>
    </w:p>
    <w:p w14:paraId="4CF5DA95" w14:textId="6C9498ED" w:rsidR="00A16627" w:rsidRPr="00A16627" w:rsidRDefault="00A16627" w:rsidP="00A16627">
      <w:pPr>
        <w:jc w:val="center"/>
        <w:rPr>
          <w:rFonts w:ascii="ITC Avant Garde" w:hAnsi="ITC Avant Garde"/>
        </w:rPr>
      </w:pPr>
      <w:r>
        <w:rPr>
          <w:noProof/>
        </w:rPr>
        <w:drawing>
          <wp:inline distT="0" distB="0" distL="0" distR="0" wp14:anchorId="67A3D003" wp14:editId="126FF848">
            <wp:extent cx="4874260" cy="330200"/>
            <wp:effectExtent l="0" t="0" r="0" b="0"/>
            <wp:docPr id="9" name="Imagen 13"/>
            <wp:cNvGraphicFramePr/>
            <a:graphic xmlns:a="http://schemas.openxmlformats.org/drawingml/2006/main">
              <a:graphicData uri="http://schemas.openxmlformats.org/drawingml/2006/picture">
                <pic:pic xmlns:pic="http://schemas.openxmlformats.org/drawingml/2006/picture">
                  <pic:nvPicPr>
                    <pic:cNvPr id="9" name="Imagen 13"/>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4260" cy="330200"/>
                    </a:xfrm>
                    <a:prstGeom prst="rect">
                      <a:avLst/>
                    </a:prstGeom>
                    <a:noFill/>
                    <a:ln>
                      <a:noFill/>
                    </a:ln>
                  </pic:spPr>
                </pic:pic>
              </a:graphicData>
            </a:graphic>
          </wp:inline>
        </w:drawing>
      </w:r>
    </w:p>
    <w:p w14:paraId="491F0688" w14:textId="50D005E3" w:rsidR="00FA1C79" w:rsidRPr="005F00B2" w:rsidRDefault="00FA1C79" w:rsidP="005F00B2">
      <w:pPr>
        <w:pStyle w:val="Figura"/>
        <w:spacing w:before="0" w:after="240" w:line="259" w:lineRule="auto"/>
        <w:jc w:val="both"/>
        <w:rPr>
          <w:rFonts w:cs="Arial"/>
          <w:bCs/>
          <w:szCs w:val="18"/>
        </w:rPr>
      </w:pPr>
      <w:r w:rsidRPr="005F00B2">
        <w:rPr>
          <w:rFonts w:cs="Arial"/>
          <w:bCs/>
          <w:szCs w:val="18"/>
        </w:rPr>
        <w:t>Esquema con el que se indica en el modelo de costos aquellas celdas cuyos valores se han modificado para preservar la confidencialidad de los valores aportados</w:t>
      </w:r>
      <w:r w:rsidR="00E6389D">
        <w:rPr>
          <w:rFonts w:cs="Arial"/>
          <w:bCs/>
          <w:szCs w:val="18"/>
        </w:rPr>
        <w:t>.</w:t>
      </w:r>
    </w:p>
    <w:p w14:paraId="05EEFAB6" w14:textId="61DD9A68" w:rsidR="00A16627" w:rsidRDefault="00A16627" w:rsidP="00A16627">
      <w:pPr>
        <w:jc w:val="both"/>
        <w:rPr>
          <w:rFonts w:ascii="ITC Avant Garde" w:hAnsi="ITC Avant Garde"/>
        </w:rPr>
      </w:pPr>
      <w:r w:rsidRPr="00A16627">
        <w:rPr>
          <w:rFonts w:ascii="ITC Avant Garde" w:hAnsi="ITC Avant Garde"/>
        </w:rPr>
        <w:t xml:space="preserve">Finalmente, se destaca que para la implementación del modelo en cuestión se ha considerado principalmente la información aportada por </w:t>
      </w:r>
      <w:r w:rsidR="00D1102E">
        <w:rPr>
          <w:rFonts w:ascii="ITC Avant Garde" w:hAnsi="ITC Avant Garde"/>
        </w:rPr>
        <w:t>el APSM</w:t>
      </w:r>
      <w:r w:rsidRPr="00A16627">
        <w:rPr>
          <w:rFonts w:ascii="ITC Avant Garde" w:hAnsi="ITC Avant Garde"/>
        </w:rPr>
        <w:t xml:space="preserve">, y que en </w:t>
      </w:r>
      <w:r w:rsidRPr="00A16627">
        <w:rPr>
          <w:rFonts w:ascii="ITC Avant Garde" w:hAnsi="ITC Avant Garde"/>
        </w:rPr>
        <w:lastRenderedPageBreak/>
        <w:t>aquellos casos en que los datos aportados no fueron debidamente justificados se realizaron los ajustes necesarios a partir de estimaciones propias.</w:t>
      </w:r>
    </w:p>
    <w:p w14:paraId="0D60B682" w14:textId="4E99650A" w:rsidR="00181D64" w:rsidRPr="00523452" w:rsidRDefault="00890E09" w:rsidP="00181D64">
      <w:pPr>
        <w:pStyle w:val="Ttulo1"/>
        <w:numPr>
          <w:ilvl w:val="0"/>
          <w:numId w:val="7"/>
        </w:numPr>
        <w:spacing w:after="240"/>
        <w:ind w:left="357" w:hanging="357"/>
        <w:rPr>
          <w:rStyle w:val="IFTnormalCar"/>
          <w:b/>
          <w:bCs w:val="0"/>
          <w:color w:val="auto"/>
          <w:sz w:val="24"/>
          <w:szCs w:val="24"/>
        </w:rPr>
      </w:pPr>
      <w:bookmarkStart w:id="9" w:name="_Toc178182650"/>
      <w:bookmarkStart w:id="10" w:name="_Toc114513048"/>
      <w:bookmarkStart w:id="11" w:name="_Toc180491369"/>
      <w:bookmarkEnd w:id="9"/>
      <w:r>
        <w:rPr>
          <w:rStyle w:val="IFTnormalCar"/>
          <w:b/>
          <w:color w:val="auto"/>
          <w:sz w:val="24"/>
          <w:szCs w:val="24"/>
        </w:rPr>
        <w:t>M</w:t>
      </w:r>
      <w:r w:rsidR="00181D64" w:rsidRPr="00523452">
        <w:rPr>
          <w:rStyle w:val="IFTnormalCar"/>
          <w:b/>
          <w:color w:val="auto"/>
          <w:sz w:val="24"/>
          <w:szCs w:val="24"/>
        </w:rPr>
        <w:t>etodología del Modelo de Costos Evitados</w:t>
      </w:r>
      <w:bookmarkEnd w:id="10"/>
      <w:bookmarkEnd w:id="11"/>
    </w:p>
    <w:p w14:paraId="391831F5" w14:textId="6A478190" w:rsidR="0046688C" w:rsidRPr="00523452" w:rsidRDefault="005D0916" w:rsidP="00181D64">
      <w:pPr>
        <w:pStyle w:val="IFTnormal"/>
      </w:pPr>
      <w:r>
        <w:t xml:space="preserve">En esta sección se aborda el enfoque conceptual, desde una perspectiva metodológica, que se </w:t>
      </w:r>
      <w:r w:rsidR="00140901">
        <w:t>ha tomado como referencia a partir del enfoque adoptado por el Instituto</w:t>
      </w:r>
      <w:r w:rsidR="00B01A64">
        <w:rPr>
          <w:rStyle w:val="Refdenotaalpie"/>
        </w:rPr>
        <w:footnoteReference w:id="2"/>
      </w:r>
      <w:r w:rsidR="00140901">
        <w:t>, acorde con el alcance y características particulares del SMR del STAR</w:t>
      </w:r>
      <w:r w:rsidR="00700ABD">
        <w:t xml:space="preserve">, conforme a lo establecido en la </w:t>
      </w:r>
      <w:r w:rsidR="00792E5C">
        <w:t>O</w:t>
      </w:r>
      <w:r w:rsidR="00255223" w:rsidRPr="00EA3EF1">
        <w:t>bligación</w:t>
      </w:r>
      <w:r w:rsidR="00255223">
        <w:t xml:space="preserve"> </w:t>
      </w:r>
      <w:r w:rsidR="00E2230B">
        <w:t>QUINTA</w:t>
      </w:r>
      <w:r w:rsidR="00700ABD">
        <w:t xml:space="preserve"> de</w:t>
      </w:r>
      <w:r w:rsidR="00E2230B">
        <w:t>l Anexo Único de la Resolución de Obligaciones Específicas</w:t>
      </w:r>
      <w:r w:rsidR="00700ABD">
        <w:t xml:space="preserve"> para determinar las tarifas </w:t>
      </w:r>
      <w:r w:rsidR="00140901">
        <w:t>del SMR</w:t>
      </w:r>
      <w:r w:rsidR="00F83047">
        <w:t>.</w:t>
      </w:r>
    </w:p>
    <w:p w14:paraId="0B70A021" w14:textId="1A06D849" w:rsidR="00822B41" w:rsidRPr="00585213" w:rsidRDefault="00F14F99" w:rsidP="00585213">
      <w:pPr>
        <w:pStyle w:val="Ttulo2"/>
        <w:numPr>
          <w:ilvl w:val="1"/>
          <w:numId w:val="7"/>
        </w:numPr>
        <w:ind w:left="426" w:hanging="360"/>
        <w:rPr>
          <w:rStyle w:val="IFTnormalCar"/>
          <w:bCs/>
          <w:color w:val="auto"/>
          <w:lang w:val="es-MX"/>
        </w:rPr>
      </w:pPr>
      <w:bookmarkStart w:id="12" w:name="_Toc114513049"/>
      <w:bookmarkStart w:id="13" w:name="_Toc180491370"/>
      <w:r>
        <w:rPr>
          <w:rStyle w:val="IFTnormalCar"/>
          <w:color w:val="auto"/>
          <w:lang w:val="es-MX"/>
        </w:rPr>
        <w:t>Servicios STAR</w:t>
      </w:r>
      <w:bookmarkEnd w:id="12"/>
      <w:bookmarkEnd w:id="13"/>
    </w:p>
    <w:p w14:paraId="628BAA35" w14:textId="735D5C2B" w:rsidR="00822B41" w:rsidRDefault="00822B41" w:rsidP="00822B41">
      <w:pPr>
        <w:pStyle w:val="IFTnormal"/>
      </w:pPr>
      <w:bookmarkStart w:id="14" w:name="_Hlk114471365"/>
      <w:r>
        <w:t>Como parte de la regulación impuesta por el Instituto</w:t>
      </w:r>
      <w:r w:rsidR="0051002A">
        <w:t xml:space="preserve">, </w:t>
      </w:r>
      <w:r w:rsidR="0060308A">
        <w:t>el APSM</w:t>
      </w:r>
      <w:r w:rsidR="00784BEB">
        <w:t xml:space="preserve"> </w:t>
      </w:r>
      <w:r>
        <w:t xml:space="preserve">se encuentra obligado a presentar una oferta de referencia de servicios de </w:t>
      </w:r>
      <w:r w:rsidR="00E2230B">
        <w:t>reventa del STAR</w:t>
      </w:r>
      <w:r>
        <w:t xml:space="preserve">, la cual debe ser aprobada o modificada por el Pleno del Instituto. Mediante dicha oferta de referencia se deben plasmar los términos y condiciones bajo los cuales </w:t>
      </w:r>
      <w:r w:rsidR="0011296A">
        <w:t>se</w:t>
      </w:r>
      <w:r>
        <w:t xml:space="preserve"> ofrece el </w:t>
      </w:r>
      <w:r w:rsidR="00EF7DBB">
        <w:t xml:space="preserve">STAR </w:t>
      </w:r>
      <w:r>
        <w:t xml:space="preserve">a los </w:t>
      </w:r>
      <w:r w:rsidR="006D2A56">
        <w:t>CS</w:t>
      </w:r>
      <w:r>
        <w:t xml:space="preserve"> a través </w:t>
      </w:r>
      <w:r w:rsidR="001A2A85">
        <w:t>del SMR</w:t>
      </w:r>
      <w:r>
        <w:t>.</w:t>
      </w:r>
    </w:p>
    <w:p w14:paraId="1E7B4D4D" w14:textId="5435E4C5" w:rsidR="0026384F" w:rsidRDefault="0026384F" w:rsidP="00822B41">
      <w:pPr>
        <w:pStyle w:val="IFTnormal"/>
      </w:pPr>
      <w:r>
        <w:t>De esta manera, las tarifas aplicables al SMR serán determinadas con base en el Modelo de Costos Evitados que se presenta a continuación.</w:t>
      </w:r>
    </w:p>
    <w:p w14:paraId="187CFE16" w14:textId="112F2DEA" w:rsidR="00181D64" w:rsidRPr="00CA2F00" w:rsidRDefault="006231C5" w:rsidP="00CA2F00">
      <w:pPr>
        <w:pStyle w:val="Ttulo2"/>
        <w:numPr>
          <w:ilvl w:val="1"/>
          <w:numId w:val="7"/>
        </w:numPr>
        <w:ind w:left="426" w:hanging="360"/>
        <w:rPr>
          <w:rStyle w:val="IFTnormalCar"/>
          <w:bCs/>
          <w:color w:val="auto"/>
          <w:sz w:val="22"/>
          <w:szCs w:val="22"/>
          <w:lang w:val="es-MX"/>
        </w:rPr>
      </w:pPr>
      <w:bookmarkStart w:id="15" w:name="_Toc114513050"/>
      <w:bookmarkStart w:id="16" w:name="_Toc180491371"/>
      <w:bookmarkEnd w:id="14"/>
      <w:r>
        <w:rPr>
          <w:rStyle w:val="IFTnormalCar"/>
          <w:color w:val="auto"/>
          <w:lang w:val="es-MX"/>
        </w:rPr>
        <w:t>Sobre</w:t>
      </w:r>
      <w:r w:rsidR="002428B4" w:rsidRPr="001C39B2">
        <w:rPr>
          <w:rStyle w:val="IFTnormalCar"/>
          <w:color w:val="auto"/>
          <w:lang w:val="es-MX"/>
        </w:rPr>
        <w:t xml:space="preserve"> la metodología de </w:t>
      </w:r>
      <w:r w:rsidR="00F70528">
        <w:rPr>
          <w:rStyle w:val="IFTnormalCar"/>
          <w:color w:val="auto"/>
          <w:lang w:val="es-MX"/>
        </w:rPr>
        <w:t>c</w:t>
      </w:r>
      <w:r w:rsidR="002428B4" w:rsidRPr="001C39B2">
        <w:rPr>
          <w:rStyle w:val="IFTnormalCar"/>
          <w:color w:val="auto"/>
          <w:lang w:val="es-MX"/>
        </w:rPr>
        <w:t xml:space="preserve">ostos </w:t>
      </w:r>
      <w:r w:rsidR="00F70528">
        <w:rPr>
          <w:rStyle w:val="IFTnormalCar"/>
          <w:color w:val="auto"/>
          <w:lang w:val="es-MX"/>
        </w:rPr>
        <w:t>e</w:t>
      </w:r>
      <w:r w:rsidR="002428B4" w:rsidRPr="001C39B2">
        <w:rPr>
          <w:rStyle w:val="IFTnormalCar"/>
          <w:color w:val="auto"/>
          <w:lang w:val="es-MX"/>
        </w:rPr>
        <w:t>vitados</w:t>
      </w:r>
      <w:bookmarkEnd w:id="15"/>
      <w:r>
        <w:rPr>
          <w:rStyle w:val="IFTnormalCar"/>
          <w:color w:val="auto"/>
          <w:lang w:val="es-MX"/>
        </w:rPr>
        <w:t xml:space="preserve"> (</w:t>
      </w:r>
      <w:r w:rsidRPr="006231C5">
        <w:rPr>
          <w:rStyle w:val="IFTnormalCar"/>
          <w:i/>
          <w:color w:val="auto"/>
          <w:lang w:val="es-MX"/>
        </w:rPr>
        <w:t>retail minus</w:t>
      </w:r>
      <w:r>
        <w:rPr>
          <w:rStyle w:val="IFTnormalCar"/>
          <w:color w:val="auto"/>
          <w:lang w:val="es-MX"/>
        </w:rPr>
        <w:t>)</w:t>
      </w:r>
      <w:bookmarkEnd w:id="16"/>
    </w:p>
    <w:p w14:paraId="0BD74B6B" w14:textId="2DFCC58D" w:rsidR="002428B4" w:rsidRDefault="002428B4" w:rsidP="00181D64">
      <w:pPr>
        <w:pStyle w:val="IFTnormal"/>
      </w:pPr>
      <w:r>
        <w:t>El objetivo del Modelo de Costos Evitados es estimar las tarifas de los servicios de reventa de</w:t>
      </w:r>
      <w:r w:rsidR="00F27234">
        <w:t xml:space="preserve">l APSM </w:t>
      </w:r>
      <w:r>
        <w:t>mediante la implementación de una metodología de costos evitados (</w:t>
      </w:r>
      <w:r w:rsidRPr="00A55E62">
        <w:rPr>
          <w:i/>
          <w:iCs/>
        </w:rPr>
        <w:t>retail minus</w:t>
      </w:r>
      <w:r>
        <w:t>), la cual permite establecer niveles tarifarios de dichos servicios mayoristas en función de precios o tarifas minoristas, sin necesidad de conocer los costos asociados a la infraestructura requerida para prestar dichos servicios.</w:t>
      </w:r>
    </w:p>
    <w:p w14:paraId="6D4C7E69" w14:textId="347D1FE7" w:rsidR="00181D64" w:rsidRPr="00523452" w:rsidRDefault="00181D64" w:rsidP="00181D64">
      <w:pPr>
        <w:pStyle w:val="IFTnormal"/>
      </w:pPr>
      <w:r w:rsidRPr="00523452">
        <w:t>La base teórica de la metodología de costos evitados tiene como principio asegurar que exista un margen suficiente entre el nivel de tarifas mayoristas y los precios minoristas para que un “operador eficiente” pueda ofrecer, en el mercado minorista, servicios competitivos con la oferta comercial del</w:t>
      </w:r>
      <w:r w:rsidR="00F27234">
        <w:t xml:space="preserve"> APSM</w:t>
      </w:r>
      <w:r w:rsidRPr="00523452">
        <w:t>.</w:t>
      </w:r>
    </w:p>
    <w:p w14:paraId="2A9A7264" w14:textId="787A82CE" w:rsidR="00181D64" w:rsidRPr="00523452" w:rsidRDefault="00181D64" w:rsidP="00181D64">
      <w:pPr>
        <w:pStyle w:val="IFTnormal"/>
      </w:pPr>
      <w:r w:rsidRPr="00523452">
        <w:t xml:space="preserve">Cabe destacar que este enfoque metodológico hace uso de dos elementos: 1) un </w:t>
      </w:r>
      <w:r w:rsidRPr="00523452">
        <w:rPr>
          <w:b/>
        </w:rPr>
        <w:t>precio de referencia</w:t>
      </w:r>
      <w:r w:rsidRPr="00523452">
        <w:t xml:space="preserve"> asociado a un producto o servicio ofrecido por el operador </w:t>
      </w:r>
      <w:r w:rsidRPr="00523452">
        <w:lastRenderedPageBreak/>
        <w:t>en el mercado minorista, y 2) un conjunto de costos en los que e</w:t>
      </w:r>
      <w:r w:rsidR="001607E1">
        <w:t>ste</w:t>
      </w:r>
      <w:r w:rsidRPr="00523452">
        <w:t xml:space="preserve"> operador dejaría de incurrir si prestara dicho producto o servicio s</w:t>
      </w:r>
      <w:r w:rsidR="00F70528">
        <w:t>o</w:t>
      </w:r>
      <w:r w:rsidRPr="00523452">
        <w:t>lo en el mercado mayorista (estos últimos conceptos de costos es lo que se suelen denominar “</w:t>
      </w:r>
      <w:r w:rsidRPr="00523452">
        <w:rPr>
          <w:b/>
        </w:rPr>
        <w:t>costos evitados</w:t>
      </w:r>
      <w:r w:rsidRPr="00523452">
        <w:t>”). En este sentido, la tarifa del servicio mayorista correspondiente se determina descontando al precio de referencia los costos evitados.</w:t>
      </w:r>
    </w:p>
    <w:p w14:paraId="02231DB4" w14:textId="7007987C" w:rsidR="00181D64" w:rsidRPr="00523452" w:rsidRDefault="00181D64" w:rsidP="00181D64">
      <w:pPr>
        <w:pStyle w:val="IFTnormal"/>
        <w:rPr>
          <w:iCs/>
        </w:rPr>
      </w:pPr>
      <w:r w:rsidRPr="00523452">
        <w:t xml:space="preserve">Lo anterior se puede </w:t>
      </w:r>
      <w:r w:rsidR="00F70528">
        <w:t>conceptualizar</w:t>
      </w:r>
      <w:r w:rsidR="00F70528" w:rsidRPr="00523452">
        <w:t xml:space="preserve"> </w:t>
      </w:r>
      <w:r w:rsidRPr="00523452">
        <w:t xml:space="preserve">aplicando un esquema del tipo </w:t>
      </w:r>
      <m:oMath>
        <m:sSup>
          <m:sSupPr>
            <m:ctrlPr>
              <w:rPr>
                <w:rFonts w:ascii="Cambria Math" w:hAnsi="Cambria Math"/>
                <w:b/>
              </w:rPr>
            </m:ctrlPr>
          </m:sSupPr>
          <m:e>
            <m:r>
              <m:rPr>
                <m:nor/>
              </m:rPr>
              <w:rPr>
                <w:b/>
                <w:iCs/>
              </w:rPr>
              <m:t>P</m:t>
            </m:r>
          </m:e>
          <m:sup>
            <m:r>
              <m:rPr>
                <m:nor/>
              </m:rPr>
              <w:rPr>
                <w:b/>
                <w:iCs/>
              </w:rPr>
              <m:t>m</m:t>
            </m:r>
          </m:sup>
        </m:sSup>
        <m:r>
          <m:rPr>
            <m:nor/>
          </m:rPr>
          <m:t>=</m:t>
        </m:r>
        <m:sSup>
          <m:sSupPr>
            <m:ctrlPr>
              <w:rPr>
                <w:rFonts w:ascii="Cambria Math" w:hAnsi="Cambria Math"/>
                <w:b/>
              </w:rPr>
            </m:ctrlPr>
          </m:sSupPr>
          <m:e>
            <m:r>
              <m:rPr>
                <m:nor/>
              </m:rPr>
              <w:rPr>
                <w:b/>
                <w:iCs/>
              </w:rPr>
              <m:t xml:space="preserve"> P</m:t>
            </m:r>
          </m:e>
          <m:sup>
            <m:r>
              <m:rPr>
                <m:nor/>
              </m:rPr>
              <w:rPr>
                <w:b/>
                <w:iCs/>
              </w:rPr>
              <m:t>r</m:t>
            </m:r>
          </m:sup>
        </m:sSup>
        <m:r>
          <m:rPr>
            <m:nor/>
          </m:rPr>
          <m:t xml:space="preserve">- </m:t>
        </m:r>
        <m:r>
          <m:rPr>
            <m:nor/>
          </m:rPr>
          <w:rPr>
            <w:b/>
            <w:iCs/>
          </w:rPr>
          <m:t>c</m:t>
        </m:r>
      </m:oMath>
      <w:r w:rsidRPr="00523452">
        <w:t>, d</w:t>
      </w:r>
      <w:r w:rsidRPr="00523452">
        <w:rPr>
          <w:iCs/>
        </w:rPr>
        <w:t xml:space="preserve">onde los términos involucrados representan: </w:t>
      </w:r>
    </w:p>
    <w:p w14:paraId="18373EC9" w14:textId="7A8F355F" w:rsidR="00181D64" w:rsidRPr="00523452" w:rsidRDefault="00873989" w:rsidP="00181D64">
      <w:pPr>
        <w:pStyle w:val="IFTnormal"/>
        <w:numPr>
          <w:ilvl w:val="0"/>
          <w:numId w:val="4"/>
        </w:numPr>
        <w:spacing w:after="0"/>
      </w:pPr>
      <m:oMath>
        <m:sSup>
          <m:sSupPr>
            <m:ctrlPr>
              <w:rPr>
                <w:rFonts w:ascii="Cambria Math" w:hAnsi="Cambria Math"/>
                <w:b/>
              </w:rPr>
            </m:ctrlPr>
          </m:sSupPr>
          <m:e>
            <m:r>
              <m:rPr>
                <m:nor/>
              </m:rPr>
              <w:rPr>
                <w:b/>
                <w:iCs/>
              </w:rPr>
              <m:t>P</m:t>
            </m:r>
          </m:e>
          <m:sup>
            <m:r>
              <m:rPr>
                <m:nor/>
              </m:rPr>
              <w:rPr>
                <w:b/>
                <w:iCs/>
              </w:rPr>
              <m:t>m</m:t>
            </m:r>
          </m:sup>
        </m:sSup>
        <m:r>
          <m:rPr>
            <m:sty m:val="bi"/>
          </m:rPr>
          <w:rPr>
            <w:rFonts w:ascii="Cambria Math" w:hAnsi="Cambria Math"/>
          </w:rPr>
          <m:t>:</m:t>
        </m:r>
      </m:oMath>
      <w:r w:rsidR="00181D64" w:rsidRPr="00523452">
        <w:rPr>
          <w:b/>
        </w:rPr>
        <w:t xml:space="preserve"> </w:t>
      </w:r>
      <w:r w:rsidR="00181D64" w:rsidRPr="00523452">
        <w:t>precio del servicio mayorista de acceso a la red del</w:t>
      </w:r>
      <w:r w:rsidR="0026384F">
        <w:t xml:space="preserve"> APSM</w:t>
      </w:r>
      <w:r w:rsidR="00181D64" w:rsidRPr="00523452">
        <w:t xml:space="preserve">, </w:t>
      </w:r>
    </w:p>
    <w:p w14:paraId="1A7067EF" w14:textId="77777777" w:rsidR="00181D64" w:rsidRPr="00523452" w:rsidRDefault="00873989" w:rsidP="00181D64">
      <w:pPr>
        <w:pStyle w:val="IFTnormal"/>
        <w:numPr>
          <w:ilvl w:val="0"/>
          <w:numId w:val="4"/>
        </w:numPr>
        <w:spacing w:before="240" w:after="240"/>
        <w:ind w:left="714" w:hanging="357"/>
      </w:pPr>
      <m:oMath>
        <m:sSup>
          <m:sSupPr>
            <m:ctrlPr>
              <w:rPr>
                <w:rFonts w:ascii="Cambria Math" w:hAnsi="Cambria Math"/>
                <w:b/>
              </w:rPr>
            </m:ctrlPr>
          </m:sSupPr>
          <m:e>
            <m:r>
              <m:rPr>
                <m:nor/>
              </m:rPr>
              <w:rPr>
                <w:b/>
                <w:iCs/>
              </w:rPr>
              <m:t>P</m:t>
            </m:r>
          </m:e>
          <m:sup>
            <m:r>
              <m:rPr>
                <m:nor/>
              </m:rPr>
              <w:rPr>
                <w:b/>
                <w:iCs/>
              </w:rPr>
              <m:t>r</m:t>
            </m:r>
          </m:sup>
        </m:sSup>
      </m:oMath>
      <w:r w:rsidR="00181D64" w:rsidRPr="00523452">
        <w:rPr>
          <w:b/>
        </w:rPr>
        <w:t xml:space="preserve">: </w:t>
      </w:r>
      <w:r w:rsidR="00181D64" w:rsidRPr="00523452">
        <w:t xml:space="preserve">precio de referencia del producto o servicio minorista que se encuentra asociado al servicio mayorista en cuestión, y </w:t>
      </w:r>
    </w:p>
    <w:p w14:paraId="65500E2B" w14:textId="77777777" w:rsidR="00181D64" w:rsidRPr="00523452" w:rsidRDefault="00181D64" w:rsidP="00181D64">
      <w:pPr>
        <w:pStyle w:val="IFTnormal"/>
        <w:numPr>
          <w:ilvl w:val="0"/>
          <w:numId w:val="4"/>
        </w:numPr>
        <w:spacing w:before="240" w:after="240"/>
        <w:ind w:left="714" w:hanging="357"/>
      </w:pPr>
      <m:oMath>
        <m:r>
          <m:rPr>
            <m:nor/>
          </m:rPr>
          <w:rPr>
            <w:b/>
            <w:iCs/>
          </w:rPr>
          <m:t>c:</m:t>
        </m:r>
      </m:oMath>
      <w:r w:rsidRPr="00523452">
        <w:rPr>
          <w:b/>
          <w:iCs/>
        </w:rPr>
        <w:t xml:space="preserve"> </w:t>
      </w:r>
      <w:r w:rsidRPr="00523452">
        <w:rPr>
          <w:iCs/>
        </w:rPr>
        <w:t xml:space="preserve">valor del conjunto de costos evitados inherentes a la prestación del servicio </w:t>
      </w:r>
      <w:r w:rsidRPr="00523452">
        <w:t>mayorista.</w:t>
      </w:r>
    </w:p>
    <w:p w14:paraId="4B3C795D" w14:textId="77777777" w:rsidR="00181D64" w:rsidRPr="00523452" w:rsidRDefault="00181D64" w:rsidP="00181D64">
      <w:pPr>
        <w:pStyle w:val="IFTnormal"/>
      </w:pPr>
      <w:r w:rsidRPr="00523452">
        <w:t>Cabe destacar que los costos evitados típicamente suelen representarse como un valor numérico, como un porcentaje a descontarse del precio de referencia</w:t>
      </w:r>
      <w:r w:rsidRPr="00523452">
        <w:rPr>
          <w:vertAlign w:val="superscript"/>
        </w:rPr>
        <w:footnoteReference w:id="3"/>
      </w:r>
      <w:r w:rsidRPr="00523452">
        <w:t>, o bien a través de una combinación de ambos enfoques.</w:t>
      </w:r>
    </w:p>
    <w:p w14:paraId="7840AC68" w14:textId="177DC8B8" w:rsidR="00601427" w:rsidRPr="00CA2F00" w:rsidRDefault="00F27234" w:rsidP="00CE578C">
      <w:pPr>
        <w:pStyle w:val="IFTnormal"/>
        <w:rPr>
          <w:bCs w:val="0"/>
          <w:sz w:val="20"/>
          <w:szCs w:val="20"/>
        </w:rPr>
      </w:pPr>
      <w:bookmarkStart w:id="17" w:name="_Metodología_para_definir"/>
      <w:bookmarkStart w:id="18" w:name="_Servicios_asociados_a"/>
      <w:bookmarkEnd w:id="17"/>
      <w:bookmarkEnd w:id="18"/>
      <w:r>
        <w:t>En concreto, d</w:t>
      </w:r>
      <w:r w:rsidR="002428B4" w:rsidRPr="00523452">
        <w:t xml:space="preserve">e conformidad con la </w:t>
      </w:r>
      <w:r w:rsidR="00792E5C">
        <w:t>O</w:t>
      </w:r>
      <w:r w:rsidR="00255223" w:rsidRPr="00490189">
        <w:t>bligación</w:t>
      </w:r>
      <w:r w:rsidR="00255223" w:rsidRPr="007C4245">
        <w:t xml:space="preserve"> </w:t>
      </w:r>
      <w:r>
        <w:t xml:space="preserve">TERCERA, </w:t>
      </w:r>
      <w:r w:rsidR="00AD7FDE">
        <w:t>fraccciones</w:t>
      </w:r>
      <w:r>
        <w:t xml:space="preserve"> XI, XII</w:t>
      </w:r>
      <w:r w:rsidR="00AD7FDE">
        <w:t>,</w:t>
      </w:r>
      <w:r>
        <w:t xml:space="preserve"> y QUINTA</w:t>
      </w:r>
      <w:r w:rsidR="002428B4" w:rsidRPr="00523452">
        <w:t xml:space="preserve"> </w:t>
      </w:r>
      <w:r>
        <w:t>del Anexo Único</w:t>
      </w:r>
      <w:r w:rsidR="002428B4" w:rsidRPr="00523452">
        <w:t xml:space="preserve">, </w:t>
      </w:r>
      <w:r>
        <w:t>el SM</w:t>
      </w:r>
      <w:r w:rsidR="0026670D">
        <w:t>R</w:t>
      </w:r>
      <w:r>
        <w:t xml:space="preserve"> </w:t>
      </w:r>
      <w:r w:rsidR="002428B4" w:rsidRPr="00523452">
        <w:t xml:space="preserve">provisto por </w:t>
      </w:r>
      <w:r>
        <w:t>el APSM</w:t>
      </w:r>
      <w:r w:rsidR="002428B4">
        <w:t xml:space="preserve"> </w:t>
      </w:r>
      <w:r w:rsidR="002428B4" w:rsidRPr="00523452">
        <w:t xml:space="preserve">que se considera en el Modelo de Costos Evitados </w:t>
      </w:r>
      <w:r>
        <w:t>es aquel</w:t>
      </w:r>
      <w:r w:rsidR="002428B4" w:rsidRPr="00523452">
        <w:t xml:space="preserve"> que</w:t>
      </w:r>
      <w:r w:rsidR="002428B4" w:rsidRPr="00523452">
        <w:rPr>
          <w:b/>
        </w:rPr>
        <w:t xml:space="preserve"> </w:t>
      </w:r>
      <w:r w:rsidR="002428B4" w:rsidRPr="00523452">
        <w:t>permite a los CS realizar la reventa o comercialización de</w:t>
      </w:r>
      <w:r>
        <w:t>l STAR</w:t>
      </w:r>
      <w:r>
        <w:rPr>
          <w:sz w:val="19"/>
          <w:szCs w:val="19"/>
        </w:rPr>
        <w:t>.</w:t>
      </w:r>
    </w:p>
    <w:p w14:paraId="6A08B448" w14:textId="19B8CA1C" w:rsidR="00181D64" w:rsidRPr="00523452" w:rsidRDefault="00181D64" w:rsidP="00181D64">
      <w:pPr>
        <w:pStyle w:val="Ttulo2"/>
        <w:numPr>
          <w:ilvl w:val="1"/>
          <w:numId w:val="7"/>
        </w:numPr>
        <w:ind w:left="426" w:hanging="360"/>
        <w:rPr>
          <w:rStyle w:val="IFTnormalCar"/>
          <w:bCs/>
          <w:color w:val="auto"/>
          <w:lang w:val="es-MX"/>
        </w:rPr>
      </w:pPr>
      <w:bookmarkStart w:id="19" w:name="_Metodología_para_definir_1"/>
      <w:bookmarkStart w:id="20" w:name="_Toc114513052"/>
      <w:bookmarkStart w:id="21" w:name="_Toc180491372"/>
      <w:bookmarkEnd w:id="19"/>
      <w:r w:rsidRPr="00523452">
        <w:rPr>
          <w:rStyle w:val="IFTnormalCar"/>
          <w:color w:val="auto"/>
          <w:lang w:val="es-MX"/>
        </w:rPr>
        <w:t>Metodología para definir precios de referencia de</w:t>
      </w:r>
      <w:r w:rsidR="00784BEB">
        <w:rPr>
          <w:rStyle w:val="IFTnormalCar"/>
          <w:color w:val="auto"/>
          <w:lang w:val="es-MX"/>
        </w:rPr>
        <w:t>l</w:t>
      </w:r>
      <w:r w:rsidRPr="00523452">
        <w:rPr>
          <w:rStyle w:val="IFTnormalCar"/>
          <w:color w:val="auto"/>
          <w:lang w:val="es-MX"/>
        </w:rPr>
        <w:t xml:space="preserve"> </w:t>
      </w:r>
      <w:bookmarkEnd w:id="20"/>
      <w:r w:rsidR="00784BEB">
        <w:rPr>
          <w:rStyle w:val="IFTnormalCar"/>
          <w:color w:val="auto"/>
          <w:lang w:val="es-MX"/>
        </w:rPr>
        <w:t>STAR</w:t>
      </w:r>
      <w:bookmarkEnd w:id="21"/>
    </w:p>
    <w:p w14:paraId="6AF923A4" w14:textId="4D2CFA87" w:rsidR="00181D64" w:rsidRDefault="00181D64" w:rsidP="00181D64">
      <w:pPr>
        <w:pStyle w:val="IFTnormal"/>
      </w:pPr>
      <w:r w:rsidRPr="00523452">
        <w:t xml:space="preserve">En la metodología de costos evitados se considera que los precios </w:t>
      </w:r>
      <w:r w:rsidR="002428B4">
        <w:t xml:space="preserve">ofrecidos </w:t>
      </w:r>
      <w:r w:rsidR="005035D6">
        <w:t xml:space="preserve">por </w:t>
      </w:r>
      <w:r w:rsidR="0023739A">
        <w:t>APSM</w:t>
      </w:r>
      <w:r w:rsidR="00D079C1">
        <w:t xml:space="preserve"> </w:t>
      </w:r>
      <w:r w:rsidRPr="00523452">
        <w:t xml:space="preserve">en el mercado minorista son un insumo adecuado para establecer los precios de referencia </w:t>
      </w:r>
      <w:r w:rsidR="00F27234">
        <w:t>del SM</w:t>
      </w:r>
      <w:r w:rsidR="0026670D">
        <w:t>R</w:t>
      </w:r>
      <w:r w:rsidR="00E7758A">
        <w:t>.</w:t>
      </w:r>
      <w:r w:rsidRPr="00523452">
        <w:t xml:space="preserve"> </w:t>
      </w:r>
      <w:r w:rsidR="00E7758A">
        <w:t>S</w:t>
      </w:r>
      <w:r w:rsidRPr="00523452">
        <w:t>e estima que a través de dicho enfoque los operadores entrantes pueden ofrecer</w:t>
      </w:r>
      <w:r w:rsidR="00CC7F1C">
        <w:t>,</w:t>
      </w:r>
      <w:r w:rsidRPr="00523452">
        <w:t xml:space="preserve"> dentro del mercado minorista</w:t>
      </w:r>
      <w:r w:rsidR="00CC7F1C">
        <w:t>,</w:t>
      </w:r>
      <w:r w:rsidRPr="00523452">
        <w:t xml:space="preserve"> servicios competitivos </w:t>
      </w:r>
      <w:r w:rsidR="005144B5">
        <w:t>a partir de</w:t>
      </w:r>
      <w:r w:rsidRPr="00523452">
        <w:t xml:space="preserve"> la oferta comercial</w:t>
      </w:r>
      <w:r w:rsidR="00CC7F1C">
        <w:t xml:space="preserve"> del </w:t>
      </w:r>
      <w:r w:rsidR="00F27234">
        <w:t>APSM</w:t>
      </w:r>
      <w:r w:rsidRPr="00523452">
        <w:t>.</w:t>
      </w:r>
    </w:p>
    <w:p w14:paraId="7E713EA3" w14:textId="039085B4" w:rsidR="00E6603B" w:rsidRPr="00523452" w:rsidRDefault="00E6603B" w:rsidP="00181D64">
      <w:pPr>
        <w:pStyle w:val="IFTnormal"/>
      </w:pPr>
      <w:r>
        <w:t xml:space="preserve">Con este contexto y a partir de la información de planes y paquetes observado en los </w:t>
      </w:r>
      <w:r w:rsidR="00255223">
        <w:t xml:space="preserve">9 </w:t>
      </w:r>
      <w:r>
        <w:t xml:space="preserve">mercados </w:t>
      </w:r>
      <w:r w:rsidR="00255223">
        <w:t xml:space="preserve">con PSM </w:t>
      </w:r>
      <w:r>
        <w:t xml:space="preserve">que menciona la Resolución APSM, el Instituto agrupó </w:t>
      </w:r>
      <w:r w:rsidR="007C4245">
        <w:t>aquellos ofrecidos en los municipios identificados</w:t>
      </w:r>
      <w:r>
        <w:t xml:space="preserve"> a efecto de contar con </w:t>
      </w:r>
      <w:r w:rsidR="007C4245">
        <w:t>una</w:t>
      </w:r>
      <w:r>
        <w:t xml:space="preserve"> lista </w:t>
      </w:r>
      <w:r w:rsidR="007C4245">
        <w:t xml:space="preserve">integrada </w:t>
      </w:r>
      <w:r>
        <w:t xml:space="preserve">de planes y paquetes que son ofrecidos en los mercados antes </w:t>
      </w:r>
      <w:r>
        <w:lastRenderedPageBreak/>
        <w:t>mencionados. En esta homologación se consideraron las tarifas, usuarios y canasta de servicios ofrecidos.</w:t>
      </w:r>
    </w:p>
    <w:p w14:paraId="080D5071" w14:textId="0642F01A" w:rsidR="00F27234" w:rsidRDefault="00E6603B" w:rsidP="00181D64">
      <w:pPr>
        <w:pStyle w:val="IFTnormal"/>
      </w:pPr>
      <w:r>
        <w:t>Durante dicha evaluación también se identificó que</w:t>
      </w:r>
      <w:r w:rsidR="00181D64" w:rsidRPr="00523452">
        <w:t xml:space="preserve"> </w:t>
      </w:r>
      <w:r w:rsidR="00F27234">
        <w:t xml:space="preserve">el </w:t>
      </w:r>
      <w:r w:rsidR="0023739A">
        <w:t>APSM</w:t>
      </w:r>
      <w:r w:rsidR="00D079C1">
        <w:t xml:space="preserve"> </w:t>
      </w:r>
      <w:r w:rsidR="00181D64" w:rsidRPr="00523452">
        <w:t>configur</w:t>
      </w:r>
      <w:r>
        <w:t>ó</w:t>
      </w:r>
      <w:r w:rsidR="00181D64" w:rsidRPr="00523452">
        <w:t xml:space="preserve"> su oferta minorista a través de distintos planes y paquetes tarifarios que</w:t>
      </w:r>
      <w:r w:rsidR="00F36CF7">
        <w:t>, a cambio de una renta mensual,</w:t>
      </w:r>
      <w:r w:rsidR="00181D64" w:rsidRPr="00523452">
        <w:t xml:space="preserve"> incorporan </w:t>
      </w:r>
      <w:r w:rsidR="00390A8E">
        <w:t xml:space="preserve">diversos </w:t>
      </w:r>
      <w:r w:rsidR="005144B5">
        <w:t xml:space="preserve">componentes en su </w:t>
      </w:r>
      <w:r w:rsidR="00181D64" w:rsidRPr="00523452">
        <w:t xml:space="preserve">canasta de servicios, con el fin de establecer el precio de referencia </w:t>
      </w:r>
      <w:r>
        <w:t>que fue considerado para el STAR</w:t>
      </w:r>
      <w:r w:rsidR="00547644">
        <w:t xml:space="preserve">. </w:t>
      </w:r>
    </w:p>
    <w:p w14:paraId="1D36B631" w14:textId="407F267E" w:rsidR="005F2E7E" w:rsidRDefault="00547644" w:rsidP="00181D64">
      <w:pPr>
        <w:pStyle w:val="IFTnormal"/>
      </w:pPr>
      <w:r>
        <w:t>E</w:t>
      </w:r>
      <w:r w:rsidR="00181D64" w:rsidRPr="00523452">
        <w:t xml:space="preserve">n el </w:t>
      </w:r>
      <w:r w:rsidR="00181D64" w:rsidRPr="008073CC">
        <w:t>Modelo de Costos Evitados</w:t>
      </w:r>
      <w:r w:rsidR="00181D64" w:rsidRPr="00523452">
        <w:t xml:space="preserve"> se adoptó el uso de un esquema basado en el </w:t>
      </w:r>
      <w:r w:rsidR="00181D64" w:rsidRPr="00F36CF7">
        <w:rPr>
          <w:b/>
          <w:bCs w:val="0"/>
        </w:rPr>
        <w:t>precio implícito</w:t>
      </w:r>
      <w:r w:rsidR="00181D64" w:rsidRPr="00523452">
        <w:t xml:space="preserve"> de los elementos o servicios prestados a los usuarios finales,</w:t>
      </w:r>
      <w:r w:rsidR="0040723C">
        <w:t xml:space="preserve"> es decir,</w:t>
      </w:r>
      <w:r w:rsidR="00181D64" w:rsidRPr="00523452">
        <w:t xml:space="preserve"> los planes o paquetes </w:t>
      </w:r>
      <w:r w:rsidR="00F27234">
        <w:t>del APSM en los cuales se ofrece el STAR</w:t>
      </w:r>
      <w:r w:rsidR="001F342D">
        <w:t xml:space="preserve"> y los demás servicios </w:t>
      </w:r>
      <w:r w:rsidR="00CC7684">
        <w:t>empaquetados</w:t>
      </w:r>
      <w:r w:rsidR="00181D64" w:rsidRPr="00523452">
        <w:t xml:space="preserve">. </w:t>
      </w:r>
    </w:p>
    <w:p w14:paraId="72D94396" w14:textId="7CF44BC1" w:rsidR="00181D64" w:rsidRDefault="001F342D" w:rsidP="00181D64">
      <w:pPr>
        <w:pStyle w:val="IFTnormal"/>
      </w:pPr>
      <w:r>
        <w:t>Específicamente, los</w:t>
      </w:r>
      <w:r w:rsidR="00F27234">
        <w:t xml:space="preserve"> planes y paquetes</w:t>
      </w:r>
      <w:r w:rsidR="005F7A9A">
        <w:t xml:space="preserve"> </w:t>
      </w:r>
      <w:r>
        <w:t xml:space="preserve">que consideran al STAR en los 9 </w:t>
      </w:r>
      <w:r w:rsidR="00255223">
        <w:t>mercados con PSM</w:t>
      </w:r>
      <w:r>
        <w:t xml:space="preserve"> tienen </w:t>
      </w:r>
      <w:r w:rsidR="005F7A9A">
        <w:t>las siguientes características</w:t>
      </w:r>
      <w:r w:rsidR="00181D64" w:rsidRPr="00523452">
        <w:t>:</w:t>
      </w:r>
    </w:p>
    <w:tbl>
      <w:tblPr>
        <w:tblStyle w:val="Tablaconcuadrcula1clara"/>
        <w:tblW w:w="0" w:type="auto"/>
        <w:jc w:val="center"/>
        <w:tblLook w:val="0420" w:firstRow="1" w:lastRow="0" w:firstColumn="0" w:lastColumn="0" w:noHBand="0" w:noVBand="1"/>
        <w:tblCaption w:val="Figura 3: Estrutura del modelo de costos de coubicación móvil (Fuente: IFT, 2015)"/>
        <w:tblDescription w:val="Se divida en hoja de cálculo y descripción"/>
      </w:tblPr>
      <w:tblGrid>
        <w:gridCol w:w="2100"/>
        <w:gridCol w:w="1590"/>
        <w:gridCol w:w="5138"/>
      </w:tblGrid>
      <w:tr w:rsidR="005F2E7E" w14:paraId="2DCAD618" w14:textId="77777777" w:rsidTr="00490189">
        <w:trPr>
          <w:cnfStyle w:val="100000000000" w:firstRow="1" w:lastRow="0" w:firstColumn="0" w:lastColumn="0" w:oddVBand="0" w:evenVBand="0" w:oddHBand="0" w:evenHBand="0" w:firstRowFirstColumn="0" w:firstRowLastColumn="0" w:lastRowFirstColumn="0" w:lastRowLastColumn="0"/>
          <w:trHeight w:val="289"/>
          <w:tblHeader/>
          <w:jc w:val="center"/>
        </w:trPr>
        <w:tc>
          <w:tcPr>
            <w:tcW w:w="0" w:type="auto"/>
            <w:tcBorders>
              <w:top w:val="single" w:sz="4" w:space="0" w:color="999999" w:themeColor="text1" w:themeTint="66"/>
              <w:left w:val="single" w:sz="4" w:space="0" w:color="999999" w:themeColor="text1" w:themeTint="66"/>
              <w:right w:val="single" w:sz="4" w:space="0" w:color="999999" w:themeColor="text1" w:themeTint="66"/>
            </w:tcBorders>
            <w:shd w:val="clear" w:color="auto" w:fill="E7E6E6" w:themeFill="background2"/>
            <w:hideMark/>
          </w:tcPr>
          <w:p w14:paraId="52C13D72" w14:textId="77777777" w:rsidR="005F7A9A" w:rsidRPr="00490189" w:rsidRDefault="005F7A9A" w:rsidP="00490189">
            <w:pPr>
              <w:pStyle w:val="IFTnormal"/>
              <w:jc w:val="center"/>
              <w:rPr>
                <w:b w:val="0"/>
                <w:color w:val="000000" w:themeColor="text1"/>
                <w:sz w:val="18"/>
                <w:szCs w:val="18"/>
                <w:lang w:val="es-ES_tradnl"/>
              </w:rPr>
            </w:pPr>
            <w:r w:rsidRPr="00490189">
              <w:rPr>
                <w:rFonts w:cs="Arial"/>
                <w:color w:val="000000"/>
                <w:sz w:val="18"/>
                <w:lang w:val="es-ES" w:eastAsia="es-ES"/>
              </w:rPr>
              <w:t>Denominación</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shd w:val="clear" w:color="auto" w:fill="E7E6E6" w:themeFill="background2"/>
            <w:hideMark/>
          </w:tcPr>
          <w:p w14:paraId="5A5F11F5" w14:textId="77777777" w:rsidR="005F7A9A" w:rsidRPr="00490189" w:rsidRDefault="005F7A9A" w:rsidP="00490189">
            <w:pPr>
              <w:pStyle w:val="IFTnormal"/>
              <w:jc w:val="center"/>
              <w:rPr>
                <w:b w:val="0"/>
                <w:color w:val="000000" w:themeColor="text1"/>
                <w:sz w:val="18"/>
                <w:szCs w:val="18"/>
                <w:lang w:val="es-ES_tradnl"/>
              </w:rPr>
            </w:pPr>
            <w:r w:rsidRPr="00490189">
              <w:rPr>
                <w:color w:val="000000" w:themeColor="text1"/>
                <w:sz w:val="18"/>
                <w:szCs w:val="18"/>
                <w:lang w:val="es-ES_tradnl"/>
              </w:rPr>
              <w:t>Acrónimo</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shd w:val="clear" w:color="auto" w:fill="E7E6E6" w:themeFill="background2"/>
            <w:hideMark/>
          </w:tcPr>
          <w:p w14:paraId="0C40D227" w14:textId="2D2DDF43" w:rsidR="005F7A9A" w:rsidRPr="00490189" w:rsidRDefault="005F7A9A" w:rsidP="00490189">
            <w:pPr>
              <w:pStyle w:val="IFTnormal"/>
              <w:jc w:val="center"/>
              <w:rPr>
                <w:b w:val="0"/>
                <w:color w:val="000000" w:themeColor="text1"/>
                <w:sz w:val="18"/>
                <w:szCs w:val="18"/>
                <w:lang w:val="es-ES_tradnl"/>
              </w:rPr>
            </w:pPr>
            <w:r w:rsidRPr="00490189">
              <w:rPr>
                <w:color w:val="000000" w:themeColor="text1"/>
                <w:sz w:val="18"/>
                <w:szCs w:val="18"/>
                <w:lang w:val="es-ES_tradnl"/>
              </w:rPr>
              <w:t>Descripción</w:t>
            </w:r>
          </w:p>
        </w:tc>
      </w:tr>
      <w:tr w:rsidR="005F2E7E" w14:paraId="45C7299E" w14:textId="77777777" w:rsidTr="00490189">
        <w:trPr>
          <w:cnfStyle w:val="100000000000" w:firstRow="1" w:lastRow="0" w:firstColumn="0" w:lastColumn="0" w:oddVBand="0" w:evenVBand="0" w:oddHBand="0" w:evenHBand="0" w:firstRowFirstColumn="0" w:firstRowLastColumn="0" w:lastRowFirstColumn="0" w:lastRowLastColumn="0"/>
          <w:trHeight w:val="287"/>
          <w:tblHeader/>
          <w:jc w:val="center"/>
        </w:trPr>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9842BD6" w14:textId="05DA337F" w:rsidR="005F7A9A" w:rsidRPr="00FB1329" w:rsidRDefault="005F7A9A" w:rsidP="00F167B6">
            <w:pPr>
              <w:pStyle w:val="IFTnormal"/>
              <w:rPr>
                <w:b w:val="0"/>
                <w:sz w:val="18"/>
                <w:szCs w:val="18"/>
                <w:lang w:val="es-ES_tradnl"/>
              </w:rPr>
            </w:pPr>
            <w:r w:rsidRPr="00FB1329">
              <w:rPr>
                <w:b w:val="0"/>
                <w:sz w:val="18"/>
                <w:szCs w:val="18"/>
                <w:lang w:val="es-ES_tradnl"/>
              </w:rPr>
              <w:t>Solo STAR</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E9297C5" w14:textId="5C6B11D2" w:rsidR="005F7A9A" w:rsidRPr="00FB1329" w:rsidRDefault="002214B3" w:rsidP="00F167B6">
            <w:pPr>
              <w:pStyle w:val="IFTnormal"/>
              <w:rPr>
                <w:b w:val="0"/>
                <w:i/>
                <w:sz w:val="18"/>
                <w:szCs w:val="18"/>
                <w:lang w:val="es-ES_tradnl"/>
              </w:rPr>
            </w:pPr>
            <w:r w:rsidRPr="00FB1329">
              <w:rPr>
                <w:b w:val="0"/>
                <w:i/>
                <w:sz w:val="18"/>
                <w:szCs w:val="18"/>
                <w:lang w:val="es-ES_tradnl"/>
              </w:rPr>
              <w:t>STAR s</w:t>
            </w:r>
            <w:r w:rsidR="005F7A9A" w:rsidRPr="00FB1329">
              <w:rPr>
                <w:b w:val="0"/>
                <w:i/>
                <w:sz w:val="18"/>
                <w:szCs w:val="18"/>
                <w:lang w:val="es-ES_tradnl"/>
              </w:rPr>
              <w:t>ingle play</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50C0426" w14:textId="51328375" w:rsidR="005F7A9A" w:rsidRPr="00FB1329" w:rsidRDefault="002214B3" w:rsidP="00F167B6">
            <w:pPr>
              <w:pStyle w:val="IFTnormal"/>
              <w:rPr>
                <w:b w:val="0"/>
                <w:sz w:val="18"/>
                <w:szCs w:val="18"/>
                <w:lang w:val="es-ES_tradnl"/>
              </w:rPr>
            </w:pPr>
            <w:r w:rsidRPr="00FB1329">
              <w:rPr>
                <w:b w:val="0"/>
                <w:sz w:val="18"/>
                <w:szCs w:val="18"/>
                <w:lang w:val="es-ES_tradnl"/>
              </w:rPr>
              <w:t>Este servicio s</w:t>
            </w:r>
            <w:r w:rsidR="005F7A9A" w:rsidRPr="00FB1329">
              <w:rPr>
                <w:b w:val="0"/>
                <w:sz w:val="18"/>
                <w:szCs w:val="18"/>
                <w:lang w:val="es-ES_tradnl"/>
              </w:rPr>
              <w:t>e ofrece por medio de una contraprestación mensual un conjunto de canales de televisión mediante definiciones denominadas como “SD”</w:t>
            </w:r>
            <w:r w:rsidR="001F342D" w:rsidRPr="00FB1329">
              <w:rPr>
                <w:b w:val="0"/>
                <w:sz w:val="18"/>
                <w:szCs w:val="18"/>
                <w:lang w:val="es-ES_tradnl"/>
              </w:rPr>
              <w:t>.</w:t>
            </w:r>
          </w:p>
          <w:p w14:paraId="21CE4567" w14:textId="23170FFA" w:rsidR="0026384F" w:rsidRPr="00FB1329" w:rsidRDefault="0026384F" w:rsidP="00F167B6">
            <w:pPr>
              <w:pStyle w:val="IFTnormal"/>
              <w:rPr>
                <w:b w:val="0"/>
                <w:sz w:val="18"/>
                <w:szCs w:val="18"/>
                <w:lang w:val="es-ES_tradnl"/>
              </w:rPr>
            </w:pPr>
            <w:r w:rsidRPr="00FB1329">
              <w:rPr>
                <w:b w:val="0"/>
                <w:sz w:val="18"/>
                <w:szCs w:val="18"/>
                <w:lang w:val="es-ES_tradnl"/>
              </w:rPr>
              <w:t xml:space="preserve">Bajo esta modalidad se identificaron dos modalidades de </w:t>
            </w:r>
            <w:r w:rsidR="00043606" w:rsidRPr="00FB1329">
              <w:rPr>
                <w:b w:val="0"/>
                <w:sz w:val="18"/>
                <w:szCs w:val="18"/>
                <w:lang w:val="es-ES_tradnl"/>
              </w:rPr>
              <w:t>servicio denominadas como:</w:t>
            </w:r>
          </w:p>
          <w:p w14:paraId="0F9E1FB4" w14:textId="77777777" w:rsidR="00043606" w:rsidRPr="00FB1329" w:rsidRDefault="00043606" w:rsidP="00043606">
            <w:pPr>
              <w:pStyle w:val="IFTnormal"/>
              <w:numPr>
                <w:ilvl w:val="0"/>
                <w:numId w:val="77"/>
              </w:numPr>
              <w:rPr>
                <w:b w:val="0"/>
                <w:i/>
                <w:sz w:val="18"/>
                <w:szCs w:val="18"/>
                <w:lang w:val="es-ES_tradnl"/>
              </w:rPr>
            </w:pPr>
            <w:r w:rsidRPr="00FB1329">
              <w:rPr>
                <w:b w:val="0"/>
                <w:i/>
                <w:sz w:val="18"/>
                <w:szCs w:val="18"/>
                <w:lang w:val="es-ES_tradnl"/>
              </w:rPr>
              <w:t>“TV Básico Plus”</w:t>
            </w:r>
          </w:p>
          <w:p w14:paraId="24629D9F" w14:textId="77777777" w:rsidR="00043606" w:rsidRPr="00FB1329" w:rsidRDefault="00043606" w:rsidP="00043606">
            <w:pPr>
              <w:pStyle w:val="IFTnormal"/>
              <w:numPr>
                <w:ilvl w:val="0"/>
                <w:numId w:val="77"/>
              </w:numPr>
              <w:rPr>
                <w:b w:val="0"/>
                <w:sz w:val="18"/>
                <w:szCs w:val="18"/>
                <w:lang w:val="es-ES_tradnl"/>
              </w:rPr>
            </w:pPr>
            <w:r w:rsidRPr="00FB1329">
              <w:rPr>
                <w:b w:val="0"/>
                <w:i/>
                <w:sz w:val="18"/>
                <w:szCs w:val="18"/>
                <w:lang w:val="es-ES_tradnl"/>
              </w:rPr>
              <w:t>“TV Conecta”</w:t>
            </w:r>
          </w:p>
          <w:p w14:paraId="18D5310B" w14:textId="61FF31DC" w:rsidR="00043606" w:rsidRPr="00FB1329" w:rsidRDefault="00043606" w:rsidP="00043606">
            <w:pPr>
              <w:pStyle w:val="IFTnormal"/>
              <w:rPr>
                <w:b w:val="0"/>
                <w:sz w:val="18"/>
                <w:szCs w:val="18"/>
                <w:lang w:val="es-ES_tradnl"/>
              </w:rPr>
            </w:pPr>
            <w:r w:rsidRPr="00FB1329">
              <w:rPr>
                <w:b w:val="0"/>
                <w:sz w:val="18"/>
                <w:szCs w:val="18"/>
                <w:lang w:val="es-ES_tradnl"/>
              </w:rPr>
              <w:t>En ambas modalidades se ofrecen servicios de tipo “</w:t>
            </w:r>
            <w:r w:rsidRPr="00FB1329">
              <w:rPr>
                <w:b w:val="0"/>
                <w:i/>
                <w:sz w:val="18"/>
                <w:szCs w:val="18"/>
                <w:lang w:val="es-ES_tradnl"/>
              </w:rPr>
              <w:t>Residencial</w:t>
            </w:r>
            <w:r w:rsidRPr="00FB1329">
              <w:rPr>
                <w:b w:val="0"/>
                <w:sz w:val="18"/>
                <w:szCs w:val="18"/>
                <w:lang w:val="es-ES_tradnl"/>
              </w:rPr>
              <w:t>” y “</w:t>
            </w:r>
            <w:r w:rsidRPr="00FB1329">
              <w:rPr>
                <w:b w:val="0"/>
                <w:i/>
                <w:sz w:val="18"/>
                <w:szCs w:val="18"/>
                <w:lang w:val="es-ES_tradnl"/>
              </w:rPr>
              <w:t>Negocio</w:t>
            </w:r>
            <w:r w:rsidRPr="00FB1329">
              <w:rPr>
                <w:b w:val="0"/>
                <w:sz w:val="18"/>
                <w:szCs w:val="18"/>
                <w:lang w:val="es-ES_tradnl"/>
              </w:rPr>
              <w:t xml:space="preserve">”. </w:t>
            </w:r>
          </w:p>
        </w:tc>
      </w:tr>
      <w:tr w:rsidR="005F2E7E" w14:paraId="3268BBFB" w14:textId="77777777" w:rsidTr="00490189">
        <w:trPr>
          <w:cnfStyle w:val="100000000000" w:firstRow="1" w:lastRow="0" w:firstColumn="0" w:lastColumn="0" w:oddVBand="0" w:evenVBand="0" w:oddHBand="0" w:evenHBand="0" w:firstRowFirstColumn="0" w:firstRowLastColumn="0" w:lastRowFirstColumn="0" w:lastRowLastColumn="0"/>
          <w:trHeight w:val="278"/>
          <w:tblHeader/>
          <w:jc w:val="center"/>
        </w:trPr>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4947C33" w14:textId="4D81556F" w:rsidR="005F7A9A" w:rsidRPr="00FB1329" w:rsidRDefault="005F7A9A" w:rsidP="00F167B6">
            <w:pPr>
              <w:pStyle w:val="IFTnormal"/>
              <w:rPr>
                <w:b w:val="0"/>
                <w:sz w:val="18"/>
                <w:szCs w:val="18"/>
                <w:lang w:val="es-ES_tradnl"/>
              </w:rPr>
            </w:pPr>
            <w:r w:rsidRPr="00FB1329">
              <w:rPr>
                <w:b w:val="0"/>
                <w:sz w:val="18"/>
                <w:szCs w:val="18"/>
                <w:lang w:val="es-ES_tradnl"/>
              </w:rPr>
              <w:t>STAR</w:t>
            </w:r>
            <w:r w:rsidR="002214B3" w:rsidRPr="00FB1329">
              <w:rPr>
                <w:b w:val="0"/>
                <w:sz w:val="18"/>
                <w:szCs w:val="18"/>
                <w:lang w:val="es-ES_tradnl"/>
              </w:rPr>
              <w:t xml:space="preserve"> empaquetado </w:t>
            </w:r>
            <w:r w:rsidR="005F2E7E" w:rsidRPr="00FB1329">
              <w:rPr>
                <w:b w:val="0"/>
                <w:sz w:val="18"/>
                <w:szCs w:val="18"/>
                <w:lang w:val="es-ES_tradnl"/>
              </w:rPr>
              <w:t>con servicios de internet y telefonía fija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F6D7649" w14:textId="033248BA" w:rsidR="005F7A9A" w:rsidRPr="00FB1329" w:rsidRDefault="002214B3" w:rsidP="00F167B6">
            <w:pPr>
              <w:pStyle w:val="IFTnormal"/>
              <w:rPr>
                <w:b w:val="0"/>
                <w:sz w:val="18"/>
                <w:szCs w:val="18"/>
                <w:lang w:val="es-ES_tradnl"/>
              </w:rPr>
            </w:pPr>
            <w:r w:rsidRPr="00FB1329">
              <w:rPr>
                <w:b w:val="0"/>
                <w:sz w:val="18"/>
                <w:szCs w:val="18"/>
                <w:lang w:val="es-ES_tradnl"/>
              </w:rPr>
              <w:t xml:space="preserve">STAR </w:t>
            </w:r>
            <w:r w:rsidR="00CC7684" w:rsidRPr="00FB1329">
              <w:rPr>
                <w:b w:val="0"/>
                <w:sz w:val="18"/>
                <w:szCs w:val="18"/>
                <w:lang w:val="es-ES_tradnl"/>
              </w:rPr>
              <w:t>empaquetado</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55FAC7B" w14:textId="02394CF5" w:rsidR="00043606" w:rsidRPr="00FB1329" w:rsidRDefault="002214B3" w:rsidP="00844C84">
            <w:pPr>
              <w:pStyle w:val="IFTnormal"/>
              <w:rPr>
                <w:b w:val="0"/>
                <w:sz w:val="18"/>
                <w:szCs w:val="18"/>
                <w:lang w:val="es-ES_tradnl"/>
              </w:rPr>
            </w:pPr>
            <w:r w:rsidRPr="00FB1329">
              <w:rPr>
                <w:b w:val="0"/>
                <w:sz w:val="18"/>
                <w:szCs w:val="18"/>
                <w:lang w:val="es-ES_tradnl"/>
              </w:rPr>
              <w:t xml:space="preserve">En este servicio se ofertan </w:t>
            </w:r>
            <w:r w:rsidR="00844C84" w:rsidRPr="00FB1329">
              <w:rPr>
                <w:b w:val="0"/>
                <w:sz w:val="18"/>
                <w:szCs w:val="18"/>
                <w:lang w:val="es-ES_tradnl"/>
              </w:rPr>
              <w:t>las modalidades de los servicios</w:t>
            </w:r>
            <w:r w:rsidRPr="00FB1329">
              <w:rPr>
                <w:b w:val="0"/>
                <w:sz w:val="18"/>
                <w:szCs w:val="18"/>
                <w:lang w:val="es-ES_tradnl"/>
              </w:rPr>
              <w:t xml:space="preserve"> </w:t>
            </w:r>
            <w:r w:rsidR="005F7A9A" w:rsidRPr="00FB1329">
              <w:rPr>
                <w:b w:val="0"/>
                <w:sz w:val="18"/>
                <w:szCs w:val="18"/>
                <w:lang w:val="es-ES_tradnl"/>
              </w:rPr>
              <w:t>STAR</w:t>
            </w:r>
            <w:r w:rsidRPr="00FB1329">
              <w:rPr>
                <w:b w:val="0"/>
                <w:sz w:val="18"/>
                <w:szCs w:val="18"/>
                <w:lang w:val="es-ES_tradnl"/>
              </w:rPr>
              <w:t xml:space="preserve"> </w:t>
            </w:r>
            <w:r w:rsidR="00043606" w:rsidRPr="00FB1329">
              <w:rPr>
                <w:b w:val="0"/>
                <w:sz w:val="18"/>
                <w:szCs w:val="18"/>
                <w:lang w:val="es-ES_tradnl"/>
              </w:rPr>
              <w:t>single play (“</w:t>
            </w:r>
            <w:r w:rsidR="00043606" w:rsidRPr="00FB1329">
              <w:rPr>
                <w:b w:val="0"/>
                <w:i/>
                <w:sz w:val="18"/>
                <w:szCs w:val="18"/>
                <w:lang w:val="es-ES_tradnl"/>
              </w:rPr>
              <w:t>TV Básico Plus</w:t>
            </w:r>
            <w:r w:rsidR="00043606" w:rsidRPr="00FB1329">
              <w:rPr>
                <w:b w:val="0"/>
                <w:sz w:val="18"/>
                <w:szCs w:val="18"/>
                <w:lang w:val="es-ES_tradnl"/>
              </w:rPr>
              <w:t>” y “</w:t>
            </w:r>
            <w:r w:rsidR="00043606" w:rsidRPr="00FB1329">
              <w:rPr>
                <w:b w:val="0"/>
                <w:i/>
                <w:sz w:val="18"/>
                <w:szCs w:val="18"/>
                <w:lang w:val="es-ES_tradnl"/>
              </w:rPr>
              <w:t>TV Conecta</w:t>
            </w:r>
            <w:r w:rsidR="00043606" w:rsidRPr="00FB1329">
              <w:rPr>
                <w:b w:val="0"/>
                <w:sz w:val="18"/>
                <w:szCs w:val="18"/>
                <w:lang w:val="es-ES_tradnl"/>
              </w:rPr>
              <w:t>”)</w:t>
            </w:r>
            <w:r w:rsidR="00844C84" w:rsidRPr="00FB1329">
              <w:rPr>
                <w:b w:val="0"/>
                <w:sz w:val="18"/>
                <w:szCs w:val="18"/>
                <w:lang w:val="es-ES_tradnl"/>
              </w:rPr>
              <w:t>, respecto de los cuales ofrecen</w:t>
            </w:r>
            <w:r w:rsidRPr="00FB1329">
              <w:rPr>
                <w:b w:val="0"/>
                <w:sz w:val="18"/>
                <w:szCs w:val="18"/>
                <w:lang w:val="es-ES_tradnl"/>
              </w:rPr>
              <w:t xml:space="preserve"> características adicionales en términos de canales “SD” y “HD”, los cuales son empaquetados con servicios de internet y telefonía fija</w:t>
            </w:r>
            <w:r w:rsidR="005F7A9A" w:rsidRPr="00FB1329">
              <w:rPr>
                <w:b w:val="0"/>
                <w:sz w:val="18"/>
                <w:szCs w:val="18"/>
                <w:lang w:val="es-ES_tradnl"/>
              </w:rPr>
              <w:t>.</w:t>
            </w:r>
          </w:p>
        </w:tc>
      </w:tr>
    </w:tbl>
    <w:p w14:paraId="20596B8E" w14:textId="10A18FAB" w:rsidR="00F628D0" w:rsidRPr="00523452" w:rsidRDefault="00F628D0" w:rsidP="00F628D0">
      <w:pPr>
        <w:pStyle w:val="IFTnormal"/>
        <w:numPr>
          <w:ilvl w:val="0"/>
          <w:numId w:val="59"/>
        </w:numPr>
        <w:tabs>
          <w:tab w:val="left" w:pos="1134"/>
        </w:tabs>
        <w:ind w:left="142" w:hanging="142"/>
      </w:pPr>
      <w:r>
        <w:rPr>
          <w:bCs w:val="0"/>
          <w:sz w:val="20"/>
          <w:szCs w:val="20"/>
        </w:rPr>
        <w:t>Características de planes y paquetes del APSM en los 9 mercados con PSM</w:t>
      </w:r>
      <w:r w:rsidRPr="00CA2F00">
        <w:rPr>
          <w:b/>
          <w:sz w:val="20"/>
          <w:szCs w:val="20"/>
        </w:rPr>
        <w:t xml:space="preserve"> (Fuente: IFT)</w:t>
      </w:r>
      <w:r>
        <w:rPr>
          <w:b/>
          <w:sz w:val="20"/>
          <w:szCs w:val="20"/>
        </w:rPr>
        <w:t>.</w:t>
      </w:r>
    </w:p>
    <w:p w14:paraId="2176208E" w14:textId="7B2EBDA7" w:rsidR="00181D64" w:rsidRPr="00523452" w:rsidRDefault="00181D64" w:rsidP="00181D64">
      <w:pPr>
        <w:pStyle w:val="IFTnormal"/>
      </w:pPr>
      <w:r w:rsidRPr="005F2E7E">
        <w:t xml:space="preserve">Por lo anterior, la composición de los elementos o servicios que se ofrecen a través diferentes planes y paquetes mediante los cuales </w:t>
      </w:r>
      <w:r w:rsidR="002214B3" w:rsidRPr="005F2E7E">
        <w:t xml:space="preserve">el </w:t>
      </w:r>
      <w:r w:rsidR="0023739A" w:rsidRPr="005F2E7E">
        <w:t>APSM</w:t>
      </w:r>
      <w:r w:rsidRPr="005F2E7E">
        <w:t xml:space="preserve"> estructura su oferta</w:t>
      </w:r>
      <w:r w:rsidRPr="00523452">
        <w:t xml:space="preserve"> minorista asociada a</w:t>
      </w:r>
      <w:r w:rsidR="00B1426E">
        <w:t>l</w:t>
      </w:r>
      <w:r w:rsidRPr="00523452">
        <w:t xml:space="preserve"> </w:t>
      </w:r>
      <w:r w:rsidR="00B1426E">
        <w:t>STAR</w:t>
      </w:r>
      <w:r w:rsidRPr="00523452">
        <w:t xml:space="preserve">, implica que el precio efectivo que los usuarios finales </w:t>
      </w:r>
      <w:r w:rsidRPr="00523452">
        <w:lastRenderedPageBreak/>
        <w:t>terminan pagando por una unidad de servicio</w:t>
      </w:r>
      <w:r w:rsidRPr="00523452">
        <w:rPr>
          <w:rStyle w:val="Refdenotaalpie"/>
        </w:rPr>
        <w:footnoteReference w:id="4"/>
      </w:r>
      <w:r w:rsidRPr="00523452">
        <w:t xml:space="preserve"> es variable dependiendo del plan o paquete tarifario elegido, así como de sus patrones de consumo.</w:t>
      </w:r>
    </w:p>
    <w:p w14:paraId="4BCBA148" w14:textId="0EF91A2F" w:rsidR="00181D64" w:rsidRPr="00523452" w:rsidRDefault="00181D64" w:rsidP="00181D64">
      <w:pPr>
        <w:pStyle w:val="IFTnormal"/>
      </w:pPr>
      <w:r w:rsidRPr="00523452">
        <w:t xml:space="preserve">En tal contexto, el concepto de precio implícito cobra relevancia pues se refiere precisamente al precio efectivo que un cliente paga por una unidad de servicio, de entre todos aquellos elementos o servicios que se ofrecen en los planes o paquetes a la que el cliente puede acceder mediante un cargo asociado a dicho plan o paquete. Así, el precio minorista de un plan o paquete de la oferta minorista </w:t>
      </w:r>
      <w:r w:rsidR="00952404">
        <w:t>del APSM</w:t>
      </w:r>
      <w:r w:rsidRPr="00523452">
        <w:t xml:space="preserve"> se descompone a través de los precios implícitos de sus elementos o servicios.</w:t>
      </w:r>
    </w:p>
    <w:p w14:paraId="5DF71BC0" w14:textId="0A4F3EC7" w:rsidR="00181D64" w:rsidRPr="00523452" w:rsidRDefault="005F2E7E" w:rsidP="000B6702">
      <w:pPr>
        <w:pStyle w:val="IFTnormal"/>
        <w:spacing w:after="0"/>
        <w:jc w:val="center"/>
      </w:pPr>
      <w:r w:rsidRPr="00523452">
        <w:rPr>
          <w:rFonts w:ascii="Arial" w:hAnsi="Arial"/>
          <w:noProof/>
          <w:lang w:eastAsia="es-MX"/>
        </w:rPr>
        <mc:AlternateContent>
          <mc:Choice Requires="cx1">
            <w:drawing>
              <wp:inline distT="0" distB="0" distL="0" distR="0" wp14:anchorId="1D2802A1" wp14:editId="53C0D5AF">
                <wp:extent cx="4472104" cy="1697525"/>
                <wp:effectExtent l="0" t="0" r="5080" b="17145"/>
                <wp:docPr id="1958848335" name="Gráfico 1958848335"/>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1D2802A1" wp14:editId="53C0D5AF">
                <wp:extent cx="4472104" cy="1697525"/>
                <wp:effectExtent l="0" t="0" r="5080" b="17145"/>
                <wp:docPr id="1958848335" name="Gráfico 195884833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958848335" name="Gráfico 1958848335"/>
                        <pic:cNvPicPr>
                          <a:picLocks noGrp="1" noRot="1" noChangeAspect="1" noMove="1" noResize="1" noEditPoints="1" noAdjustHandles="1" noChangeArrowheads="1" noChangeShapeType="1"/>
                        </pic:cNvPicPr>
                      </pic:nvPicPr>
                      <pic:blipFill>
                        <a:blip r:embed="rId17"/>
                        <a:stretch>
                          <a:fillRect/>
                        </a:stretch>
                      </pic:blipFill>
                      <pic:spPr>
                        <a:xfrm>
                          <a:off x="0" y="0"/>
                          <a:ext cx="4471670" cy="1697355"/>
                        </a:xfrm>
                        <a:prstGeom prst="rect">
                          <a:avLst/>
                        </a:prstGeom>
                      </pic:spPr>
                    </pic:pic>
                  </a:graphicData>
                </a:graphic>
              </wp:inline>
            </w:drawing>
          </mc:Fallback>
        </mc:AlternateContent>
      </w:r>
    </w:p>
    <w:p w14:paraId="6BF0715C" w14:textId="753532D0" w:rsidR="00181D64" w:rsidRPr="00CA2F00" w:rsidRDefault="00181D64" w:rsidP="00CA2F00">
      <w:pPr>
        <w:pStyle w:val="Figura"/>
        <w:spacing w:before="0" w:after="240" w:line="259" w:lineRule="auto"/>
        <w:ind w:left="851" w:right="900"/>
        <w:jc w:val="both"/>
        <w:rPr>
          <w:szCs w:val="20"/>
        </w:rPr>
      </w:pPr>
      <w:r w:rsidRPr="00CA2F00" w:rsidDel="00680D10">
        <w:rPr>
          <w:bCs/>
          <w:szCs w:val="20"/>
        </w:rPr>
        <w:t xml:space="preserve">Esquema de precios implícitos asociados </w:t>
      </w:r>
      <w:r w:rsidR="00952404">
        <w:rPr>
          <w:bCs/>
          <w:szCs w:val="20"/>
        </w:rPr>
        <w:t>al STAR</w:t>
      </w:r>
      <w:r w:rsidRPr="00CA2F00" w:rsidDel="00680D10">
        <w:rPr>
          <w:bCs/>
          <w:szCs w:val="20"/>
        </w:rPr>
        <w:t xml:space="preserve"> a los que un </w:t>
      </w:r>
      <w:r w:rsidR="00B62E8A">
        <w:rPr>
          <w:bCs/>
          <w:szCs w:val="20"/>
        </w:rPr>
        <w:t>u</w:t>
      </w:r>
      <w:r w:rsidRPr="00CA2F00" w:rsidDel="00680D10">
        <w:rPr>
          <w:bCs/>
          <w:szCs w:val="20"/>
        </w:rPr>
        <w:t xml:space="preserve">suario </w:t>
      </w:r>
      <w:r w:rsidR="00B62E8A">
        <w:rPr>
          <w:bCs/>
          <w:szCs w:val="20"/>
        </w:rPr>
        <w:t>f</w:t>
      </w:r>
      <w:r w:rsidRPr="00CA2F00" w:rsidDel="00680D10">
        <w:rPr>
          <w:bCs/>
          <w:szCs w:val="20"/>
        </w:rPr>
        <w:t>inal accede a través de un plan o paquete de</w:t>
      </w:r>
      <w:r w:rsidR="00952404">
        <w:rPr>
          <w:bCs/>
          <w:szCs w:val="20"/>
        </w:rPr>
        <w:t xml:space="preserve">l APSM </w:t>
      </w:r>
      <w:r w:rsidRPr="00CA2F00">
        <w:rPr>
          <w:bCs/>
          <w:szCs w:val="20"/>
        </w:rPr>
        <w:t>(</w:t>
      </w:r>
      <w:r w:rsidRPr="00CA2F00">
        <w:rPr>
          <w:b/>
          <w:bCs/>
          <w:szCs w:val="20"/>
        </w:rPr>
        <w:t>Fuente:</w:t>
      </w:r>
      <w:r w:rsidRPr="00CA2F00">
        <w:rPr>
          <w:b/>
          <w:szCs w:val="20"/>
        </w:rPr>
        <w:t xml:space="preserve"> </w:t>
      </w:r>
      <w:r w:rsidRPr="00CA2F00">
        <w:rPr>
          <w:szCs w:val="20"/>
        </w:rPr>
        <w:t>IFT).</w:t>
      </w:r>
    </w:p>
    <w:p w14:paraId="0239C3BF" w14:textId="3BA91494" w:rsidR="00181D64" w:rsidRPr="00523452" w:rsidRDefault="007F3A1F" w:rsidP="00181D64">
      <w:pPr>
        <w:pStyle w:val="IFTnormal"/>
      </w:pPr>
      <w:r>
        <w:t>Es por ello que</w:t>
      </w:r>
      <w:r w:rsidR="00181D64" w:rsidRPr="00523452">
        <w:t xml:space="preserve"> en el Modelo de Costos Evitados se establecen los precios de referencia </w:t>
      </w:r>
      <w:r w:rsidR="00D200B4">
        <w:t xml:space="preserve">a </w:t>
      </w:r>
      <w:r w:rsidR="00181D64" w:rsidRPr="00523452">
        <w:t xml:space="preserve">partir de los precios implícitos de los elementos o servicios que caracterizan los planes y paquetes </w:t>
      </w:r>
      <w:r w:rsidR="00952404">
        <w:t>del APSM</w:t>
      </w:r>
      <w:r w:rsidR="00181D64" w:rsidRPr="00523452">
        <w:t xml:space="preserve">, con los que ofrece </w:t>
      </w:r>
      <w:r w:rsidR="00952404">
        <w:t>el STAR</w:t>
      </w:r>
      <w:r w:rsidR="00181D64" w:rsidRPr="00523452">
        <w:t xml:space="preserve"> en el mercado minorista.</w:t>
      </w:r>
    </w:p>
    <w:p w14:paraId="01C12004" w14:textId="3AF0E750" w:rsidR="00D73D7E" w:rsidRPr="00ED171E" w:rsidRDefault="00181D64" w:rsidP="00B70AA3">
      <w:pPr>
        <w:pStyle w:val="IFTnormal"/>
        <w:rPr>
          <w:b/>
          <w:bCs w:val="0"/>
          <w:sz w:val="17"/>
          <w:szCs w:val="17"/>
        </w:rPr>
      </w:pPr>
      <w:r w:rsidRPr="00523452">
        <w:t xml:space="preserve">Con base en este enfoque los ingresos que </w:t>
      </w:r>
      <w:r w:rsidR="00952404">
        <w:t>el APSM</w:t>
      </w:r>
      <w:r w:rsidRPr="00523452">
        <w:t xml:space="preserve"> obtiene respecto a los elementos o servicios que conforman las canastas de dichos planes o paquetes </w:t>
      </w:r>
      <w:r w:rsidR="00625A09">
        <w:t>resultan de</w:t>
      </w:r>
      <w:r w:rsidRPr="00523452">
        <w:t xml:space="preserve"> la multiplicación del precio implícito</w:t>
      </w:r>
      <w:r w:rsidR="001F342D">
        <w:t xml:space="preserve"> del STAR (single play y </w:t>
      </w:r>
      <w:r w:rsidR="00280293">
        <w:t>empaquetado</w:t>
      </w:r>
      <w:r w:rsidR="001F342D">
        <w:t xml:space="preserve">) </w:t>
      </w:r>
      <w:r w:rsidRPr="00523452">
        <w:t>por la cantidad de usuarios de los planes o paquetes correspondientes, para posteriormente atribuir, a partir de dichos ingresos, los costos evitados correspondientes a tales actividades de acuerdo con el alcance de los diferentes servicios mayoristas modelados.</w:t>
      </w:r>
    </w:p>
    <w:p w14:paraId="7CC4D3EC" w14:textId="0D1074A9" w:rsidR="00181D64" w:rsidRDefault="0061093A" w:rsidP="00ED171E">
      <w:pPr>
        <w:pStyle w:val="IFTnormal"/>
        <w:spacing w:after="0"/>
        <w:jc w:val="center"/>
      </w:pPr>
      <w:r>
        <w:rPr>
          <w:noProof/>
        </w:rPr>
        <w:lastRenderedPageBreak/>
        <w:drawing>
          <wp:inline distT="0" distB="0" distL="0" distR="0" wp14:anchorId="4B5827B9" wp14:editId="55602BAE">
            <wp:extent cx="5612130" cy="2209800"/>
            <wp:effectExtent l="0" t="0" r="7620" b="0"/>
            <wp:docPr id="19545145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514550" name="Imagen 195451455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12130" cy="2209800"/>
                    </a:xfrm>
                    <a:prstGeom prst="rect">
                      <a:avLst/>
                    </a:prstGeom>
                  </pic:spPr>
                </pic:pic>
              </a:graphicData>
            </a:graphic>
          </wp:inline>
        </w:drawing>
      </w:r>
    </w:p>
    <w:p w14:paraId="2602FA99" w14:textId="648BDCF1" w:rsidR="00181D64" w:rsidRPr="00CA2F00" w:rsidRDefault="00181D64" w:rsidP="004676C5">
      <w:pPr>
        <w:pStyle w:val="Figura"/>
        <w:spacing w:before="0" w:after="240" w:line="259" w:lineRule="auto"/>
        <w:ind w:right="49"/>
        <w:jc w:val="both"/>
        <w:rPr>
          <w:szCs w:val="20"/>
        </w:rPr>
      </w:pPr>
      <w:r w:rsidRPr="00CA2F00">
        <w:rPr>
          <w:szCs w:val="20"/>
        </w:rPr>
        <w:t xml:space="preserve">Esquema de precios implícitos asociados a los elementos o servicios que caracterizan a los planes o paquetes </w:t>
      </w:r>
      <w:r w:rsidR="00952404">
        <w:rPr>
          <w:szCs w:val="20"/>
        </w:rPr>
        <w:t>del APSM</w:t>
      </w:r>
      <w:r w:rsidRPr="00CA2F00">
        <w:rPr>
          <w:szCs w:val="20"/>
        </w:rPr>
        <w:t xml:space="preserve"> en el Modelo de Costos Evitados.</w:t>
      </w:r>
      <w:r w:rsidR="00D80EAC" w:rsidRPr="00CA2F00">
        <w:rPr>
          <w:szCs w:val="20"/>
        </w:rPr>
        <w:t xml:space="preserve"> </w:t>
      </w:r>
      <w:r w:rsidR="00D80EAC" w:rsidRPr="00CA2F00">
        <w:rPr>
          <w:bCs/>
          <w:szCs w:val="20"/>
        </w:rPr>
        <w:t>(</w:t>
      </w:r>
      <w:r w:rsidR="00D80EAC" w:rsidRPr="00CA2F00">
        <w:rPr>
          <w:b/>
          <w:szCs w:val="20"/>
        </w:rPr>
        <w:t>Fuente</w:t>
      </w:r>
      <w:r w:rsidR="00D80EAC" w:rsidRPr="00CA2F00">
        <w:rPr>
          <w:szCs w:val="20"/>
        </w:rPr>
        <w:t>: IFT).</w:t>
      </w:r>
    </w:p>
    <w:p w14:paraId="5B548EC8" w14:textId="115A802C" w:rsidR="00181D64" w:rsidRPr="00523452" w:rsidRDefault="00181D64" w:rsidP="00D80EAC">
      <w:pPr>
        <w:pStyle w:val="IFTnormal"/>
      </w:pPr>
      <w:r w:rsidRPr="00523452">
        <w:t>Otra de las razones por las que en el Modelo de Costos Evitados se emplea el enfoque de precios implícitos es que permite representar a nivel promedio el precio de referencia que se asocia a</w:t>
      </w:r>
      <w:r w:rsidR="00952404">
        <w:t>l SRM</w:t>
      </w:r>
      <w:r w:rsidRPr="00523452">
        <w:t xml:space="preserve">, a partir de las tarifas que </w:t>
      </w:r>
      <w:r w:rsidR="00952404">
        <w:t>el APSM</w:t>
      </w:r>
      <w:r w:rsidRPr="00523452">
        <w:t xml:space="preserve"> ofrece para sus </w:t>
      </w:r>
      <w:r w:rsidR="00625A09">
        <w:t xml:space="preserve">propios </w:t>
      </w:r>
      <w:r w:rsidRPr="00523452">
        <w:t xml:space="preserve">usuarios. Ello se realiza través de la estimación del </w:t>
      </w:r>
      <w:r w:rsidRPr="00523452">
        <w:rPr>
          <w:b/>
        </w:rPr>
        <w:t xml:space="preserve">precio implícito a nivel promedio </w:t>
      </w:r>
      <w:r w:rsidRPr="00523452">
        <w:t>al tomar los precios implícitos individuales de cada elemento o servicio que ofrece las mismas características en cada plan o paquete y ponderarlos con el número de clientes que acceden a cada uno de estos planes o paquetes.</w:t>
      </w:r>
    </w:p>
    <w:p w14:paraId="55F66845" w14:textId="53C29334" w:rsidR="00181D64" w:rsidRPr="00523452" w:rsidRDefault="00181D64" w:rsidP="00181D64">
      <w:pPr>
        <w:pStyle w:val="aaaIFTnormal"/>
        <w:rPr>
          <w:rFonts w:ascii="ITC Avant Garde" w:hAnsi="ITC Avant Garde"/>
        </w:rPr>
      </w:pPr>
      <w:r w:rsidRPr="00523452">
        <w:rPr>
          <w:rFonts w:ascii="ITC Avant Garde" w:hAnsi="ITC Avant Garde"/>
        </w:rPr>
        <w:t>En este sentido, el enfoque metodológico para representar el precio implícito de los servicios que componen planes y paquetes de</w:t>
      </w:r>
      <w:r w:rsidR="00952404">
        <w:rPr>
          <w:rFonts w:ascii="ITC Avant Garde" w:hAnsi="ITC Avant Garde"/>
        </w:rPr>
        <w:t>l</w:t>
      </w:r>
      <w:r w:rsidRPr="00523452">
        <w:rPr>
          <w:rFonts w:ascii="ITC Avant Garde" w:hAnsi="ITC Avant Garde"/>
        </w:rPr>
        <w:t xml:space="preserve"> </w:t>
      </w:r>
      <w:r w:rsidR="0023739A">
        <w:rPr>
          <w:rFonts w:ascii="ITC Avant Garde" w:hAnsi="ITC Avant Garde"/>
        </w:rPr>
        <w:t>APSM</w:t>
      </w:r>
      <w:r w:rsidRPr="00523452">
        <w:rPr>
          <w:rFonts w:ascii="ITC Avant Garde" w:hAnsi="ITC Avant Garde"/>
        </w:rPr>
        <w:t xml:space="preserve"> se aborda en la sección </w:t>
      </w:r>
      <w:hyperlink w:anchor="_Enfoque_de_estimación" w:history="1">
        <w:r w:rsidR="00625A09" w:rsidRPr="008671E6">
          <w:rPr>
            <w:rStyle w:val="Hipervnculo"/>
            <w:rFonts w:ascii="ITC Avant Garde" w:hAnsi="ITC Avant Garde"/>
            <w:color w:val="auto"/>
            <w:u w:val="none"/>
          </w:rPr>
          <w:t>3.</w:t>
        </w:r>
      </w:hyperlink>
      <w:r w:rsidR="008671E6" w:rsidRPr="008671E6">
        <w:rPr>
          <w:rStyle w:val="Hipervnculo"/>
          <w:rFonts w:ascii="ITC Avant Garde" w:hAnsi="ITC Avant Garde"/>
          <w:color w:val="auto"/>
          <w:u w:val="none"/>
        </w:rPr>
        <w:t>4</w:t>
      </w:r>
      <w:r w:rsidRPr="00523452">
        <w:rPr>
          <w:rFonts w:ascii="ITC Avant Garde" w:hAnsi="ITC Avant Garde"/>
        </w:rPr>
        <w:t xml:space="preserve"> mientras que el enfoque metodológico seguido en el modelo para definir los precios de referencia de los </w:t>
      </w:r>
      <w:r w:rsidR="008671E6">
        <w:rPr>
          <w:rFonts w:ascii="ITC Avant Garde" w:hAnsi="ITC Avant Garde"/>
        </w:rPr>
        <w:t>SRM</w:t>
      </w:r>
      <w:r w:rsidRPr="00523452">
        <w:rPr>
          <w:rFonts w:ascii="ITC Avant Garde" w:hAnsi="ITC Avant Garde"/>
        </w:rPr>
        <w:t xml:space="preserve"> se aborda en la </w:t>
      </w:r>
      <w:r w:rsidRPr="008671E6">
        <w:rPr>
          <w:rFonts w:ascii="ITC Avant Garde" w:hAnsi="ITC Avant Garde"/>
        </w:rPr>
        <w:t xml:space="preserve">sección </w:t>
      </w:r>
      <w:hyperlink w:anchor="_Precio_de_Referencia" w:history="1"/>
      <w:r w:rsidR="008671E6" w:rsidRPr="008671E6">
        <w:rPr>
          <w:rFonts w:ascii="ITC Avant Garde" w:hAnsi="ITC Avant Garde"/>
        </w:rPr>
        <w:t>3.5</w:t>
      </w:r>
    </w:p>
    <w:p w14:paraId="690B0232" w14:textId="7267033A" w:rsidR="00181D64" w:rsidRPr="00523452" w:rsidRDefault="00181D64" w:rsidP="00181D64">
      <w:pPr>
        <w:pStyle w:val="Ttulo2"/>
        <w:numPr>
          <w:ilvl w:val="1"/>
          <w:numId w:val="7"/>
        </w:numPr>
        <w:ind w:left="426" w:hanging="360"/>
        <w:rPr>
          <w:rStyle w:val="IFTnormalCar"/>
          <w:color w:val="auto"/>
          <w:lang w:val="es-MX"/>
        </w:rPr>
      </w:pPr>
      <w:bookmarkStart w:id="22" w:name="_Enfoque_de_estimación"/>
      <w:bookmarkStart w:id="23" w:name="_Toc114513053"/>
      <w:bookmarkStart w:id="24" w:name="_Toc180491373"/>
      <w:bookmarkEnd w:id="22"/>
      <w:r w:rsidRPr="00523452">
        <w:rPr>
          <w:rStyle w:val="IFTnormalCar"/>
          <w:color w:val="auto"/>
          <w:lang w:val="es-MX"/>
        </w:rPr>
        <w:t xml:space="preserve">Enfoque de estimación del precio implícito de los elementos que integran la canasta de servicios de los planes y paquetes de </w:t>
      </w:r>
      <w:bookmarkEnd w:id="23"/>
      <w:r w:rsidR="0023739A">
        <w:rPr>
          <w:rStyle w:val="IFTnormalCar"/>
          <w:color w:val="auto"/>
          <w:lang w:val="es-MX"/>
        </w:rPr>
        <w:t>APSM</w:t>
      </w:r>
      <w:bookmarkEnd w:id="24"/>
    </w:p>
    <w:p w14:paraId="6E85BCB8" w14:textId="31C43C54" w:rsidR="005F2E7E" w:rsidRDefault="00935405" w:rsidP="00935405">
      <w:pPr>
        <w:pStyle w:val="IFTnormal"/>
      </w:pPr>
      <w:r>
        <w:t xml:space="preserve">En el </w:t>
      </w:r>
      <w:r w:rsidRPr="00B55028">
        <w:t>Modelo de Costos</w:t>
      </w:r>
      <w:r>
        <w:t xml:space="preserve"> Evitados</w:t>
      </w:r>
      <w:r w:rsidRPr="00B55028">
        <w:t xml:space="preserve"> </w:t>
      </w:r>
      <w:r>
        <w:t>l</w:t>
      </w:r>
      <w:r w:rsidRPr="00B55028">
        <w:t xml:space="preserve">a estimación </w:t>
      </w:r>
      <w:r>
        <w:t xml:space="preserve">de </w:t>
      </w:r>
      <w:r w:rsidRPr="00B55028">
        <w:t xml:space="preserve">los precios implícitos asociados a los planes y paquetes mediante los cuales </w:t>
      </w:r>
      <w:r w:rsidR="0023739A">
        <w:t>APSM</w:t>
      </w:r>
      <w:r w:rsidRPr="00B55028">
        <w:t xml:space="preserve"> ofrece </w:t>
      </w:r>
      <w:r w:rsidR="00D62584">
        <w:t>el STAR</w:t>
      </w:r>
      <w:r w:rsidRPr="00B55028">
        <w:t xml:space="preserve"> en el mercado minorista se </w:t>
      </w:r>
      <w:r>
        <w:t xml:space="preserve">realiza a partir de la información y datos aportados </w:t>
      </w:r>
      <w:r w:rsidR="00C95223">
        <w:t xml:space="preserve">por dicho agente </w:t>
      </w:r>
      <w:r>
        <w:t>respecto a la</w:t>
      </w:r>
      <w:r w:rsidRPr="00B55028">
        <w:t xml:space="preserve"> </w:t>
      </w:r>
      <w:r w:rsidRPr="00CE51F4">
        <w:t xml:space="preserve">composición de precios de </w:t>
      </w:r>
      <w:r>
        <w:t xml:space="preserve">dichos </w:t>
      </w:r>
      <w:r w:rsidRPr="00CE51F4">
        <w:t>planes y paquetes</w:t>
      </w:r>
      <w:r>
        <w:t>,</w:t>
      </w:r>
      <w:r w:rsidRPr="00CE51F4">
        <w:t xml:space="preserve"> </w:t>
      </w:r>
      <w:r>
        <w:t>precios implícitos y otros elementos</w:t>
      </w:r>
      <w:r w:rsidR="005F2E7E">
        <w:t>.</w:t>
      </w:r>
    </w:p>
    <w:p w14:paraId="454542DD" w14:textId="709E84B9" w:rsidR="005F2E7E" w:rsidRDefault="005F2E7E" w:rsidP="00935405">
      <w:pPr>
        <w:pStyle w:val="IFTnormal"/>
      </w:pPr>
      <w:r>
        <w:t xml:space="preserve">Dado que el APSM no entregó información </w:t>
      </w:r>
      <w:r w:rsidR="001F342D">
        <w:t>sobre precios implícitos</w:t>
      </w:r>
      <w:r>
        <w:t>, el Instituto realiz</w:t>
      </w:r>
      <w:r w:rsidR="00C95223">
        <w:t>ó</w:t>
      </w:r>
      <w:r>
        <w:t xml:space="preserve"> la estimación de estos precios </w:t>
      </w:r>
      <w:r w:rsidR="001F342D">
        <w:t>a partir de los observados en la modalidad STAR single play para estimar el precio por canal, para posteriormente estimar el precio implícito acorde con la cantidad total de canales (“SD” y “HD”) ofrecidos.</w:t>
      </w:r>
    </w:p>
    <w:p w14:paraId="0B02F62D" w14:textId="2B1FE740" w:rsidR="007747E8" w:rsidRPr="007361EE" w:rsidRDefault="00935405" w:rsidP="00935405">
      <w:pPr>
        <w:pStyle w:val="IFTnormal"/>
        <w:rPr>
          <w:b/>
        </w:rPr>
      </w:pPr>
      <w:r>
        <w:lastRenderedPageBreak/>
        <w:t>Como se ha mencionado anteriormente,</w:t>
      </w:r>
      <w:r w:rsidRPr="00984D4E">
        <w:t xml:space="preserve"> dichos planes o paquetes </w:t>
      </w:r>
      <w:r w:rsidR="006231C5">
        <w:t>ofrecen al</w:t>
      </w:r>
      <w:r>
        <w:t xml:space="preserve"> </w:t>
      </w:r>
      <w:r w:rsidR="00620889">
        <w:t xml:space="preserve">STAR single play y STAR </w:t>
      </w:r>
      <w:r w:rsidR="00280293">
        <w:t xml:space="preserve">empaquetado </w:t>
      </w:r>
      <w:r>
        <w:t xml:space="preserve">(conforme a lo expuesto en la </w:t>
      </w:r>
      <w:r w:rsidRPr="008671E6">
        <w:t xml:space="preserve">sección </w:t>
      </w:r>
      <w:r w:rsidR="006231C5" w:rsidRPr="008671E6">
        <w:t>3.3</w:t>
      </w:r>
      <w:r w:rsidRPr="00625A09">
        <w:t>).</w:t>
      </w:r>
    </w:p>
    <w:p w14:paraId="4369F93F" w14:textId="3FEA5177" w:rsidR="00682FCC" w:rsidRPr="00F651CA" w:rsidRDefault="00682FCC" w:rsidP="000D3567">
      <w:pPr>
        <w:pStyle w:val="Ttulo2"/>
        <w:numPr>
          <w:ilvl w:val="2"/>
          <w:numId w:val="7"/>
        </w:numPr>
        <w:ind w:left="993" w:hanging="257"/>
        <w:rPr>
          <w:rStyle w:val="IFTnormalCar"/>
          <w:color w:val="auto"/>
          <w:sz w:val="22"/>
          <w:lang w:val="es-MX"/>
        </w:rPr>
      </w:pPr>
      <w:bookmarkStart w:id="25" w:name="_Toc180491374"/>
      <w:r w:rsidRPr="00F651CA">
        <w:rPr>
          <w:rStyle w:val="IFTnormalCar"/>
          <w:color w:val="auto"/>
          <w:sz w:val="22"/>
          <w:lang w:val="es-MX"/>
        </w:rPr>
        <w:t>Análisis de la información proporcionada por el APSM.</w:t>
      </w:r>
      <w:bookmarkEnd w:id="25"/>
    </w:p>
    <w:p w14:paraId="271778F7" w14:textId="38152507" w:rsidR="00682FCC" w:rsidRDefault="00C95223" w:rsidP="00935405">
      <w:pPr>
        <w:pStyle w:val="IFTnormal"/>
      </w:pPr>
      <w:r>
        <w:t>E</w:t>
      </w:r>
      <w:r w:rsidR="00935405">
        <w:t xml:space="preserve">l Instituto </w:t>
      </w:r>
      <w:r w:rsidR="00620889">
        <w:t>solicitó</w:t>
      </w:r>
      <w:r w:rsidR="007747E8">
        <w:t xml:space="preserve"> </w:t>
      </w:r>
      <w:r w:rsidR="00620889">
        <w:t>al ASPM</w:t>
      </w:r>
      <w:r w:rsidR="00682FCC">
        <w:t xml:space="preserve"> diversa información relacionada con la comercialización de planes y paquetes STAR en los 9 </w:t>
      </w:r>
      <w:r w:rsidR="00255223">
        <w:t>mercados con PSM</w:t>
      </w:r>
      <w:r w:rsidR="00682FCC">
        <w:t xml:space="preserve"> conforme lo dispuesto en la Resolución APSM. </w:t>
      </w:r>
      <w:r w:rsidR="000D3567">
        <w:t xml:space="preserve">En concreto, se solicitó información </w:t>
      </w:r>
      <w:r w:rsidR="00682FCC">
        <w:t>referente a tarifas, canasta de servicios y suscriptores</w:t>
      </w:r>
      <w:r w:rsidR="000D3567">
        <w:t xml:space="preserve"> por los que se comercializa el STAR</w:t>
      </w:r>
      <w:r w:rsidR="00CC7684">
        <w:t xml:space="preserve">, </w:t>
      </w:r>
      <w:r>
        <w:t xml:space="preserve">además de </w:t>
      </w:r>
      <w:r w:rsidR="00CC7684">
        <w:t>información financiera y operativa</w:t>
      </w:r>
      <w:r w:rsidR="00682FCC">
        <w:t>.</w:t>
      </w:r>
    </w:p>
    <w:p w14:paraId="55C114C6" w14:textId="2AA29275" w:rsidR="00B908B0" w:rsidRPr="000D3567" w:rsidRDefault="00682FCC" w:rsidP="00C348CB">
      <w:pPr>
        <w:pStyle w:val="IFTnormal"/>
      </w:pPr>
      <w:r>
        <w:t>Con relación a la información sobre tarifas, canasta de servicios y suscriptores, l</w:t>
      </w:r>
      <w:r w:rsidR="00935405">
        <w:t xml:space="preserve">os resultados de </w:t>
      </w:r>
      <w:r w:rsidR="006231C5">
        <w:t xml:space="preserve">la </w:t>
      </w:r>
      <w:r w:rsidR="00CC7684">
        <w:t>revisión,</w:t>
      </w:r>
      <w:r w:rsidR="00935405">
        <w:t xml:space="preserve"> así como las consideraciones metodológicas del Instituto para </w:t>
      </w:r>
      <w:r w:rsidR="0012402D">
        <w:t>su</w:t>
      </w:r>
      <w:r w:rsidR="00935405">
        <w:t xml:space="preserve"> implementación del Modelo de Costos Evitados se resumen en el siguiente cuadro:</w:t>
      </w:r>
      <w:bookmarkStart w:id="26" w:name="_Hlk113896182"/>
    </w:p>
    <w:tbl>
      <w:tblPr>
        <w:tblStyle w:val="Tablaconcuadrcula1clara"/>
        <w:tblpPr w:leftFromText="141" w:rightFromText="141" w:vertAnchor="text" w:horzAnchor="margin" w:tblpY="174"/>
        <w:tblW w:w="5000" w:type="pct"/>
        <w:tblLook w:val="0420" w:firstRow="1" w:lastRow="0" w:firstColumn="0" w:lastColumn="0" w:noHBand="0" w:noVBand="1"/>
        <w:tblCaption w:val="Figura 3: Estrutura del modelo de costos de coubicación móvil (Fuente: IFT, 2015)"/>
        <w:tblDescription w:val="Se divida en hoja de cálculo y descripción"/>
      </w:tblPr>
      <w:tblGrid>
        <w:gridCol w:w="2537"/>
        <w:gridCol w:w="3120"/>
        <w:gridCol w:w="3171"/>
      </w:tblGrid>
      <w:tr w:rsidR="00181D64" w:rsidRPr="00523452" w14:paraId="03E2B1F2" w14:textId="77777777" w:rsidTr="008F26C5">
        <w:trPr>
          <w:cnfStyle w:val="100000000000" w:firstRow="1" w:lastRow="0" w:firstColumn="0" w:lastColumn="0" w:oddVBand="0" w:evenVBand="0" w:oddHBand="0" w:evenHBand="0" w:firstRowFirstColumn="0" w:firstRowLastColumn="0" w:lastRowFirstColumn="0" w:lastRowLastColumn="0"/>
          <w:trHeight w:val="560"/>
          <w:tblHeader/>
        </w:trPr>
        <w:tc>
          <w:tcPr>
            <w:tcW w:w="1437" w:type="pct"/>
            <w:shd w:val="clear" w:color="auto" w:fill="000000" w:themeFill="text1"/>
            <w:vAlign w:val="center"/>
          </w:tcPr>
          <w:bookmarkEnd w:id="26"/>
          <w:p w14:paraId="62B2A8E8" w14:textId="315202B7" w:rsidR="00181D64" w:rsidRPr="00523452" w:rsidRDefault="00181D64" w:rsidP="008F26C5">
            <w:pPr>
              <w:pStyle w:val="Tableheading"/>
              <w:spacing w:before="0" w:after="120" w:line="276" w:lineRule="auto"/>
              <w:rPr>
                <w:rFonts w:ascii="ITC Avant Garde" w:hAnsi="ITC Avant Garde" w:cs="Arial"/>
                <w:b/>
                <w:color w:val="FFFFFF" w:themeColor="background1"/>
                <w:lang w:val="es-MX"/>
              </w:rPr>
            </w:pPr>
            <w:r w:rsidRPr="00523452">
              <w:rPr>
                <w:rFonts w:ascii="ITC Avant Garde" w:hAnsi="ITC Avant Garde" w:cs="Arial"/>
                <w:b/>
                <w:color w:val="FFFFFF" w:themeColor="background1"/>
                <w:lang w:val="es-MX"/>
              </w:rPr>
              <w:t xml:space="preserve">Concepto requerido a </w:t>
            </w:r>
            <w:r w:rsidR="0023739A">
              <w:rPr>
                <w:rFonts w:ascii="ITC Avant Garde" w:hAnsi="ITC Avant Garde" w:cs="Arial"/>
                <w:b/>
                <w:color w:val="FFFFFF" w:themeColor="background1"/>
                <w:lang w:val="es-MX"/>
              </w:rPr>
              <w:t>APSM</w:t>
            </w:r>
          </w:p>
        </w:tc>
        <w:tc>
          <w:tcPr>
            <w:tcW w:w="1767" w:type="pct"/>
            <w:shd w:val="clear" w:color="auto" w:fill="000000" w:themeFill="text1"/>
            <w:vAlign w:val="center"/>
          </w:tcPr>
          <w:p w14:paraId="7B06B6C0" w14:textId="323EF2FC" w:rsidR="00181D64" w:rsidRPr="00523452" w:rsidRDefault="00181D64" w:rsidP="008F26C5">
            <w:pPr>
              <w:pStyle w:val="Tableheading"/>
              <w:spacing w:before="0" w:after="120" w:line="276" w:lineRule="auto"/>
              <w:rPr>
                <w:rFonts w:ascii="ITC Avant Garde" w:hAnsi="ITC Avant Garde" w:cs="Arial"/>
                <w:b/>
                <w:color w:val="FFFFFF" w:themeColor="background1"/>
                <w:lang w:val="es-MX"/>
              </w:rPr>
            </w:pPr>
            <w:r w:rsidRPr="00523452">
              <w:rPr>
                <w:rFonts w:ascii="ITC Avant Garde" w:hAnsi="ITC Avant Garde" w:cs="Arial"/>
                <w:b/>
                <w:color w:val="FFFFFF" w:themeColor="background1"/>
                <w:lang w:val="es-MX"/>
              </w:rPr>
              <w:t xml:space="preserve">Análisis de datos de composición de </w:t>
            </w:r>
            <w:r w:rsidR="00B86529">
              <w:rPr>
                <w:rFonts w:ascii="ITC Avant Garde" w:hAnsi="ITC Avant Garde" w:cs="Arial"/>
                <w:b/>
                <w:color w:val="FFFFFF" w:themeColor="background1"/>
                <w:lang w:val="es-MX"/>
              </w:rPr>
              <w:t xml:space="preserve">variables </w:t>
            </w:r>
            <w:r w:rsidRPr="00523452">
              <w:rPr>
                <w:rFonts w:ascii="ITC Avant Garde" w:hAnsi="ITC Avant Garde" w:cs="Arial"/>
                <w:b/>
                <w:color w:val="FFFFFF" w:themeColor="background1"/>
                <w:lang w:val="es-MX"/>
              </w:rPr>
              <w:t xml:space="preserve">de planes y paquetes proporcionados por </w:t>
            </w:r>
            <w:r w:rsidR="0023739A" w:rsidRPr="00F628D0">
              <w:rPr>
                <w:rFonts w:ascii="ITC Avant Garde" w:hAnsi="ITC Avant Garde" w:cs="Arial"/>
                <w:color w:val="FFFFFF" w:themeColor="background1"/>
                <w:lang w:val="es-MX"/>
              </w:rPr>
              <w:t>APSM</w:t>
            </w:r>
          </w:p>
        </w:tc>
        <w:tc>
          <w:tcPr>
            <w:tcW w:w="1796" w:type="pct"/>
            <w:shd w:val="clear" w:color="auto" w:fill="000000" w:themeFill="text1"/>
            <w:vAlign w:val="center"/>
          </w:tcPr>
          <w:p w14:paraId="4B9DE839" w14:textId="77777777" w:rsidR="00181D64" w:rsidRPr="00523452" w:rsidRDefault="00181D64" w:rsidP="008F26C5">
            <w:pPr>
              <w:pStyle w:val="Tableheading"/>
              <w:spacing w:before="0" w:after="120" w:line="276" w:lineRule="auto"/>
              <w:jc w:val="center"/>
              <w:rPr>
                <w:rFonts w:ascii="ITC Avant Garde" w:hAnsi="ITC Avant Garde" w:cs="Arial"/>
                <w:b/>
                <w:color w:val="FFFFFF" w:themeColor="background1"/>
                <w:lang w:val="es-MX"/>
              </w:rPr>
            </w:pPr>
            <w:r w:rsidRPr="00F628D0">
              <w:rPr>
                <w:rFonts w:ascii="ITC Avant Garde" w:hAnsi="ITC Avant Garde" w:cs="Arial"/>
                <w:color w:val="FFFFFF" w:themeColor="background1"/>
                <w:lang w:val="es-MX"/>
              </w:rPr>
              <w:t>Consideraciones metodológicas</w:t>
            </w:r>
          </w:p>
        </w:tc>
      </w:tr>
      <w:tr w:rsidR="00181D64" w:rsidRPr="00523452" w14:paraId="38732AED" w14:textId="77777777" w:rsidTr="008F26C5">
        <w:trPr>
          <w:trHeight w:val="113"/>
        </w:trPr>
        <w:tc>
          <w:tcPr>
            <w:tcW w:w="5000" w:type="pct"/>
            <w:gridSpan w:val="3"/>
            <w:shd w:val="clear" w:color="auto" w:fill="E7E6E6" w:themeFill="background2"/>
          </w:tcPr>
          <w:p w14:paraId="2AD13F39" w14:textId="0927FDC9" w:rsidR="00181D64" w:rsidRPr="00AB577D" w:rsidRDefault="00B86529" w:rsidP="008F26C5">
            <w:pPr>
              <w:pStyle w:val="Tablecells"/>
              <w:spacing w:before="0" w:after="120" w:line="276" w:lineRule="auto"/>
              <w:rPr>
                <w:rFonts w:ascii="ITC Avant Garde" w:hAnsi="ITC Avant Garde" w:cs="Arial"/>
                <w:b/>
                <w:lang w:val="es-MX"/>
              </w:rPr>
            </w:pPr>
            <w:r>
              <w:rPr>
                <w:rFonts w:ascii="ITC Avant Garde" w:hAnsi="ITC Avant Garde" w:cs="Arial"/>
                <w:b/>
                <w:lang w:val="es-MX"/>
              </w:rPr>
              <w:t>Tarifas de planes y paquetes</w:t>
            </w:r>
            <w:r w:rsidR="00CC7684">
              <w:rPr>
                <w:rFonts w:ascii="ITC Avant Garde" w:hAnsi="ITC Avant Garde" w:cs="Arial"/>
                <w:b/>
                <w:lang w:val="es-MX"/>
              </w:rPr>
              <w:t>.</w:t>
            </w:r>
          </w:p>
        </w:tc>
      </w:tr>
      <w:tr w:rsidR="000B3141" w:rsidRPr="00523452" w14:paraId="2BF8DCA6" w14:textId="77777777" w:rsidTr="008F26C5">
        <w:trPr>
          <w:trHeight w:val="340"/>
        </w:trPr>
        <w:tc>
          <w:tcPr>
            <w:tcW w:w="1437" w:type="pct"/>
          </w:tcPr>
          <w:p w14:paraId="354288EF" w14:textId="1F398065" w:rsidR="000B3141" w:rsidRPr="00523452" w:rsidRDefault="000B3141" w:rsidP="008F26C5">
            <w:pPr>
              <w:pStyle w:val="Tablecells"/>
              <w:spacing w:before="0" w:after="120" w:line="276" w:lineRule="auto"/>
              <w:jc w:val="both"/>
              <w:rPr>
                <w:rFonts w:ascii="ITC Avant Garde" w:hAnsi="ITC Avant Garde" w:cs="Arial"/>
                <w:i/>
                <w:lang w:val="es-MX"/>
              </w:rPr>
            </w:pPr>
            <w:r>
              <w:rPr>
                <w:rFonts w:ascii="ITC Avant Garde" w:hAnsi="ITC Avant Garde" w:cs="Arial"/>
                <w:i/>
                <w:lang w:val="es-MX"/>
              </w:rPr>
              <w:t>Nombre del plan o paquete</w:t>
            </w:r>
          </w:p>
        </w:tc>
        <w:tc>
          <w:tcPr>
            <w:tcW w:w="1767" w:type="pct"/>
          </w:tcPr>
          <w:p w14:paraId="3D8CF8B7" w14:textId="34B1F649" w:rsidR="000B3141" w:rsidRDefault="000B3141" w:rsidP="008F26C5">
            <w:pPr>
              <w:pStyle w:val="Tablecells"/>
              <w:spacing w:before="0" w:after="120" w:line="276" w:lineRule="auto"/>
              <w:jc w:val="both"/>
              <w:rPr>
                <w:rFonts w:ascii="ITC Avant Garde" w:hAnsi="ITC Avant Garde" w:cs="Arial"/>
                <w:lang w:val="es-MX"/>
              </w:rPr>
            </w:pPr>
            <w:r w:rsidRPr="00523452">
              <w:rPr>
                <w:rFonts w:ascii="ITC Avant Garde" w:hAnsi="ITC Avant Garde" w:cs="Arial"/>
                <w:lang w:val="es-MX"/>
              </w:rPr>
              <w:t xml:space="preserve">Se reportó el </w:t>
            </w:r>
            <w:r>
              <w:rPr>
                <w:rFonts w:ascii="ITC Avant Garde" w:hAnsi="ITC Avant Garde" w:cs="Arial"/>
                <w:lang w:val="es-MX"/>
              </w:rPr>
              <w:t xml:space="preserve">nombre de los planes y paquetes </w:t>
            </w:r>
            <w:r w:rsidRPr="00523452">
              <w:rPr>
                <w:rFonts w:ascii="ITC Avant Garde" w:hAnsi="ITC Avant Garde" w:cs="Arial"/>
                <w:lang w:val="es-MX"/>
              </w:rPr>
              <w:t>de</w:t>
            </w:r>
            <w:r>
              <w:rPr>
                <w:rFonts w:ascii="ITC Avant Garde" w:hAnsi="ITC Avant Garde" w:cs="Arial"/>
                <w:lang w:val="es-MX"/>
              </w:rPr>
              <w:t xml:space="preserve">l STAR individuales y empaquetados </w:t>
            </w:r>
            <w:r w:rsidR="00FB1329">
              <w:rPr>
                <w:rFonts w:ascii="ITC Avant Garde" w:hAnsi="ITC Avant Garde" w:cs="Arial"/>
                <w:lang w:val="es-MX"/>
              </w:rPr>
              <w:t>en los que se identificaron las modalidades</w:t>
            </w:r>
            <w:r w:rsidRPr="00523452">
              <w:rPr>
                <w:rFonts w:ascii="ITC Avant Garde" w:hAnsi="ITC Avant Garde" w:cs="Arial"/>
                <w:lang w:val="es-MX"/>
              </w:rPr>
              <w:t>:</w:t>
            </w:r>
          </w:p>
          <w:p w14:paraId="55702CC4" w14:textId="40ED5746" w:rsidR="000B3141" w:rsidRDefault="000B3141" w:rsidP="008F26C5">
            <w:pPr>
              <w:pStyle w:val="Tablecells"/>
              <w:numPr>
                <w:ilvl w:val="0"/>
                <w:numId w:val="9"/>
              </w:numPr>
              <w:spacing w:before="0" w:after="120" w:line="276" w:lineRule="auto"/>
              <w:jc w:val="both"/>
              <w:rPr>
                <w:rFonts w:ascii="ITC Avant Garde" w:hAnsi="ITC Avant Garde" w:cs="Arial"/>
                <w:lang w:val="es-MX"/>
              </w:rPr>
            </w:pPr>
            <w:r>
              <w:rPr>
                <w:rFonts w:ascii="ITC Avant Garde" w:hAnsi="ITC Avant Garde" w:cs="Arial"/>
                <w:lang w:val="es-MX"/>
              </w:rPr>
              <w:t>TV Básico Plus, y</w:t>
            </w:r>
          </w:p>
          <w:p w14:paraId="190D53E6" w14:textId="0FCA29C6" w:rsidR="000B3141" w:rsidRDefault="000B3141" w:rsidP="008F26C5">
            <w:pPr>
              <w:pStyle w:val="Tablecells"/>
              <w:numPr>
                <w:ilvl w:val="0"/>
                <w:numId w:val="9"/>
              </w:numPr>
              <w:spacing w:before="0" w:after="120" w:line="276" w:lineRule="auto"/>
              <w:jc w:val="both"/>
              <w:rPr>
                <w:rFonts w:ascii="ITC Avant Garde" w:hAnsi="ITC Avant Garde" w:cs="Arial"/>
                <w:lang w:val="es-MX"/>
              </w:rPr>
            </w:pPr>
            <w:r w:rsidRPr="00FE161E">
              <w:rPr>
                <w:rFonts w:ascii="ITC Avant Garde" w:hAnsi="ITC Avant Garde" w:cs="Arial"/>
                <w:lang w:val="es-MX"/>
              </w:rPr>
              <w:t>TV Conecta</w:t>
            </w:r>
            <w:r>
              <w:rPr>
                <w:rFonts w:ascii="ITC Avant Garde" w:hAnsi="ITC Avant Garde" w:cs="Arial"/>
                <w:lang w:val="es-MX"/>
              </w:rPr>
              <w:t>.</w:t>
            </w:r>
          </w:p>
          <w:p w14:paraId="6E40FF7F" w14:textId="36BB98EA" w:rsidR="000B3141" w:rsidRDefault="000B3141" w:rsidP="008F26C5">
            <w:pPr>
              <w:pStyle w:val="Tablecells"/>
              <w:spacing w:before="0" w:after="120" w:line="276" w:lineRule="auto"/>
              <w:jc w:val="both"/>
              <w:rPr>
                <w:rFonts w:ascii="ITC Avant Garde" w:hAnsi="ITC Avant Garde" w:cs="Arial"/>
                <w:lang w:val="es-MX"/>
              </w:rPr>
            </w:pPr>
            <w:r>
              <w:rPr>
                <w:rFonts w:ascii="ITC Avant Garde" w:hAnsi="ITC Avant Garde" w:cs="Arial"/>
                <w:lang w:val="es-MX"/>
              </w:rPr>
              <w:t xml:space="preserve">En este caso, se incluyen diversas </w:t>
            </w:r>
            <w:r w:rsidR="0012402D">
              <w:rPr>
                <w:rFonts w:ascii="ITC Avant Garde" w:hAnsi="ITC Avant Garde" w:cs="Arial"/>
                <w:lang w:val="es-MX"/>
              </w:rPr>
              <w:t>variedades</w:t>
            </w:r>
            <w:r>
              <w:rPr>
                <w:rFonts w:ascii="ITC Avant Garde" w:hAnsi="ITC Avant Garde" w:cs="Arial"/>
                <w:lang w:val="es-MX"/>
              </w:rPr>
              <w:t xml:space="preserve"> en las que estos servicios son ofrecidos como:</w:t>
            </w:r>
          </w:p>
          <w:p w14:paraId="33514826" w14:textId="08A6F9BE" w:rsidR="000B3141" w:rsidRDefault="000B3141" w:rsidP="008F26C5">
            <w:pPr>
              <w:pStyle w:val="Tablecells"/>
              <w:numPr>
                <w:ilvl w:val="0"/>
                <w:numId w:val="9"/>
              </w:numPr>
              <w:spacing w:before="0" w:after="120" w:line="276" w:lineRule="auto"/>
              <w:jc w:val="both"/>
              <w:rPr>
                <w:rFonts w:ascii="ITC Avant Garde" w:hAnsi="ITC Avant Garde" w:cs="Arial"/>
                <w:lang w:val="es-MX"/>
              </w:rPr>
            </w:pPr>
            <w:r>
              <w:rPr>
                <w:rFonts w:ascii="ITC Avant Garde" w:hAnsi="ITC Avant Garde" w:cs="Arial"/>
                <w:lang w:val="es-MX"/>
              </w:rPr>
              <w:t>Xview +, y</w:t>
            </w:r>
          </w:p>
          <w:p w14:paraId="34690572" w14:textId="77777777" w:rsidR="000B3141" w:rsidRDefault="000B3141" w:rsidP="008F26C5">
            <w:pPr>
              <w:pStyle w:val="Tablecells"/>
              <w:numPr>
                <w:ilvl w:val="0"/>
                <w:numId w:val="9"/>
              </w:numPr>
              <w:spacing w:before="0" w:after="120" w:line="276" w:lineRule="auto"/>
              <w:jc w:val="both"/>
              <w:rPr>
                <w:rFonts w:ascii="ITC Avant Garde" w:hAnsi="ITC Avant Garde" w:cs="Arial"/>
                <w:lang w:val="es-MX"/>
              </w:rPr>
            </w:pPr>
            <w:r>
              <w:rPr>
                <w:rFonts w:ascii="ITC Avant Garde" w:hAnsi="ITC Avant Garde" w:cs="Arial"/>
                <w:lang w:val="es-MX"/>
              </w:rPr>
              <w:t>HD.</w:t>
            </w:r>
          </w:p>
          <w:p w14:paraId="6D302B5A" w14:textId="03BC1B0A" w:rsidR="0012402D" w:rsidRPr="00B34BB0" w:rsidRDefault="0012402D" w:rsidP="008F26C5">
            <w:pPr>
              <w:pStyle w:val="Tablecells"/>
              <w:spacing w:before="0" w:after="120" w:line="276" w:lineRule="auto"/>
              <w:jc w:val="both"/>
              <w:rPr>
                <w:rFonts w:ascii="ITC Avant Garde" w:hAnsi="ITC Avant Garde" w:cs="Arial"/>
                <w:lang w:val="es-MX"/>
              </w:rPr>
            </w:pPr>
            <w:r>
              <w:rPr>
                <w:rFonts w:ascii="ITC Avant Garde" w:hAnsi="ITC Avant Garde" w:cs="Arial"/>
                <w:lang w:val="es-MX"/>
              </w:rPr>
              <w:t xml:space="preserve">La prevalencia de dichos elementos deriva en función de la disponibilidad de equipos y canales que permitan ofrecerlos en cada uno de los 9 </w:t>
            </w:r>
            <w:r w:rsidR="00255223" w:rsidRPr="00F628D0">
              <w:rPr>
                <w:rFonts w:ascii="ITC Avant Garde" w:hAnsi="ITC Avant Garde" w:cs="Arial"/>
                <w:lang w:val="es-MX"/>
              </w:rPr>
              <w:t>mercados con PSM</w:t>
            </w:r>
            <w:r>
              <w:rPr>
                <w:rFonts w:ascii="ITC Avant Garde" w:hAnsi="ITC Avant Garde" w:cs="Arial"/>
                <w:lang w:val="es-MX"/>
              </w:rPr>
              <w:t>.</w:t>
            </w:r>
          </w:p>
        </w:tc>
        <w:tc>
          <w:tcPr>
            <w:tcW w:w="1796" w:type="pct"/>
            <w:vMerge w:val="restart"/>
          </w:tcPr>
          <w:p w14:paraId="59B64D01" w14:textId="560C2779" w:rsidR="000B3141" w:rsidRDefault="000B3141" w:rsidP="008F26C5">
            <w:pPr>
              <w:pStyle w:val="Tablecells"/>
              <w:spacing w:before="0" w:after="120" w:line="276" w:lineRule="auto"/>
              <w:jc w:val="both"/>
              <w:rPr>
                <w:rFonts w:ascii="ITC Avant Garde" w:hAnsi="ITC Avant Garde" w:cs="Arial"/>
                <w:lang w:val="es-MX"/>
              </w:rPr>
            </w:pPr>
            <w:r>
              <w:rPr>
                <w:rFonts w:ascii="ITC Avant Garde" w:hAnsi="ITC Avant Garde" w:cs="Arial"/>
                <w:lang w:val="es-MX"/>
              </w:rPr>
              <w:t xml:space="preserve">Se homologaron los nombres asociados a planes y paquetes en los que se ofrece el STAR, acordes con el alcance de los servicios regulados.  </w:t>
            </w:r>
          </w:p>
          <w:p w14:paraId="3C8E76C1" w14:textId="6B4C14DB" w:rsidR="000B3141" w:rsidRDefault="00895EA8" w:rsidP="008F26C5">
            <w:pPr>
              <w:pStyle w:val="Tablecells"/>
              <w:spacing w:before="0" w:after="120" w:line="276" w:lineRule="auto"/>
              <w:jc w:val="both"/>
              <w:rPr>
                <w:rFonts w:ascii="ITC Avant Garde" w:hAnsi="ITC Avant Garde" w:cs="Arial"/>
                <w:lang w:val="es-MX"/>
              </w:rPr>
            </w:pPr>
            <w:r>
              <w:rPr>
                <w:rFonts w:ascii="ITC Avant Garde" w:hAnsi="ITC Avant Garde" w:cs="Arial"/>
                <w:lang w:val="es-MX"/>
              </w:rPr>
              <w:t>A</w:t>
            </w:r>
            <w:r w:rsidR="000B3141">
              <w:rPr>
                <w:rFonts w:ascii="ITC Avant Garde" w:hAnsi="ITC Avant Garde" w:cs="Arial"/>
                <w:lang w:val="es-MX"/>
              </w:rPr>
              <w:t xml:space="preserve"> partir del análisis de la información proporcionada se integró la información de planes y paquetes de manera conjunta en los nueve municipios.</w:t>
            </w:r>
            <w:r w:rsidR="007361EE">
              <w:rPr>
                <w:rFonts w:ascii="ITC Avant Garde" w:hAnsi="ITC Avant Garde" w:cs="Arial"/>
                <w:lang w:val="es-MX"/>
              </w:rPr>
              <w:t xml:space="preserve"> </w:t>
            </w:r>
          </w:p>
          <w:p w14:paraId="3F153757" w14:textId="2994B625" w:rsidR="007361EE" w:rsidRPr="00B908B0" w:rsidRDefault="007361EE" w:rsidP="008F26C5">
            <w:pPr>
              <w:pStyle w:val="Tablecells"/>
              <w:spacing w:before="0" w:after="120" w:line="276" w:lineRule="auto"/>
              <w:jc w:val="both"/>
              <w:rPr>
                <w:rFonts w:ascii="ITC Avant Garde" w:hAnsi="ITC Avant Garde" w:cs="Arial"/>
                <w:lang w:val="es-MX"/>
              </w:rPr>
            </w:pPr>
            <w:r>
              <w:rPr>
                <w:rFonts w:ascii="ITC Avant Garde" w:hAnsi="ITC Avant Garde" w:cs="Arial"/>
                <w:lang w:val="es-MX"/>
              </w:rPr>
              <w:t xml:space="preserve">Bajo este principio, el Modelo de Costos Evitados </w:t>
            </w:r>
            <w:r w:rsidR="00895EA8">
              <w:rPr>
                <w:rFonts w:ascii="ITC Avant Garde" w:hAnsi="ITC Avant Garde" w:cs="Arial"/>
                <w:lang w:val="es-MX"/>
              </w:rPr>
              <w:t xml:space="preserve">contiene </w:t>
            </w:r>
            <w:r>
              <w:rPr>
                <w:rFonts w:ascii="ITC Avant Garde" w:hAnsi="ITC Avant Garde" w:cs="Arial"/>
                <w:lang w:val="es-MX"/>
              </w:rPr>
              <w:t>la hoja denominada como “Base”, la cual presenta los insumos relevantes utilizados para determinar los precios de referencia.</w:t>
            </w:r>
          </w:p>
        </w:tc>
      </w:tr>
      <w:tr w:rsidR="000B3141" w:rsidRPr="00523452" w14:paraId="39AD96FF" w14:textId="77777777" w:rsidTr="008F26C5">
        <w:trPr>
          <w:trHeight w:val="340"/>
        </w:trPr>
        <w:tc>
          <w:tcPr>
            <w:tcW w:w="1437" w:type="pct"/>
          </w:tcPr>
          <w:p w14:paraId="39770123" w14:textId="2A039E18" w:rsidR="000B3141" w:rsidRPr="00523452" w:rsidRDefault="000B3141" w:rsidP="008F26C5">
            <w:pPr>
              <w:pStyle w:val="Tablecells"/>
              <w:spacing w:before="0" w:after="120" w:line="276" w:lineRule="auto"/>
              <w:jc w:val="both"/>
              <w:rPr>
                <w:rFonts w:ascii="ITC Avant Garde" w:hAnsi="ITC Avant Garde" w:cs="Arial"/>
                <w:i/>
                <w:lang w:val="es-MX"/>
              </w:rPr>
            </w:pPr>
            <w:r>
              <w:rPr>
                <w:rFonts w:ascii="ITC Avant Garde" w:hAnsi="ITC Avant Garde" w:cs="Arial"/>
                <w:i/>
                <w:lang w:val="es-MX"/>
              </w:rPr>
              <w:t>Tipo</w:t>
            </w:r>
          </w:p>
        </w:tc>
        <w:tc>
          <w:tcPr>
            <w:tcW w:w="1767" w:type="pct"/>
          </w:tcPr>
          <w:p w14:paraId="4963F348" w14:textId="0C513AF5" w:rsidR="000B3141" w:rsidRDefault="000B3141" w:rsidP="008F26C5">
            <w:pPr>
              <w:pStyle w:val="Tablecells"/>
              <w:spacing w:before="0" w:after="120" w:line="276" w:lineRule="auto"/>
              <w:jc w:val="both"/>
              <w:rPr>
                <w:rFonts w:ascii="ITC Avant Garde" w:hAnsi="ITC Avant Garde" w:cs="Arial"/>
                <w:lang w:val="es-MX"/>
              </w:rPr>
            </w:pPr>
            <w:r w:rsidRPr="00523452">
              <w:rPr>
                <w:rFonts w:ascii="ITC Avant Garde" w:hAnsi="ITC Avant Garde" w:cs="Arial"/>
                <w:lang w:val="es-MX"/>
              </w:rPr>
              <w:t>Se report</w:t>
            </w:r>
            <w:r>
              <w:rPr>
                <w:rFonts w:ascii="ITC Avant Garde" w:hAnsi="ITC Avant Garde" w:cs="Arial"/>
                <w:lang w:val="es-MX"/>
              </w:rPr>
              <w:t xml:space="preserve">aron planes y paquetes </w:t>
            </w:r>
            <w:r w:rsidRPr="00523452">
              <w:rPr>
                <w:rFonts w:ascii="ITC Avant Garde" w:hAnsi="ITC Avant Garde" w:cs="Arial"/>
                <w:lang w:val="es-MX"/>
              </w:rPr>
              <w:t>de</w:t>
            </w:r>
            <w:r>
              <w:rPr>
                <w:rFonts w:ascii="ITC Avant Garde" w:hAnsi="ITC Avant Garde" w:cs="Arial"/>
                <w:lang w:val="es-MX"/>
              </w:rPr>
              <w:t>l STAR:</w:t>
            </w:r>
          </w:p>
          <w:p w14:paraId="31E55962" w14:textId="04A9DEE6" w:rsidR="000B3141" w:rsidRDefault="000B3141" w:rsidP="008F26C5">
            <w:pPr>
              <w:pStyle w:val="Tablecells"/>
              <w:numPr>
                <w:ilvl w:val="0"/>
                <w:numId w:val="9"/>
              </w:numPr>
              <w:spacing w:before="0" w:after="120" w:line="276" w:lineRule="auto"/>
              <w:jc w:val="both"/>
              <w:rPr>
                <w:rFonts w:ascii="ITC Avant Garde" w:hAnsi="ITC Avant Garde" w:cs="Arial"/>
                <w:lang w:val="es-MX"/>
              </w:rPr>
            </w:pPr>
            <w:r>
              <w:rPr>
                <w:rFonts w:ascii="ITC Avant Garde" w:hAnsi="ITC Avant Garde" w:cs="Arial"/>
                <w:lang w:val="es-MX"/>
              </w:rPr>
              <w:lastRenderedPageBreak/>
              <w:t>Residencial, y</w:t>
            </w:r>
          </w:p>
          <w:p w14:paraId="25736140" w14:textId="19A8472E" w:rsidR="000B3141" w:rsidRPr="00611C6C" w:rsidRDefault="000B3141" w:rsidP="008F26C5">
            <w:pPr>
              <w:pStyle w:val="Tablecells"/>
              <w:numPr>
                <w:ilvl w:val="0"/>
                <w:numId w:val="9"/>
              </w:numPr>
              <w:spacing w:before="0" w:after="120" w:line="276" w:lineRule="auto"/>
              <w:jc w:val="both"/>
              <w:rPr>
                <w:rFonts w:ascii="ITC Avant Garde" w:hAnsi="ITC Avant Garde" w:cs="Arial"/>
                <w:lang w:val="es-MX"/>
              </w:rPr>
            </w:pPr>
            <w:r>
              <w:rPr>
                <w:rFonts w:ascii="ITC Avant Garde" w:hAnsi="ITC Avant Garde" w:cs="Arial"/>
                <w:lang w:val="es-MX"/>
              </w:rPr>
              <w:t>Negocio.</w:t>
            </w:r>
          </w:p>
        </w:tc>
        <w:tc>
          <w:tcPr>
            <w:tcW w:w="1796" w:type="pct"/>
            <w:vMerge/>
          </w:tcPr>
          <w:p w14:paraId="56669D4E" w14:textId="77777777" w:rsidR="000B3141" w:rsidRPr="00523452" w:rsidDel="002E6D14" w:rsidRDefault="000B3141" w:rsidP="008F26C5">
            <w:pPr>
              <w:pStyle w:val="Tablecells"/>
              <w:spacing w:before="0" w:after="120" w:line="276" w:lineRule="auto"/>
              <w:jc w:val="both"/>
              <w:rPr>
                <w:rFonts w:ascii="ITC Avant Garde" w:hAnsi="ITC Avant Garde" w:cs="Arial"/>
                <w:bCs/>
                <w:lang w:val="es-MX"/>
              </w:rPr>
            </w:pPr>
          </w:p>
        </w:tc>
      </w:tr>
      <w:tr w:rsidR="000B3141" w:rsidRPr="00523452" w14:paraId="19D3E8FB" w14:textId="77777777" w:rsidTr="008F26C5">
        <w:trPr>
          <w:trHeight w:val="340"/>
        </w:trPr>
        <w:tc>
          <w:tcPr>
            <w:tcW w:w="1437" w:type="pct"/>
          </w:tcPr>
          <w:p w14:paraId="49E42D69" w14:textId="7E693F64" w:rsidR="000B3141" w:rsidRPr="00523452" w:rsidRDefault="000B3141" w:rsidP="008F26C5">
            <w:pPr>
              <w:pStyle w:val="Tablecells"/>
              <w:spacing w:before="0" w:after="120" w:line="276" w:lineRule="auto"/>
              <w:jc w:val="both"/>
              <w:rPr>
                <w:rFonts w:ascii="ITC Avant Garde" w:hAnsi="ITC Avant Garde" w:cs="Arial"/>
                <w:i/>
                <w:lang w:val="es-MX"/>
              </w:rPr>
            </w:pPr>
            <w:r>
              <w:rPr>
                <w:rFonts w:ascii="ITC Avant Garde" w:hAnsi="ITC Avant Garde" w:cs="Arial"/>
                <w:i/>
                <w:lang w:val="es-MX"/>
              </w:rPr>
              <w:t>Tipo de paquete considerando STAR</w:t>
            </w:r>
          </w:p>
        </w:tc>
        <w:tc>
          <w:tcPr>
            <w:tcW w:w="1767" w:type="pct"/>
            <w:vAlign w:val="center"/>
          </w:tcPr>
          <w:p w14:paraId="03609E4D" w14:textId="76C61B87" w:rsidR="000B3141" w:rsidRDefault="000B3141" w:rsidP="008F26C5">
            <w:pPr>
              <w:pStyle w:val="Tablecells"/>
              <w:spacing w:before="0" w:after="120" w:line="276" w:lineRule="auto"/>
              <w:jc w:val="both"/>
              <w:rPr>
                <w:rFonts w:ascii="ITC Avant Garde" w:hAnsi="ITC Avant Garde" w:cs="Arial"/>
                <w:lang w:val="es-MX"/>
              </w:rPr>
            </w:pPr>
            <w:r w:rsidRPr="00523452">
              <w:rPr>
                <w:rFonts w:ascii="ITC Avant Garde" w:hAnsi="ITC Avant Garde" w:cs="Arial"/>
                <w:lang w:val="es-MX"/>
              </w:rPr>
              <w:t>Se report</w:t>
            </w:r>
            <w:r>
              <w:rPr>
                <w:rFonts w:ascii="ITC Avant Garde" w:hAnsi="ITC Avant Garde" w:cs="Arial"/>
                <w:lang w:val="es-MX"/>
              </w:rPr>
              <w:t xml:space="preserve">aron planes y paquetes </w:t>
            </w:r>
            <w:r w:rsidRPr="00523452">
              <w:rPr>
                <w:rFonts w:ascii="ITC Avant Garde" w:hAnsi="ITC Avant Garde" w:cs="Arial"/>
                <w:lang w:val="es-MX"/>
              </w:rPr>
              <w:t>de</w:t>
            </w:r>
            <w:r>
              <w:rPr>
                <w:rFonts w:ascii="ITC Avant Garde" w:hAnsi="ITC Avant Garde" w:cs="Arial"/>
                <w:lang w:val="es-MX"/>
              </w:rPr>
              <w:t>l STAR en las siguientes modalidades:</w:t>
            </w:r>
          </w:p>
          <w:p w14:paraId="704B6F4A" w14:textId="4F6E7E7B" w:rsidR="000B3141" w:rsidRPr="009E046C" w:rsidRDefault="000B3141" w:rsidP="008F26C5">
            <w:pPr>
              <w:pStyle w:val="Tablecells"/>
              <w:numPr>
                <w:ilvl w:val="0"/>
                <w:numId w:val="9"/>
              </w:numPr>
              <w:spacing w:before="0" w:after="120" w:line="276" w:lineRule="auto"/>
              <w:jc w:val="both"/>
              <w:rPr>
                <w:rFonts w:ascii="ITC Avant Garde" w:hAnsi="ITC Avant Garde" w:cs="Arial"/>
                <w:lang w:val="es-MX"/>
              </w:rPr>
            </w:pPr>
            <w:r w:rsidRPr="009E046C">
              <w:rPr>
                <w:rFonts w:ascii="ITC Avant Garde" w:hAnsi="ITC Avant Garde" w:cs="Arial"/>
                <w:lang w:val="es-MX"/>
              </w:rPr>
              <w:t>Solo STAR</w:t>
            </w:r>
            <w:r w:rsidR="00895EA8">
              <w:rPr>
                <w:rFonts w:ascii="ITC Avant Garde" w:hAnsi="ITC Avant Garde" w:cs="Arial"/>
                <w:lang w:val="es-MX"/>
              </w:rPr>
              <w:t>,</w:t>
            </w:r>
          </w:p>
          <w:p w14:paraId="770D7DC8" w14:textId="4DD405A3" w:rsidR="000B3141" w:rsidRPr="009E046C" w:rsidRDefault="000B3141" w:rsidP="008F26C5">
            <w:pPr>
              <w:pStyle w:val="Tablecells"/>
              <w:numPr>
                <w:ilvl w:val="0"/>
                <w:numId w:val="9"/>
              </w:numPr>
              <w:spacing w:before="0" w:after="120" w:line="276" w:lineRule="auto"/>
              <w:jc w:val="both"/>
              <w:rPr>
                <w:rFonts w:ascii="ITC Avant Garde" w:hAnsi="ITC Avant Garde" w:cs="Arial"/>
                <w:lang w:val="es-MX"/>
              </w:rPr>
            </w:pPr>
            <w:r w:rsidRPr="009E046C">
              <w:rPr>
                <w:rFonts w:ascii="ITC Avant Garde" w:hAnsi="ITC Avant Garde" w:cs="Arial"/>
                <w:lang w:val="es-MX"/>
              </w:rPr>
              <w:t>STAR + Internet Fijo</w:t>
            </w:r>
            <w:r>
              <w:rPr>
                <w:rFonts w:ascii="ITC Avant Garde" w:hAnsi="ITC Avant Garde" w:cs="Arial"/>
                <w:lang w:val="es-MX"/>
              </w:rPr>
              <w:t>, y</w:t>
            </w:r>
          </w:p>
          <w:p w14:paraId="51AEE697" w14:textId="675F7669" w:rsidR="000B3141" w:rsidRPr="00523452" w:rsidRDefault="000B3141" w:rsidP="008F26C5">
            <w:pPr>
              <w:pStyle w:val="Tablecells"/>
              <w:numPr>
                <w:ilvl w:val="0"/>
                <w:numId w:val="9"/>
              </w:numPr>
              <w:spacing w:before="0" w:after="120" w:line="276" w:lineRule="auto"/>
              <w:jc w:val="both"/>
              <w:rPr>
                <w:rFonts w:ascii="ITC Avant Garde" w:hAnsi="ITC Avant Garde" w:cs="Arial"/>
                <w:lang w:val="es-MX"/>
              </w:rPr>
            </w:pPr>
            <w:r w:rsidRPr="009E046C">
              <w:rPr>
                <w:rFonts w:ascii="ITC Avant Garde" w:hAnsi="ITC Avant Garde" w:cs="Arial"/>
                <w:lang w:val="es-MX"/>
              </w:rPr>
              <w:t>STAR + Internet fijo + Telefonía fija</w:t>
            </w:r>
            <w:r>
              <w:rPr>
                <w:rFonts w:ascii="ITC Avant Garde" w:hAnsi="ITC Avant Garde" w:cs="Arial"/>
                <w:lang w:val="es-MX"/>
              </w:rPr>
              <w:t>.</w:t>
            </w:r>
          </w:p>
        </w:tc>
        <w:tc>
          <w:tcPr>
            <w:tcW w:w="1796" w:type="pct"/>
            <w:vMerge/>
          </w:tcPr>
          <w:p w14:paraId="3DD119B4" w14:textId="77777777" w:rsidR="000B3141" w:rsidRPr="00523452" w:rsidDel="002E6D14" w:rsidRDefault="000B3141" w:rsidP="008F26C5">
            <w:pPr>
              <w:pStyle w:val="Tablecells"/>
              <w:spacing w:before="0" w:after="120" w:line="276" w:lineRule="auto"/>
              <w:jc w:val="both"/>
              <w:rPr>
                <w:rFonts w:ascii="ITC Avant Garde" w:hAnsi="ITC Avant Garde" w:cs="Arial"/>
                <w:bCs/>
                <w:lang w:val="es-MX"/>
              </w:rPr>
            </w:pPr>
          </w:p>
        </w:tc>
      </w:tr>
      <w:tr w:rsidR="000B3141" w:rsidRPr="00523452" w14:paraId="2FEC706D" w14:textId="77777777" w:rsidTr="008F26C5">
        <w:trPr>
          <w:trHeight w:val="340"/>
        </w:trPr>
        <w:tc>
          <w:tcPr>
            <w:tcW w:w="1437" w:type="pct"/>
          </w:tcPr>
          <w:p w14:paraId="0E4AE99C" w14:textId="6CD27B24" w:rsidR="000B3141" w:rsidRPr="00523452" w:rsidRDefault="000B3141" w:rsidP="008F26C5">
            <w:pPr>
              <w:pStyle w:val="Tablecells"/>
              <w:spacing w:before="0" w:after="120" w:line="276" w:lineRule="auto"/>
              <w:jc w:val="both"/>
              <w:rPr>
                <w:rFonts w:ascii="ITC Avant Garde" w:hAnsi="ITC Avant Garde" w:cs="Arial"/>
                <w:i/>
                <w:lang w:val="es-MX"/>
              </w:rPr>
            </w:pPr>
            <w:r>
              <w:rPr>
                <w:rFonts w:ascii="ITC Avant Garde" w:hAnsi="ITC Avant Garde" w:cs="Arial"/>
                <w:i/>
                <w:lang w:val="es-MX"/>
              </w:rPr>
              <w:t>Esquema y Periodo de pago</w:t>
            </w:r>
          </w:p>
        </w:tc>
        <w:tc>
          <w:tcPr>
            <w:tcW w:w="1767" w:type="pct"/>
            <w:vAlign w:val="center"/>
          </w:tcPr>
          <w:p w14:paraId="6AF0B1CD" w14:textId="4C5F346F" w:rsidR="000B3141" w:rsidRPr="00523452" w:rsidRDefault="000B3141" w:rsidP="008F26C5">
            <w:pPr>
              <w:pStyle w:val="Tablecells"/>
              <w:spacing w:before="0" w:after="120" w:line="276" w:lineRule="auto"/>
              <w:jc w:val="both"/>
              <w:rPr>
                <w:rFonts w:ascii="ITC Avant Garde" w:hAnsi="ITC Avant Garde" w:cs="Arial"/>
                <w:lang w:val="es-MX"/>
              </w:rPr>
            </w:pPr>
            <w:r>
              <w:rPr>
                <w:rFonts w:ascii="ITC Avant Garde" w:hAnsi="ITC Avant Garde" w:cs="Arial"/>
                <w:lang w:val="es-MX"/>
              </w:rPr>
              <w:t>Se reportaron planes y paquetes con esquema de pospago y periodicidad mensual.</w:t>
            </w:r>
          </w:p>
        </w:tc>
        <w:tc>
          <w:tcPr>
            <w:tcW w:w="1796" w:type="pct"/>
            <w:vMerge/>
          </w:tcPr>
          <w:p w14:paraId="2EE20527" w14:textId="77777777" w:rsidR="000B3141" w:rsidRPr="00523452" w:rsidDel="002E6D14" w:rsidRDefault="000B3141" w:rsidP="008F26C5">
            <w:pPr>
              <w:pStyle w:val="Tablecells"/>
              <w:spacing w:before="0" w:after="120" w:line="276" w:lineRule="auto"/>
              <w:jc w:val="both"/>
              <w:rPr>
                <w:rFonts w:ascii="ITC Avant Garde" w:hAnsi="ITC Avant Garde" w:cs="Arial"/>
                <w:bCs/>
                <w:lang w:val="es-MX"/>
              </w:rPr>
            </w:pPr>
          </w:p>
        </w:tc>
      </w:tr>
      <w:tr w:rsidR="000B3141" w:rsidRPr="00523452" w14:paraId="2136BE71" w14:textId="77777777" w:rsidTr="008F26C5">
        <w:trPr>
          <w:trHeight w:val="340"/>
        </w:trPr>
        <w:tc>
          <w:tcPr>
            <w:tcW w:w="1437" w:type="pct"/>
          </w:tcPr>
          <w:p w14:paraId="0E0A6874" w14:textId="65021074" w:rsidR="000B3141" w:rsidRPr="00523452" w:rsidRDefault="000B3141" w:rsidP="008F26C5">
            <w:pPr>
              <w:pStyle w:val="Tablecells"/>
              <w:spacing w:before="0" w:after="120" w:line="276" w:lineRule="auto"/>
              <w:jc w:val="both"/>
              <w:rPr>
                <w:rFonts w:ascii="ITC Avant Garde" w:hAnsi="ITC Avant Garde" w:cs="Arial"/>
                <w:i/>
                <w:lang w:val="es-MX"/>
              </w:rPr>
            </w:pPr>
            <w:r>
              <w:rPr>
                <w:rFonts w:ascii="ITC Avant Garde" w:hAnsi="ITC Avant Garde" w:cs="Arial"/>
                <w:i/>
                <w:lang w:val="es-MX"/>
              </w:rPr>
              <w:t>Estado, Municipio y Localidad</w:t>
            </w:r>
          </w:p>
        </w:tc>
        <w:tc>
          <w:tcPr>
            <w:tcW w:w="1767" w:type="pct"/>
            <w:vAlign w:val="center"/>
          </w:tcPr>
          <w:p w14:paraId="4055D24D" w14:textId="2E15B65F" w:rsidR="000B3141" w:rsidRPr="00523452" w:rsidRDefault="000B3141" w:rsidP="008F26C5">
            <w:pPr>
              <w:pStyle w:val="Tablecells"/>
              <w:spacing w:before="0" w:after="120" w:line="276" w:lineRule="auto"/>
              <w:jc w:val="both"/>
              <w:rPr>
                <w:rFonts w:ascii="ITC Avant Garde" w:hAnsi="ITC Avant Garde" w:cs="Arial"/>
                <w:lang w:val="es-MX"/>
              </w:rPr>
            </w:pPr>
            <w:r>
              <w:rPr>
                <w:rFonts w:ascii="ITC Avant Garde" w:hAnsi="ITC Avant Garde" w:cs="Arial"/>
                <w:lang w:val="es-MX"/>
              </w:rPr>
              <w:t xml:space="preserve">Se presentaron planes y paquetes </w:t>
            </w:r>
            <w:r w:rsidR="00895EA8">
              <w:rPr>
                <w:rFonts w:ascii="ITC Avant Garde" w:hAnsi="ITC Avant Garde" w:cs="Arial"/>
                <w:lang w:val="es-MX"/>
              </w:rPr>
              <w:t xml:space="preserve">de </w:t>
            </w:r>
            <w:r>
              <w:rPr>
                <w:rFonts w:ascii="ITC Avant Garde" w:hAnsi="ITC Avant Garde" w:cs="Arial"/>
                <w:lang w:val="es-MX"/>
              </w:rPr>
              <w:t xml:space="preserve">los municipios relacionados </w:t>
            </w:r>
            <w:r w:rsidR="00895EA8">
              <w:rPr>
                <w:rFonts w:ascii="ITC Avant Garde" w:hAnsi="ITC Avant Garde" w:cs="Arial"/>
                <w:lang w:val="es-MX"/>
              </w:rPr>
              <w:t>con</w:t>
            </w:r>
            <w:r>
              <w:rPr>
                <w:rFonts w:ascii="ITC Avant Garde" w:hAnsi="ITC Avant Garde" w:cs="Arial"/>
                <w:lang w:val="es-MX"/>
              </w:rPr>
              <w:t xml:space="preserve"> los </w:t>
            </w:r>
            <w:r w:rsidR="00895EA8">
              <w:rPr>
                <w:rFonts w:ascii="ITC Avant Garde" w:hAnsi="ITC Avant Garde" w:cs="Arial"/>
                <w:lang w:val="es-MX"/>
              </w:rPr>
              <w:t>9 mercados con PSM</w:t>
            </w:r>
            <w:r>
              <w:rPr>
                <w:rFonts w:ascii="ITC Avant Garde" w:hAnsi="ITC Avant Garde" w:cs="Arial"/>
                <w:i/>
                <w:iCs/>
                <w:lang w:val="es-MX"/>
              </w:rPr>
              <w:t>.</w:t>
            </w:r>
          </w:p>
        </w:tc>
        <w:tc>
          <w:tcPr>
            <w:tcW w:w="1796" w:type="pct"/>
            <w:vMerge/>
          </w:tcPr>
          <w:p w14:paraId="3771BB99" w14:textId="77777777" w:rsidR="000B3141" w:rsidRPr="00523452" w:rsidDel="002E6D14" w:rsidRDefault="000B3141" w:rsidP="008F26C5">
            <w:pPr>
              <w:pStyle w:val="Tablecells"/>
              <w:spacing w:before="0" w:after="120" w:line="276" w:lineRule="auto"/>
              <w:jc w:val="both"/>
              <w:rPr>
                <w:rFonts w:ascii="ITC Avant Garde" w:hAnsi="ITC Avant Garde" w:cs="Arial"/>
                <w:bCs/>
                <w:lang w:val="es-MX"/>
              </w:rPr>
            </w:pPr>
          </w:p>
        </w:tc>
      </w:tr>
      <w:tr w:rsidR="000B3141" w:rsidRPr="00523452" w14:paraId="1F8DD793" w14:textId="77777777" w:rsidTr="008F26C5">
        <w:trPr>
          <w:trHeight w:val="340"/>
        </w:trPr>
        <w:tc>
          <w:tcPr>
            <w:tcW w:w="1437" w:type="pct"/>
          </w:tcPr>
          <w:p w14:paraId="174DF5AC" w14:textId="36E656EC" w:rsidR="000B3141" w:rsidRDefault="000B3141" w:rsidP="008F26C5">
            <w:pPr>
              <w:pStyle w:val="Tablecells"/>
              <w:spacing w:before="0" w:after="120" w:line="276" w:lineRule="auto"/>
              <w:jc w:val="both"/>
              <w:rPr>
                <w:rFonts w:ascii="ITC Avant Garde" w:hAnsi="ITC Avant Garde" w:cs="Arial"/>
                <w:i/>
                <w:lang w:val="es-MX"/>
              </w:rPr>
            </w:pPr>
            <w:r>
              <w:rPr>
                <w:rFonts w:ascii="ITC Avant Garde" w:hAnsi="ITC Avant Garde" w:cs="Arial"/>
                <w:i/>
                <w:lang w:val="es-MX"/>
              </w:rPr>
              <w:t xml:space="preserve">Renta mensual </w:t>
            </w:r>
          </w:p>
          <w:p w14:paraId="1BEDB756" w14:textId="642FC2B8" w:rsidR="000B3141" w:rsidRPr="00523452" w:rsidRDefault="000B3141" w:rsidP="008F26C5">
            <w:pPr>
              <w:pStyle w:val="Tablecells"/>
              <w:spacing w:before="0" w:after="120" w:line="276" w:lineRule="auto"/>
              <w:jc w:val="both"/>
              <w:rPr>
                <w:rFonts w:ascii="ITC Avant Garde" w:hAnsi="ITC Avant Garde" w:cs="Arial"/>
                <w:i/>
                <w:lang w:val="es-MX"/>
              </w:rPr>
            </w:pPr>
            <w:r>
              <w:rPr>
                <w:rFonts w:ascii="ITC Avant Garde" w:hAnsi="ITC Avant Garde" w:cs="Arial"/>
                <w:i/>
                <w:lang w:val="es-MX"/>
              </w:rPr>
              <w:t>(con y sin impuestos)</w:t>
            </w:r>
          </w:p>
        </w:tc>
        <w:tc>
          <w:tcPr>
            <w:tcW w:w="1767" w:type="pct"/>
          </w:tcPr>
          <w:p w14:paraId="099F298C" w14:textId="6442CAC7" w:rsidR="000B3141" w:rsidRPr="00523452" w:rsidRDefault="000B3141" w:rsidP="008F26C5">
            <w:pPr>
              <w:pStyle w:val="Tablecells"/>
              <w:spacing w:before="0" w:after="120" w:line="276" w:lineRule="auto"/>
              <w:jc w:val="both"/>
              <w:rPr>
                <w:rFonts w:ascii="ITC Avant Garde" w:hAnsi="ITC Avant Garde" w:cs="Arial"/>
                <w:lang w:val="es-MX"/>
              </w:rPr>
            </w:pPr>
            <w:r>
              <w:rPr>
                <w:rFonts w:ascii="ITC Avant Garde" w:hAnsi="ITC Avant Garde" w:cs="Arial"/>
                <w:lang w:val="es-MX"/>
              </w:rPr>
              <w:t>Valores reportados por el APSM al 31 de diciembre de 2023 y 31 de mayo de 2024.</w:t>
            </w:r>
          </w:p>
        </w:tc>
        <w:tc>
          <w:tcPr>
            <w:tcW w:w="1796" w:type="pct"/>
            <w:vMerge/>
          </w:tcPr>
          <w:p w14:paraId="3A09A864" w14:textId="77777777" w:rsidR="000B3141" w:rsidRPr="00523452" w:rsidDel="002E6D14" w:rsidRDefault="000B3141" w:rsidP="008F26C5">
            <w:pPr>
              <w:pStyle w:val="Tablecells"/>
              <w:spacing w:before="0" w:after="120" w:line="276" w:lineRule="auto"/>
              <w:jc w:val="both"/>
              <w:rPr>
                <w:rFonts w:ascii="ITC Avant Garde" w:hAnsi="ITC Avant Garde" w:cs="Arial"/>
                <w:bCs/>
                <w:lang w:val="es-MX"/>
              </w:rPr>
            </w:pPr>
          </w:p>
        </w:tc>
      </w:tr>
      <w:tr w:rsidR="00611C6C" w:rsidRPr="00523452" w14:paraId="0B256924" w14:textId="77777777" w:rsidTr="008F26C5">
        <w:trPr>
          <w:trHeight w:val="170"/>
        </w:trPr>
        <w:tc>
          <w:tcPr>
            <w:tcW w:w="5000" w:type="pct"/>
            <w:gridSpan w:val="3"/>
            <w:shd w:val="clear" w:color="auto" w:fill="E7E6E6" w:themeFill="background2"/>
          </w:tcPr>
          <w:p w14:paraId="300356CB" w14:textId="18F25EBC" w:rsidR="00611C6C" w:rsidRPr="00523452" w:rsidRDefault="00F56028" w:rsidP="008F26C5">
            <w:pPr>
              <w:pStyle w:val="Tablecells"/>
              <w:spacing w:before="0" w:after="120" w:line="276" w:lineRule="auto"/>
              <w:rPr>
                <w:rFonts w:ascii="ITC Avant Garde" w:hAnsi="ITC Avant Garde" w:cs="Arial"/>
                <w:b/>
                <w:lang w:val="es-MX"/>
              </w:rPr>
            </w:pPr>
            <w:r>
              <w:rPr>
                <w:rFonts w:ascii="ITC Avant Garde" w:hAnsi="ITC Avant Garde" w:cs="Arial"/>
                <w:b/>
                <w:lang w:val="es-MX"/>
              </w:rPr>
              <w:t>Canasta</w:t>
            </w:r>
          </w:p>
        </w:tc>
      </w:tr>
      <w:tr w:rsidR="00CE578C" w:rsidRPr="00523452" w14:paraId="7BDD1CE6" w14:textId="77777777" w:rsidTr="008F26C5">
        <w:trPr>
          <w:trHeight w:val="340"/>
        </w:trPr>
        <w:tc>
          <w:tcPr>
            <w:tcW w:w="1437" w:type="pct"/>
            <w:vAlign w:val="center"/>
          </w:tcPr>
          <w:p w14:paraId="353F30D1" w14:textId="4C2691A3" w:rsidR="00CE578C" w:rsidRPr="00523452" w:rsidRDefault="00CE578C" w:rsidP="008F26C5">
            <w:pPr>
              <w:pStyle w:val="Tablecells"/>
              <w:spacing w:before="0" w:after="120" w:line="276" w:lineRule="auto"/>
              <w:jc w:val="both"/>
              <w:rPr>
                <w:rFonts w:ascii="ITC Avant Garde" w:hAnsi="ITC Avant Garde" w:cs="Arial"/>
                <w:i/>
                <w:lang w:val="es-MX"/>
              </w:rPr>
            </w:pPr>
            <w:r>
              <w:rPr>
                <w:rFonts w:ascii="ITC Avant Garde" w:hAnsi="ITC Avant Garde" w:cs="Arial"/>
                <w:i/>
                <w:lang w:val="es-MX"/>
              </w:rPr>
              <w:t>Cantidad de TV incluidas</w:t>
            </w:r>
          </w:p>
        </w:tc>
        <w:tc>
          <w:tcPr>
            <w:tcW w:w="1767" w:type="pct"/>
            <w:vAlign w:val="center"/>
          </w:tcPr>
          <w:p w14:paraId="5440983E" w14:textId="6276A38D" w:rsidR="000D3567" w:rsidRPr="00523452" w:rsidRDefault="00CE578C" w:rsidP="008F26C5">
            <w:pPr>
              <w:pStyle w:val="Tablecells"/>
              <w:spacing w:before="0" w:after="120" w:line="276" w:lineRule="auto"/>
              <w:jc w:val="both"/>
              <w:rPr>
                <w:rFonts w:ascii="ITC Avant Garde" w:hAnsi="ITC Avant Garde" w:cs="Arial"/>
                <w:lang w:val="es-MX"/>
              </w:rPr>
            </w:pPr>
            <w:r>
              <w:rPr>
                <w:rFonts w:ascii="ITC Avant Garde" w:hAnsi="ITC Avant Garde" w:cs="Arial"/>
                <w:lang w:val="es-MX"/>
              </w:rPr>
              <w:t>Se especificó por parte del APSM que todos los planes y paquetes ofrecen el STAR en solo una (1) TV.</w:t>
            </w:r>
          </w:p>
        </w:tc>
        <w:tc>
          <w:tcPr>
            <w:tcW w:w="1796" w:type="pct"/>
            <w:vMerge w:val="restart"/>
          </w:tcPr>
          <w:p w14:paraId="42F7D5A4" w14:textId="65AF6B20" w:rsidR="000D3567" w:rsidRDefault="000D3567" w:rsidP="008F26C5">
            <w:pPr>
              <w:pStyle w:val="Tablecells"/>
              <w:spacing w:before="0" w:after="120" w:line="276" w:lineRule="auto"/>
              <w:jc w:val="both"/>
              <w:rPr>
                <w:rFonts w:ascii="ITC Avant Garde" w:hAnsi="ITC Avant Garde" w:cs="Arial"/>
                <w:lang w:val="es-MX"/>
              </w:rPr>
            </w:pPr>
            <w:r>
              <w:rPr>
                <w:rFonts w:ascii="ITC Avant Garde" w:hAnsi="ITC Avant Garde" w:cs="Arial"/>
                <w:lang w:val="es-MX"/>
              </w:rPr>
              <w:t xml:space="preserve">Se analizó y homologó información que tuviera correspondencia con </w:t>
            </w:r>
            <w:r w:rsidR="00924414">
              <w:rPr>
                <w:rFonts w:ascii="ITC Avant Garde" w:hAnsi="ITC Avant Garde" w:cs="Arial"/>
                <w:lang w:val="es-MX"/>
              </w:rPr>
              <w:t>la</w:t>
            </w:r>
            <w:r>
              <w:rPr>
                <w:rFonts w:ascii="ITC Avant Garde" w:hAnsi="ITC Avant Garde" w:cs="Arial"/>
                <w:lang w:val="es-MX"/>
              </w:rPr>
              <w:t xml:space="preserve"> proporcionada en materia de tarifas. </w:t>
            </w:r>
          </w:p>
          <w:p w14:paraId="07AFFCAE" w14:textId="1A04B2B2" w:rsidR="00CE578C" w:rsidRDefault="000D3567" w:rsidP="008F26C5">
            <w:pPr>
              <w:pStyle w:val="Tablecells"/>
              <w:spacing w:before="0" w:after="120" w:line="276" w:lineRule="auto"/>
              <w:jc w:val="both"/>
              <w:rPr>
                <w:rFonts w:ascii="ITC Avant Garde" w:hAnsi="ITC Avant Garde" w:cs="Arial"/>
                <w:lang w:val="es-MX"/>
              </w:rPr>
            </w:pPr>
            <w:r>
              <w:rPr>
                <w:rFonts w:ascii="ITC Avant Garde" w:hAnsi="ITC Avant Garde" w:cs="Arial"/>
                <w:lang w:val="es-MX"/>
              </w:rPr>
              <w:t>Adicionalmente, en el caso de la información relativa a número de canales con definición SD</w:t>
            </w:r>
            <w:r w:rsidR="0019380A">
              <w:rPr>
                <w:rFonts w:ascii="ITC Avant Garde" w:hAnsi="ITC Avant Garde" w:cs="Arial"/>
                <w:lang w:val="es-MX"/>
              </w:rPr>
              <w:t xml:space="preserve"> y dado que no se presentó la información solicitada,</w:t>
            </w:r>
            <w:r>
              <w:rPr>
                <w:rFonts w:ascii="ITC Avant Garde" w:hAnsi="ITC Avant Garde" w:cs="Arial"/>
                <w:lang w:val="es-MX"/>
              </w:rPr>
              <w:t xml:space="preserve"> s</w:t>
            </w:r>
            <w:r w:rsidR="00CE578C">
              <w:rPr>
                <w:rFonts w:ascii="ITC Avant Garde" w:hAnsi="ITC Avant Garde" w:cs="Arial"/>
                <w:lang w:val="es-MX"/>
              </w:rPr>
              <w:t>e consideró pertinente incluir</w:t>
            </w:r>
            <w:r w:rsidR="0019380A">
              <w:rPr>
                <w:rFonts w:ascii="ITC Avant Garde" w:hAnsi="ITC Avant Garde" w:cs="Arial"/>
                <w:lang w:val="es-MX"/>
              </w:rPr>
              <w:t>la</w:t>
            </w:r>
            <w:r w:rsidR="00CE578C">
              <w:rPr>
                <w:rFonts w:ascii="ITC Avant Garde" w:hAnsi="ITC Avant Garde" w:cs="Arial"/>
                <w:lang w:val="es-MX"/>
              </w:rPr>
              <w:t xml:space="preserve"> a partir de l</w:t>
            </w:r>
            <w:r w:rsidR="0019380A">
              <w:rPr>
                <w:rFonts w:ascii="ITC Avant Garde" w:hAnsi="ITC Avant Garde" w:cs="Arial"/>
                <w:lang w:val="es-MX"/>
              </w:rPr>
              <w:t>os</w:t>
            </w:r>
            <w:r w:rsidR="00CE578C">
              <w:rPr>
                <w:rFonts w:ascii="ITC Avant Garde" w:hAnsi="ITC Avant Garde" w:cs="Arial"/>
                <w:lang w:val="es-MX"/>
              </w:rPr>
              <w:t xml:space="preserve"> </w:t>
            </w:r>
            <w:r w:rsidR="0019380A">
              <w:rPr>
                <w:rFonts w:ascii="ITC Avant Garde" w:hAnsi="ITC Avant Garde" w:cs="Arial"/>
                <w:lang w:val="es-MX"/>
              </w:rPr>
              <w:t xml:space="preserve">canales </w:t>
            </w:r>
            <w:r w:rsidR="00CE578C">
              <w:rPr>
                <w:rFonts w:ascii="ITC Avant Garde" w:hAnsi="ITC Avant Garde" w:cs="Arial"/>
                <w:lang w:val="es-MX"/>
              </w:rPr>
              <w:t>reportad</w:t>
            </w:r>
            <w:r w:rsidR="0019380A">
              <w:rPr>
                <w:rFonts w:ascii="ITC Avant Garde" w:hAnsi="ITC Avant Garde" w:cs="Arial"/>
                <w:lang w:val="es-MX"/>
              </w:rPr>
              <w:t>os</w:t>
            </w:r>
            <w:r w:rsidR="00CE578C">
              <w:rPr>
                <w:rFonts w:ascii="ITC Avant Garde" w:hAnsi="ITC Avant Garde" w:cs="Arial"/>
                <w:lang w:val="es-MX"/>
              </w:rPr>
              <w:t xml:space="preserve"> en el Registro Público de Concesiones del Instituto. </w:t>
            </w:r>
          </w:p>
          <w:p w14:paraId="057D5743" w14:textId="1CDFD7E8" w:rsidR="00CE578C" w:rsidRDefault="00924414" w:rsidP="008F26C5">
            <w:pPr>
              <w:pStyle w:val="Tablecells"/>
              <w:spacing w:before="0" w:after="120" w:line="276" w:lineRule="auto"/>
              <w:jc w:val="both"/>
              <w:rPr>
                <w:rFonts w:ascii="ITC Avant Garde" w:hAnsi="ITC Avant Garde" w:cs="Arial"/>
                <w:lang w:val="es-MX"/>
              </w:rPr>
            </w:pPr>
            <w:r>
              <w:rPr>
                <w:rFonts w:ascii="ITC Avant Garde" w:hAnsi="ITC Avant Garde" w:cs="Arial"/>
                <w:lang w:val="es-MX"/>
              </w:rPr>
              <w:t>L</w:t>
            </w:r>
            <w:r w:rsidR="0019380A">
              <w:rPr>
                <w:rFonts w:ascii="ITC Avant Garde" w:hAnsi="ITC Avant Garde" w:cs="Arial"/>
                <w:lang w:val="es-MX"/>
              </w:rPr>
              <w:t>os rangos de canales</w:t>
            </w:r>
            <w:r w:rsidR="00CE578C">
              <w:rPr>
                <w:rFonts w:ascii="ITC Avant Garde" w:hAnsi="ITC Avant Garde" w:cs="Arial"/>
                <w:lang w:val="es-MX"/>
              </w:rPr>
              <w:t xml:space="preserve"> SD </w:t>
            </w:r>
            <w:r>
              <w:rPr>
                <w:rFonts w:ascii="ITC Avant Garde" w:hAnsi="ITC Avant Garde" w:cs="Arial"/>
                <w:lang w:val="es-MX"/>
              </w:rPr>
              <w:t>identificados se muestran a continuación</w:t>
            </w:r>
            <w:r w:rsidR="00CE578C">
              <w:rPr>
                <w:rFonts w:ascii="ITC Avant Garde" w:hAnsi="ITC Avant Garde" w:cs="Arial"/>
                <w:lang w:val="es-MX"/>
              </w:rPr>
              <w:t>:</w:t>
            </w:r>
          </w:p>
          <w:p w14:paraId="51127581" w14:textId="1EB8382F" w:rsidR="00924414" w:rsidRDefault="00924414" w:rsidP="008F26C5">
            <w:pPr>
              <w:pStyle w:val="Tablecells"/>
              <w:numPr>
                <w:ilvl w:val="0"/>
                <w:numId w:val="9"/>
              </w:numPr>
              <w:spacing w:before="0" w:after="120" w:line="276" w:lineRule="auto"/>
              <w:jc w:val="both"/>
              <w:rPr>
                <w:rFonts w:ascii="ITC Avant Garde" w:hAnsi="ITC Avant Garde" w:cs="Arial"/>
                <w:lang w:val="es-MX"/>
              </w:rPr>
            </w:pPr>
            <w:r>
              <w:rPr>
                <w:rFonts w:ascii="ITC Avant Garde" w:hAnsi="ITC Avant Garde" w:cs="Arial"/>
                <w:lang w:val="es-MX"/>
              </w:rPr>
              <w:lastRenderedPageBreak/>
              <w:t>TV Básico Plus: 57-155 canales SD.</w:t>
            </w:r>
          </w:p>
          <w:p w14:paraId="501E3C89" w14:textId="1E6FF996" w:rsidR="00924414" w:rsidRPr="00924414" w:rsidRDefault="00924414" w:rsidP="008F26C5">
            <w:pPr>
              <w:pStyle w:val="Tablecells"/>
              <w:numPr>
                <w:ilvl w:val="0"/>
                <w:numId w:val="9"/>
              </w:numPr>
              <w:spacing w:before="0" w:after="120" w:line="276" w:lineRule="auto"/>
              <w:jc w:val="both"/>
              <w:rPr>
                <w:rFonts w:ascii="ITC Avant Garde" w:hAnsi="ITC Avant Garde" w:cs="Arial"/>
                <w:lang w:val="es-MX"/>
              </w:rPr>
            </w:pPr>
            <w:r w:rsidRPr="00924414">
              <w:rPr>
                <w:rFonts w:ascii="ITC Avant Garde" w:hAnsi="ITC Avant Garde" w:cs="Arial"/>
                <w:lang w:val="es-MX"/>
              </w:rPr>
              <w:t xml:space="preserve">TV Conecta: </w:t>
            </w:r>
            <w:r>
              <w:rPr>
                <w:rFonts w:ascii="ITC Avant Garde" w:hAnsi="ITC Avant Garde" w:cs="Arial"/>
                <w:lang w:val="es-MX"/>
              </w:rPr>
              <w:t>32</w:t>
            </w:r>
            <w:r w:rsidRPr="00924414">
              <w:rPr>
                <w:rFonts w:ascii="ITC Avant Garde" w:hAnsi="ITC Avant Garde" w:cs="Arial"/>
                <w:lang w:val="es-MX"/>
              </w:rPr>
              <w:t>-</w:t>
            </w:r>
            <w:r>
              <w:rPr>
                <w:rFonts w:ascii="ITC Avant Garde" w:hAnsi="ITC Avant Garde" w:cs="Arial"/>
                <w:lang w:val="es-MX"/>
              </w:rPr>
              <w:t>136</w:t>
            </w:r>
            <w:r w:rsidRPr="00924414">
              <w:rPr>
                <w:rFonts w:ascii="ITC Avant Garde" w:hAnsi="ITC Avant Garde" w:cs="Arial"/>
                <w:lang w:val="es-MX"/>
              </w:rPr>
              <w:t xml:space="preserve"> canales HD.</w:t>
            </w:r>
          </w:p>
          <w:p w14:paraId="4D1D65F4" w14:textId="4C392A7E" w:rsidR="00CE578C" w:rsidRPr="00523452" w:rsidRDefault="00CE578C" w:rsidP="008F26C5">
            <w:pPr>
              <w:pStyle w:val="Tablecells"/>
              <w:spacing w:before="0" w:after="120" w:line="276" w:lineRule="auto"/>
              <w:ind w:left="720"/>
              <w:jc w:val="both"/>
              <w:rPr>
                <w:rFonts w:ascii="ITC Avant Garde" w:hAnsi="ITC Avant Garde" w:cs="Arial"/>
                <w:lang w:val="es-MX"/>
              </w:rPr>
            </w:pPr>
          </w:p>
        </w:tc>
      </w:tr>
      <w:tr w:rsidR="00CE578C" w:rsidRPr="00523452" w14:paraId="50B68133" w14:textId="77777777" w:rsidTr="008F26C5">
        <w:trPr>
          <w:trHeight w:val="340"/>
        </w:trPr>
        <w:tc>
          <w:tcPr>
            <w:tcW w:w="1437" w:type="pct"/>
          </w:tcPr>
          <w:p w14:paraId="350927DC" w14:textId="755EA1B2" w:rsidR="00CE578C" w:rsidRDefault="00CE578C" w:rsidP="008F26C5">
            <w:pPr>
              <w:pStyle w:val="Tablecells"/>
              <w:spacing w:before="0" w:after="120" w:line="276" w:lineRule="auto"/>
              <w:jc w:val="both"/>
              <w:rPr>
                <w:rFonts w:ascii="ITC Avant Garde" w:hAnsi="ITC Avant Garde" w:cs="Arial"/>
                <w:i/>
                <w:lang w:val="es-MX"/>
              </w:rPr>
            </w:pPr>
            <w:r>
              <w:rPr>
                <w:rFonts w:ascii="ITC Avant Garde" w:hAnsi="ITC Avant Garde" w:cs="Arial"/>
                <w:i/>
                <w:lang w:val="es-MX"/>
              </w:rPr>
              <w:t>Número de canales con definición estándar (SD)</w:t>
            </w:r>
          </w:p>
        </w:tc>
        <w:tc>
          <w:tcPr>
            <w:tcW w:w="1767" w:type="pct"/>
          </w:tcPr>
          <w:p w14:paraId="3B4AE54F" w14:textId="24B13A08" w:rsidR="00CE578C" w:rsidRPr="00523452" w:rsidRDefault="00CE578C" w:rsidP="008F26C5">
            <w:pPr>
              <w:pStyle w:val="Tablecells"/>
              <w:spacing w:before="0" w:after="120" w:line="276" w:lineRule="auto"/>
              <w:rPr>
                <w:rFonts w:ascii="ITC Avant Garde" w:hAnsi="ITC Avant Garde" w:cs="Arial"/>
                <w:lang w:val="es-MX"/>
              </w:rPr>
            </w:pPr>
            <w:r>
              <w:rPr>
                <w:rFonts w:ascii="ITC Avant Garde" w:hAnsi="ITC Avant Garde" w:cs="Arial"/>
                <w:lang w:val="es-MX"/>
              </w:rPr>
              <w:t>No entregó la información solicitada.</w:t>
            </w:r>
          </w:p>
        </w:tc>
        <w:tc>
          <w:tcPr>
            <w:tcW w:w="1796" w:type="pct"/>
            <w:vMerge/>
            <w:vAlign w:val="center"/>
          </w:tcPr>
          <w:p w14:paraId="434BDEFE" w14:textId="17F8246D" w:rsidR="00CE578C" w:rsidRPr="00893BF7" w:rsidRDefault="00CE578C" w:rsidP="008F26C5">
            <w:pPr>
              <w:pStyle w:val="Tablecells"/>
              <w:spacing w:before="0" w:after="120" w:line="276" w:lineRule="auto"/>
              <w:jc w:val="both"/>
              <w:rPr>
                <w:rFonts w:ascii="ITC Avant Garde" w:hAnsi="ITC Avant Garde" w:cs="Arial"/>
                <w:lang w:val="es-MX"/>
              </w:rPr>
            </w:pPr>
          </w:p>
        </w:tc>
      </w:tr>
      <w:tr w:rsidR="00CE578C" w:rsidRPr="00523452" w14:paraId="6CBAA5A1" w14:textId="77777777" w:rsidTr="008F26C5">
        <w:trPr>
          <w:trHeight w:val="340"/>
        </w:trPr>
        <w:tc>
          <w:tcPr>
            <w:tcW w:w="1437" w:type="pct"/>
          </w:tcPr>
          <w:p w14:paraId="1FB24DF7" w14:textId="30583955" w:rsidR="00CE578C" w:rsidRDefault="00CE578C" w:rsidP="008F26C5">
            <w:pPr>
              <w:pStyle w:val="Tablecells"/>
              <w:spacing w:before="0" w:after="120" w:line="276" w:lineRule="auto"/>
              <w:jc w:val="both"/>
              <w:rPr>
                <w:rFonts w:ascii="ITC Avant Garde" w:hAnsi="ITC Avant Garde" w:cs="Arial"/>
                <w:i/>
                <w:lang w:val="es-MX"/>
              </w:rPr>
            </w:pPr>
            <w:r>
              <w:rPr>
                <w:rFonts w:ascii="ITC Avant Garde" w:hAnsi="ITC Avant Garde" w:cs="Arial"/>
                <w:i/>
                <w:lang w:val="es-MX"/>
              </w:rPr>
              <w:t>Número de canales con alta definición (HD)</w:t>
            </w:r>
          </w:p>
        </w:tc>
        <w:tc>
          <w:tcPr>
            <w:tcW w:w="1767" w:type="pct"/>
          </w:tcPr>
          <w:p w14:paraId="10C494C0" w14:textId="08BD5F91" w:rsidR="00CE578C" w:rsidRDefault="00CE578C" w:rsidP="008F26C5">
            <w:pPr>
              <w:pStyle w:val="Tablecells"/>
              <w:spacing w:before="0" w:after="120" w:line="276" w:lineRule="auto"/>
              <w:jc w:val="both"/>
              <w:rPr>
                <w:rFonts w:ascii="ITC Avant Garde" w:hAnsi="ITC Avant Garde" w:cs="Arial"/>
                <w:lang w:val="es-MX"/>
              </w:rPr>
            </w:pPr>
            <w:r>
              <w:rPr>
                <w:rFonts w:ascii="ITC Avant Garde" w:hAnsi="ITC Avant Garde" w:cs="Arial"/>
                <w:lang w:val="es-MX"/>
              </w:rPr>
              <w:t xml:space="preserve">El número de canales HD reportados varía de acuerdo </w:t>
            </w:r>
            <w:r w:rsidR="00280293">
              <w:rPr>
                <w:rFonts w:ascii="ITC Avant Garde" w:hAnsi="ITC Avant Garde" w:cs="Arial"/>
                <w:lang w:val="es-MX"/>
              </w:rPr>
              <w:t>con e</w:t>
            </w:r>
            <w:r>
              <w:rPr>
                <w:rFonts w:ascii="ITC Avant Garde" w:hAnsi="ITC Avant Garde" w:cs="Arial"/>
                <w:lang w:val="es-MX"/>
              </w:rPr>
              <w:t>l municipio</w:t>
            </w:r>
            <w:r w:rsidR="0019380A">
              <w:rPr>
                <w:rFonts w:ascii="ITC Avant Garde" w:hAnsi="ITC Avant Garde" w:cs="Arial"/>
                <w:lang w:val="es-MX"/>
              </w:rPr>
              <w:t xml:space="preserve"> y </w:t>
            </w:r>
            <w:r>
              <w:rPr>
                <w:rFonts w:ascii="ITC Avant Garde" w:hAnsi="ITC Avant Garde" w:cs="Arial"/>
                <w:lang w:val="es-MX"/>
              </w:rPr>
              <w:t>modalidades de STAR</w:t>
            </w:r>
            <w:r w:rsidR="0019380A">
              <w:rPr>
                <w:rFonts w:ascii="ITC Avant Garde" w:hAnsi="ITC Avant Garde" w:cs="Arial"/>
                <w:lang w:val="es-MX"/>
              </w:rPr>
              <w:t>. Los rangos de canales HD identificados se muestran a continuación:</w:t>
            </w:r>
          </w:p>
          <w:p w14:paraId="1318C765" w14:textId="17999031" w:rsidR="00CE578C" w:rsidRDefault="00CE578C" w:rsidP="008F26C5">
            <w:pPr>
              <w:pStyle w:val="Tablecells"/>
              <w:numPr>
                <w:ilvl w:val="0"/>
                <w:numId w:val="9"/>
              </w:numPr>
              <w:spacing w:before="0" w:after="120" w:line="276" w:lineRule="auto"/>
              <w:jc w:val="both"/>
              <w:rPr>
                <w:rFonts w:ascii="ITC Avant Garde" w:hAnsi="ITC Avant Garde" w:cs="Arial"/>
                <w:lang w:val="es-MX"/>
              </w:rPr>
            </w:pPr>
            <w:r>
              <w:rPr>
                <w:rFonts w:ascii="ITC Avant Garde" w:hAnsi="ITC Avant Garde" w:cs="Arial"/>
                <w:lang w:val="es-MX"/>
              </w:rPr>
              <w:t>TV Básico Plus: 92-100 canales</w:t>
            </w:r>
            <w:r w:rsidR="0019380A">
              <w:rPr>
                <w:rFonts w:ascii="ITC Avant Garde" w:hAnsi="ITC Avant Garde" w:cs="Arial"/>
                <w:lang w:val="es-MX"/>
              </w:rPr>
              <w:t xml:space="preserve"> HD.</w:t>
            </w:r>
          </w:p>
          <w:p w14:paraId="1665D260" w14:textId="6E499301" w:rsidR="00CE578C" w:rsidRPr="00CE578C" w:rsidRDefault="00CE578C" w:rsidP="008F26C5">
            <w:pPr>
              <w:pStyle w:val="Tablecells"/>
              <w:numPr>
                <w:ilvl w:val="0"/>
                <w:numId w:val="9"/>
              </w:numPr>
              <w:spacing w:before="0" w:after="120" w:line="276" w:lineRule="auto"/>
              <w:jc w:val="both"/>
              <w:rPr>
                <w:rFonts w:ascii="ITC Avant Garde" w:hAnsi="ITC Avant Garde" w:cs="Arial"/>
                <w:lang w:val="es-MX"/>
              </w:rPr>
            </w:pPr>
            <w:r w:rsidRPr="00CE578C">
              <w:rPr>
                <w:rFonts w:ascii="ITC Avant Garde" w:hAnsi="ITC Avant Garde" w:cs="Arial"/>
                <w:lang w:val="es-MX"/>
              </w:rPr>
              <w:t>TV Conecta: 54-83 canales</w:t>
            </w:r>
            <w:r w:rsidR="0019380A">
              <w:rPr>
                <w:rFonts w:ascii="ITC Avant Garde" w:hAnsi="ITC Avant Garde" w:cs="Arial"/>
                <w:lang w:val="es-MX"/>
              </w:rPr>
              <w:t xml:space="preserve"> HD.</w:t>
            </w:r>
          </w:p>
        </w:tc>
        <w:tc>
          <w:tcPr>
            <w:tcW w:w="1796" w:type="pct"/>
            <w:vMerge/>
            <w:vAlign w:val="center"/>
          </w:tcPr>
          <w:p w14:paraId="5B4477F4" w14:textId="09FCEDFC" w:rsidR="00CE578C" w:rsidRPr="00893BF7" w:rsidRDefault="00CE578C" w:rsidP="008F26C5">
            <w:pPr>
              <w:pStyle w:val="Tablecells"/>
              <w:spacing w:before="0" w:after="120" w:line="276" w:lineRule="auto"/>
              <w:jc w:val="both"/>
              <w:rPr>
                <w:rFonts w:ascii="ITC Avant Garde" w:hAnsi="ITC Avant Garde" w:cs="Arial"/>
                <w:lang w:val="es-MX"/>
              </w:rPr>
            </w:pPr>
          </w:p>
        </w:tc>
      </w:tr>
      <w:tr w:rsidR="00CE578C" w:rsidRPr="00523452" w14:paraId="77169A57" w14:textId="77777777" w:rsidTr="008F26C5">
        <w:trPr>
          <w:trHeight w:val="340"/>
        </w:trPr>
        <w:tc>
          <w:tcPr>
            <w:tcW w:w="1437" w:type="pct"/>
          </w:tcPr>
          <w:p w14:paraId="7D625B3F" w14:textId="424370F8" w:rsidR="00CE578C" w:rsidRDefault="00CE578C" w:rsidP="008F26C5">
            <w:pPr>
              <w:pStyle w:val="Tablecells"/>
              <w:spacing w:before="0" w:after="120" w:line="276" w:lineRule="auto"/>
              <w:jc w:val="both"/>
              <w:rPr>
                <w:rFonts w:ascii="ITC Avant Garde" w:hAnsi="ITC Avant Garde" w:cs="Arial"/>
                <w:i/>
                <w:lang w:val="es-MX"/>
              </w:rPr>
            </w:pPr>
            <w:r>
              <w:rPr>
                <w:rFonts w:ascii="ITC Avant Garde" w:hAnsi="ITC Avant Garde" w:cs="Arial"/>
                <w:i/>
                <w:lang w:val="es-MX"/>
              </w:rPr>
              <w:lastRenderedPageBreak/>
              <w:t>Número de canales “solo audio”</w:t>
            </w:r>
          </w:p>
        </w:tc>
        <w:tc>
          <w:tcPr>
            <w:tcW w:w="1767" w:type="pct"/>
          </w:tcPr>
          <w:p w14:paraId="41538D6D" w14:textId="009348FE" w:rsidR="00CE578C" w:rsidRPr="00523452" w:rsidRDefault="00CE578C" w:rsidP="008F26C5">
            <w:pPr>
              <w:pStyle w:val="Tablecells"/>
              <w:spacing w:before="0" w:after="120" w:line="276" w:lineRule="auto"/>
              <w:rPr>
                <w:rFonts w:ascii="ITC Avant Garde" w:hAnsi="ITC Avant Garde" w:cs="Arial"/>
                <w:lang w:val="es-MX"/>
              </w:rPr>
            </w:pPr>
            <w:r>
              <w:rPr>
                <w:rFonts w:ascii="ITC Avant Garde" w:hAnsi="ITC Avant Garde" w:cs="Arial"/>
                <w:lang w:val="es-MX"/>
              </w:rPr>
              <w:t>No se entregó la información solicitada.</w:t>
            </w:r>
          </w:p>
        </w:tc>
        <w:tc>
          <w:tcPr>
            <w:tcW w:w="1796" w:type="pct"/>
            <w:vMerge/>
          </w:tcPr>
          <w:p w14:paraId="3D656D15" w14:textId="43E1B55C" w:rsidR="00CE578C" w:rsidRPr="00523452" w:rsidRDefault="00CE578C" w:rsidP="008F26C5">
            <w:pPr>
              <w:pStyle w:val="Tablecells"/>
              <w:spacing w:before="0" w:after="120" w:line="276" w:lineRule="auto"/>
              <w:jc w:val="both"/>
              <w:rPr>
                <w:rFonts w:ascii="ITC Avant Garde" w:hAnsi="ITC Avant Garde" w:cs="Arial"/>
                <w:lang w:val="es-MX"/>
              </w:rPr>
            </w:pPr>
          </w:p>
        </w:tc>
      </w:tr>
      <w:tr w:rsidR="00CE578C" w:rsidRPr="00523452" w14:paraId="34EE209F" w14:textId="77777777" w:rsidTr="008F26C5">
        <w:trPr>
          <w:trHeight w:val="340"/>
        </w:trPr>
        <w:tc>
          <w:tcPr>
            <w:tcW w:w="1437" w:type="pct"/>
          </w:tcPr>
          <w:p w14:paraId="43A80A5E" w14:textId="378D792F" w:rsidR="00CE578C" w:rsidRDefault="00CE578C" w:rsidP="008F26C5">
            <w:pPr>
              <w:pStyle w:val="Tablecells"/>
              <w:spacing w:before="0" w:after="120" w:line="276" w:lineRule="auto"/>
              <w:jc w:val="both"/>
              <w:rPr>
                <w:rFonts w:ascii="ITC Avant Garde" w:hAnsi="ITC Avant Garde" w:cs="Arial"/>
                <w:i/>
                <w:lang w:val="es-MX"/>
              </w:rPr>
            </w:pPr>
            <w:r>
              <w:rPr>
                <w:rFonts w:ascii="ITC Avant Garde" w:hAnsi="ITC Avant Garde" w:cs="Arial"/>
                <w:i/>
                <w:lang w:val="es-MX"/>
              </w:rPr>
              <w:t>Número de canales Premier incluidos</w:t>
            </w:r>
          </w:p>
        </w:tc>
        <w:tc>
          <w:tcPr>
            <w:tcW w:w="1767" w:type="pct"/>
          </w:tcPr>
          <w:p w14:paraId="20A28387" w14:textId="00667CC9" w:rsidR="00CE578C" w:rsidRPr="009E046C" w:rsidRDefault="00CE578C" w:rsidP="008F26C5">
            <w:pPr>
              <w:pStyle w:val="Tablecells"/>
              <w:spacing w:before="0" w:after="120" w:line="276" w:lineRule="auto"/>
              <w:rPr>
                <w:rFonts w:ascii="ITC Avant Garde" w:hAnsi="ITC Avant Garde" w:cs="Arial"/>
                <w:lang w:val="es-MX"/>
              </w:rPr>
            </w:pPr>
            <w:r>
              <w:rPr>
                <w:rFonts w:ascii="ITC Avant Garde" w:hAnsi="ITC Avant Garde" w:cs="Arial"/>
                <w:lang w:val="es-MX"/>
              </w:rPr>
              <w:t xml:space="preserve">No se entregó la información solicitada. </w:t>
            </w:r>
          </w:p>
        </w:tc>
        <w:tc>
          <w:tcPr>
            <w:tcW w:w="1796" w:type="pct"/>
            <w:vMerge/>
          </w:tcPr>
          <w:p w14:paraId="159CA18B" w14:textId="458CA376" w:rsidR="00CE578C" w:rsidRDefault="00CE578C" w:rsidP="008F26C5">
            <w:pPr>
              <w:pStyle w:val="Tablecells"/>
              <w:spacing w:before="0" w:after="120" w:line="276" w:lineRule="auto"/>
              <w:jc w:val="both"/>
              <w:rPr>
                <w:rFonts w:ascii="ITC Avant Garde" w:hAnsi="ITC Avant Garde" w:cs="Arial"/>
                <w:lang w:val="es-MX"/>
              </w:rPr>
            </w:pPr>
          </w:p>
        </w:tc>
      </w:tr>
      <w:tr w:rsidR="00CE578C" w:rsidRPr="00523452" w14:paraId="3A7D4B99" w14:textId="77777777" w:rsidTr="008F26C5">
        <w:trPr>
          <w:trHeight w:val="1928"/>
        </w:trPr>
        <w:tc>
          <w:tcPr>
            <w:tcW w:w="1437" w:type="pct"/>
            <w:tcBorders>
              <w:bottom w:val="single" w:sz="4" w:space="0" w:color="999999" w:themeColor="text1" w:themeTint="66"/>
            </w:tcBorders>
          </w:tcPr>
          <w:p w14:paraId="7F9838A8" w14:textId="0416EB2F" w:rsidR="00CE578C" w:rsidRDefault="00CE578C" w:rsidP="008F26C5">
            <w:pPr>
              <w:pStyle w:val="Tablecells"/>
              <w:spacing w:before="0" w:after="120" w:line="276" w:lineRule="auto"/>
              <w:jc w:val="both"/>
              <w:rPr>
                <w:rFonts w:ascii="ITC Avant Garde" w:hAnsi="ITC Avant Garde" w:cs="Arial"/>
                <w:i/>
                <w:lang w:val="es-MX"/>
              </w:rPr>
            </w:pPr>
            <w:r>
              <w:rPr>
                <w:rFonts w:ascii="ITC Avant Garde" w:hAnsi="ITC Avant Garde" w:cs="Arial"/>
                <w:i/>
                <w:lang w:val="es-MX"/>
              </w:rPr>
              <w:t>Información relativa a los servicios de línea telefónica y servicios de internet en los que se ofrece el STAR</w:t>
            </w:r>
            <w:r w:rsidR="000D3567">
              <w:rPr>
                <w:rFonts w:ascii="ITC Avant Garde" w:hAnsi="ITC Avant Garde" w:cs="Arial"/>
                <w:i/>
                <w:lang w:val="es-MX"/>
              </w:rPr>
              <w:t>, así como otro</w:t>
            </w:r>
            <w:r w:rsidR="00280293">
              <w:rPr>
                <w:rFonts w:ascii="ITC Avant Garde" w:hAnsi="ITC Avant Garde" w:cs="Arial"/>
                <w:i/>
                <w:lang w:val="es-MX"/>
              </w:rPr>
              <w:t>s</w:t>
            </w:r>
            <w:r w:rsidR="000D3567">
              <w:rPr>
                <w:rFonts w:ascii="ITC Avant Garde" w:hAnsi="ITC Avant Garde" w:cs="Arial"/>
                <w:i/>
                <w:lang w:val="es-MX"/>
              </w:rPr>
              <w:t xml:space="preserve"> s</w:t>
            </w:r>
            <w:r>
              <w:rPr>
                <w:rFonts w:ascii="ITC Avant Garde" w:hAnsi="ITC Avant Garde" w:cs="Arial"/>
                <w:i/>
                <w:lang w:val="es-MX"/>
              </w:rPr>
              <w:t>ervicios adicionales</w:t>
            </w:r>
            <w:r w:rsidR="000D3567">
              <w:rPr>
                <w:rFonts w:ascii="ITC Avant Garde" w:hAnsi="ITC Avant Garde" w:cs="Arial"/>
                <w:i/>
                <w:lang w:val="es-MX"/>
              </w:rPr>
              <w:t xml:space="preserve"> ofrecidos.</w:t>
            </w:r>
          </w:p>
        </w:tc>
        <w:tc>
          <w:tcPr>
            <w:tcW w:w="1767" w:type="pct"/>
            <w:tcBorders>
              <w:bottom w:val="single" w:sz="4" w:space="0" w:color="999999" w:themeColor="text1" w:themeTint="66"/>
            </w:tcBorders>
          </w:tcPr>
          <w:p w14:paraId="0DC275A7" w14:textId="3D6F4436" w:rsidR="00CE578C" w:rsidRDefault="00223E57" w:rsidP="008F26C5">
            <w:pPr>
              <w:pStyle w:val="Tablecells"/>
              <w:spacing w:before="0" w:after="120" w:line="276" w:lineRule="auto"/>
              <w:rPr>
                <w:rFonts w:ascii="ITC Avant Garde" w:hAnsi="ITC Avant Garde" w:cs="Arial"/>
                <w:lang w:val="es-MX"/>
              </w:rPr>
            </w:pPr>
            <w:r>
              <w:rPr>
                <w:rFonts w:ascii="ITC Avant Garde" w:hAnsi="ITC Avant Garde" w:cs="Arial"/>
                <w:lang w:val="es-MX"/>
              </w:rPr>
              <w:t xml:space="preserve">Solamente </w:t>
            </w:r>
            <w:r w:rsidR="000D3567">
              <w:rPr>
                <w:rFonts w:ascii="ITC Avant Garde" w:hAnsi="ITC Avant Garde" w:cs="Arial"/>
                <w:lang w:val="es-MX"/>
              </w:rPr>
              <w:t xml:space="preserve">se proporcionó información </w:t>
            </w:r>
            <w:r w:rsidR="00CE578C">
              <w:rPr>
                <w:rFonts w:ascii="ITC Avant Garde" w:hAnsi="ITC Avant Garde" w:cs="Arial"/>
                <w:lang w:val="es-MX"/>
              </w:rPr>
              <w:t>relativa a los perfiles de velocidad</w:t>
            </w:r>
            <w:r w:rsidR="000D3567">
              <w:rPr>
                <w:rFonts w:ascii="ITC Avant Garde" w:hAnsi="ITC Avant Garde" w:cs="Arial"/>
                <w:lang w:val="es-MX"/>
              </w:rPr>
              <w:t xml:space="preserve"> de </w:t>
            </w:r>
            <w:r w:rsidR="001969F7">
              <w:rPr>
                <w:rFonts w:ascii="ITC Avant Garde" w:hAnsi="ITC Avant Garde" w:cs="Arial"/>
                <w:lang w:val="es-MX"/>
              </w:rPr>
              <w:t>I</w:t>
            </w:r>
            <w:r w:rsidR="000D3567">
              <w:rPr>
                <w:rFonts w:ascii="ITC Avant Garde" w:hAnsi="ITC Avant Garde" w:cs="Arial"/>
                <w:lang w:val="es-MX"/>
              </w:rPr>
              <w:t>nternet en la que se ofrece el STAR, cuyos perfiles consideran servicios de</w:t>
            </w:r>
            <w:r w:rsidR="00CE578C">
              <w:rPr>
                <w:rFonts w:ascii="ITC Avant Garde" w:hAnsi="ITC Avant Garde" w:cs="Arial"/>
                <w:lang w:val="es-MX"/>
              </w:rPr>
              <w:t xml:space="preserve"> 20,30, 60, 100, 150, 250, 300,500 Mbps</w:t>
            </w:r>
            <w:r w:rsidR="000D3567">
              <w:rPr>
                <w:rFonts w:ascii="ITC Avant Garde" w:hAnsi="ITC Avant Garde" w:cs="Arial"/>
                <w:lang w:val="es-MX"/>
              </w:rPr>
              <w:t xml:space="preserve"> </w:t>
            </w:r>
            <w:r w:rsidR="00CE578C">
              <w:rPr>
                <w:rFonts w:ascii="ITC Avant Garde" w:hAnsi="ITC Avant Garde" w:cs="Arial"/>
                <w:lang w:val="es-MX"/>
              </w:rPr>
              <w:t>y 1GB.</w:t>
            </w:r>
          </w:p>
        </w:tc>
        <w:tc>
          <w:tcPr>
            <w:tcW w:w="1796" w:type="pct"/>
            <w:vMerge/>
            <w:tcBorders>
              <w:bottom w:val="single" w:sz="4" w:space="0" w:color="999999" w:themeColor="text1" w:themeTint="66"/>
            </w:tcBorders>
          </w:tcPr>
          <w:p w14:paraId="78283B71" w14:textId="5E411B82" w:rsidR="00CE578C" w:rsidRDefault="00CE578C" w:rsidP="008F26C5">
            <w:pPr>
              <w:pStyle w:val="Tablecells"/>
              <w:spacing w:before="0" w:after="120" w:line="276" w:lineRule="auto"/>
              <w:jc w:val="both"/>
              <w:rPr>
                <w:rFonts w:ascii="ITC Avant Garde" w:hAnsi="ITC Avant Garde" w:cs="Arial"/>
                <w:lang w:val="es-MX"/>
              </w:rPr>
            </w:pPr>
          </w:p>
        </w:tc>
      </w:tr>
      <w:tr w:rsidR="00871B84" w:rsidRPr="00523452" w14:paraId="3AD21288" w14:textId="77777777" w:rsidTr="008F26C5">
        <w:trPr>
          <w:trHeight w:val="227"/>
        </w:trPr>
        <w:tc>
          <w:tcPr>
            <w:tcW w:w="5000" w:type="pct"/>
            <w:gridSpan w:val="3"/>
            <w:shd w:val="clear" w:color="auto" w:fill="E7E6E6" w:themeFill="background2"/>
          </w:tcPr>
          <w:p w14:paraId="5A6048B4" w14:textId="3180F114" w:rsidR="00871B84" w:rsidRPr="00523452" w:rsidRDefault="00871B84" w:rsidP="008F26C5">
            <w:pPr>
              <w:pStyle w:val="Tablecells"/>
              <w:spacing w:before="0" w:after="120" w:line="276" w:lineRule="auto"/>
              <w:rPr>
                <w:rFonts w:ascii="ITC Avant Garde" w:hAnsi="ITC Avant Garde" w:cs="Arial"/>
                <w:b/>
                <w:lang w:val="es-MX"/>
              </w:rPr>
            </w:pPr>
            <w:r>
              <w:rPr>
                <w:rFonts w:ascii="ITC Avant Garde" w:hAnsi="ITC Avant Garde" w:cs="Arial"/>
                <w:b/>
                <w:lang w:val="es-MX"/>
              </w:rPr>
              <w:t>Suscriptores</w:t>
            </w:r>
          </w:p>
        </w:tc>
      </w:tr>
      <w:tr w:rsidR="00582FFD" w:rsidRPr="00523452" w14:paraId="3C1CCAA0" w14:textId="77777777" w:rsidTr="008F26C5">
        <w:trPr>
          <w:trHeight w:val="2612"/>
        </w:trPr>
        <w:tc>
          <w:tcPr>
            <w:tcW w:w="1437" w:type="pct"/>
            <w:vAlign w:val="center"/>
          </w:tcPr>
          <w:p w14:paraId="6360F879" w14:textId="0343B374" w:rsidR="00582FFD" w:rsidRPr="00523452" w:rsidRDefault="00582FFD" w:rsidP="008F26C5">
            <w:pPr>
              <w:pStyle w:val="Tablecells"/>
              <w:spacing w:before="0" w:after="120" w:line="276" w:lineRule="auto"/>
              <w:rPr>
                <w:rFonts w:ascii="ITC Avant Garde" w:hAnsi="ITC Avant Garde" w:cs="Arial"/>
                <w:i/>
                <w:lang w:val="es-MX"/>
              </w:rPr>
            </w:pPr>
            <w:r>
              <w:rPr>
                <w:rFonts w:ascii="ITC Avant Garde" w:hAnsi="ITC Avant Garde" w:cs="Arial"/>
                <w:i/>
                <w:lang w:val="es-MX"/>
              </w:rPr>
              <w:t>Información relativa a planes y paquetes, servicios adicionales y tecnología.</w:t>
            </w:r>
          </w:p>
          <w:p w14:paraId="281DCFE3" w14:textId="534D4AB2" w:rsidR="00582FFD" w:rsidRPr="00523452" w:rsidRDefault="00582FFD" w:rsidP="008F26C5">
            <w:pPr>
              <w:pStyle w:val="Tablecells"/>
              <w:spacing w:before="0" w:after="120" w:line="276" w:lineRule="auto"/>
              <w:jc w:val="both"/>
              <w:rPr>
                <w:rFonts w:ascii="ITC Avant Garde" w:hAnsi="ITC Avant Garde" w:cs="Arial"/>
                <w:i/>
                <w:lang w:val="es-MX"/>
              </w:rPr>
            </w:pPr>
          </w:p>
        </w:tc>
        <w:tc>
          <w:tcPr>
            <w:tcW w:w="1767" w:type="pct"/>
            <w:vAlign w:val="center"/>
          </w:tcPr>
          <w:p w14:paraId="1ABD0132" w14:textId="3CC9CD4B" w:rsidR="00582FFD" w:rsidRPr="00FE161E" w:rsidRDefault="00582FFD" w:rsidP="008F26C5">
            <w:pPr>
              <w:pStyle w:val="Tablecells"/>
              <w:spacing w:before="0" w:after="120" w:line="276" w:lineRule="auto"/>
              <w:jc w:val="both"/>
              <w:rPr>
                <w:rFonts w:ascii="ITC Avant Garde" w:hAnsi="ITC Avant Garde" w:cs="Arial"/>
                <w:lang w:val="es-MX"/>
              </w:rPr>
            </w:pPr>
            <w:r>
              <w:rPr>
                <w:rFonts w:ascii="ITC Avant Garde" w:hAnsi="ITC Avant Garde" w:cs="Arial"/>
                <w:lang w:val="es-MX"/>
              </w:rPr>
              <w:t>Se proporcionó información de suscriptores por planes y paquetes, así como por tecnología de cable coaxial, fibra.</w:t>
            </w:r>
          </w:p>
        </w:tc>
        <w:tc>
          <w:tcPr>
            <w:tcW w:w="1796" w:type="pct"/>
            <w:vAlign w:val="center"/>
          </w:tcPr>
          <w:p w14:paraId="6905107A" w14:textId="29CBB9D6" w:rsidR="00582FFD" w:rsidRDefault="00582FFD" w:rsidP="008F26C5">
            <w:pPr>
              <w:pStyle w:val="Tablecells"/>
              <w:spacing w:before="0" w:after="120" w:line="276" w:lineRule="auto"/>
              <w:jc w:val="both"/>
              <w:rPr>
                <w:rFonts w:ascii="ITC Avant Garde" w:hAnsi="ITC Avant Garde" w:cs="Arial"/>
                <w:bCs/>
                <w:lang w:val="es-MX"/>
              </w:rPr>
            </w:pPr>
            <w:r>
              <w:rPr>
                <w:rFonts w:ascii="ITC Avant Garde" w:hAnsi="ITC Avant Garde" w:cs="Arial"/>
                <w:bCs/>
                <w:lang w:val="es-MX"/>
              </w:rPr>
              <w:t xml:space="preserve">Se homologaron nombres de planes y paquetes con aquellos presentados en materia de tarifas y canasta de servicios. Lo anterior, a efecto de poder integrar información de suscriptores en los 9 </w:t>
            </w:r>
            <w:r w:rsidR="00255223" w:rsidRPr="00F628D0">
              <w:rPr>
                <w:rFonts w:ascii="ITC Avant Garde" w:hAnsi="ITC Avant Garde" w:cs="Arial"/>
                <w:bCs/>
                <w:lang w:val="es-MX"/>
              </w:rPr>
              <w:t>mercados con PSM</w:t>
            </w:r>
            <w:r>
              <w:rPr>
                <w:rFonts w:ascii="ITC Avant Garde" w:hAnsi="ITC Avant Garde" w:cs="Arial"/>
                <w:bCs/>
                <w:lang w:val="es-MX"/>
              </w:rPr>
              <w:t>.</w:t>
            </w:r>
          </w:p>
          <w:p w14:paraId="5FE3AAD0" w14:textId="1BFC8E97" w:rsidR="00582FFD" w:rsidRPr="00523452" w:rsidRDefault="00582FFD" w:rsidP="008F26C5">
            <w:pPr>
              <w:pStyle w:val="Tablecells"/>
              <w:spacing w:before="0" w:after="120" w:line="276" w:lineRule="auto"/>
              <w:jc w:val="both"/>
              <w:rPr>
                <w:rFonts w:ascii="ITC Avant Garde" w:hAnsi="ITC Avant Garde" w:cs="Arial"/>
                <w:bCs/>
                <w:lang w:val="es-MX"/>
              </w:rPr>
            </w:pPr>
            <w:r>
              <w:rPr>
                <w:rFonts w:ascii="ITC Avant Garde" w:hAnsi="ITC Avant Garde" w:cs="Arial"/>
                <w:lang w:val="es-MX"/>
              </w:rPr>
              <w:t xml:space="preserve">Bajo este principio, el Modelo de Costos Evitados </w:t>
            </w:r>
            <w:r w:rsidR="00223E57">
              <w:rPr>
                <w:rFonts w:ascii="ITC Avant Garde" w:hAnsi="ITC Avant Garde" w:cs="Arial"/>
                <w:lang w:val="es-MX"/>
              </w:rPr>
              <w:t xml:space="preserve">contiene </w:t>
            </w:r>
            <w:r>
              <w:rPr>
                <w:rFonts w:ascii="ITC Avant Garde" w:hAnsi="ITC Avant Garde" w:cs="Arial"/>
                <w:lang w:val="es-MX"/>
              </w:rPr>
              <w:t>la hoja denominada como “Base”, en la cual presentan los insumos relevantes utilizados para determinar a los usuarios a cada uno de los precios y tarifas.</w:t>
            </w:r>
          </w:p>
        </w:tc>
      </w:tr>
    </w:tbl>
    <w:p w14:paraId="121C2F06" w14:textId="1BD87174" w:rsidR="00181D64" w:rsidRPr="00523452" w:rsidRDefault="00582FFD" w:rsidP="00CA2F00">
      <w:pPr>
        <w:pStyle w:val="IFTnormal"/>
        <w:numPr>
          <w:ilvl w:val="0"/>
          <w:numId w:val="59"/>
        </w:numPr>
        <w:tabs>
          <w:tab w:val="left" w:pos="1134"/>
        </w:tabs>
        <w:ind w:left="142" w:hanging="142"/>
      </w:pPr>
      <w:r>
        <w:rPr>
          <w:bCs w:val="0"/>
          <w:sz w:val="20"/>
          <w:szCs w:val="20"/>
        </w:rPr>
        <w:t>Análisis de la información proporcionada por el APSM</w:t>
      </w:r>
      <w:r w:rsidR="00510FBE" w:rsidRPr="00CA2F00">
        <w:rPr>
          <w:b/>
          <w:sz w:val="20"/>
          <w:szCs w:val="20"/>
        </w:rPr>
        <w:t xml:space="preserve"> (Fuente: IFT)</w:t>
      </w:r>
      <w:r w:rsidR="00AE0C97">
        <w:rPr>
          <w:b/>
          <w:sz w:val="20"/>
          <w:szCs w:val="20"/>
        </w:rPr>
        <w:t>.</w:t>
      </w:r>
    </w:p>
    <w:p w14:paraId="5E44B160" w14:textId="6950596D" w:rsidR="00181D64" w:rsidRPr="00523452" w:rsidRDefault="00181D64" w:rsidP="00181D64">
      <w:pPr>
        <w:pStyle w:val="IFTnormal"/>
      </w:pPr>
      <w:r w:rsidRPr="00523452">
        <w:t xml:space="preserve">En consideración de lo anterior, en el </w:t>
      </w:r>
      <w:r w:rsidR="00CC7684">
        <w:t>Modelo de Costos Evitados</w:t>
      </w:r>
      <w:r w:rsidRPr="00523452">
        <w:t xml:space="preserve"> se adoptó el siguiente enfoque para estimar los precios implícitos de los servicios que integran los planes y paquetes </w:t>
      </w:r>
      <w:r w:rsidR="00117811">
        <w:t>a partir de la información de la estructura de precios de éstos proporcionada por</w:t>
      </w:r>
      <w:r w:rsidR="00E210C6">
        <w:t xml:space="preserve"> </w:t>
      </w:r>
      <w:r w:rsidR="0023739A">
        <w:t>APSM</w:t>
      </w:r>
      <w:r w:rsidR="00117811">
        <w:t>:</w:t>
      </w:r>
    </w:p>
    <w:p w14:paraId="0C55928F" w14:textId="4E99CA05" w:rsidR="00181D64" w:rsidRPr="007A6FD5" w:rsidRDefault="00181D64" w:rsidP="00181D64">
      <w:pPr>
        <w:pStyle w:val="IFTnormal"/>
        <w:numPr>
          <w:ilvl w:val="0"/>
          <w:numId w:val="10"/>
        </w:numPr>
        <w:spacing w:after="0"/>
        <w:rPr>
          <w:b/>
        </w:rPr>
      </w:pPr>
      <w:r w:rsidRPr="00523452">
        <w:rPr>
          <w:b/>
        </w:rPr>
        <w:t xml:space="preserve">Asociados </w:t>
      </w:r>
      <w:r w:rsidR="00582FFD">
        <w:rPr>
          <w:b/>
        </w:rPr>
        <w:t>al STAR</w:t>
      </w:r>
      <w:r w:rsidRPr="00523452">
        <w:t>. -</w:t>
      </w:r>
      <w:r w:rsidRPr="00523452">
        <w:rPr>
          <w:b/>
        </w:rPr>
        <w:t xml:space="preserve"> </w:t>
      </w:r>
      <w:r w:rsidRPr="00523452">
        <w:t>se descompone mediante los siguientes elementos:</w:t>
      </w:r>
    </w:p>
    <w:p w14:paraId="3363F21B" w14:textId="77777777" w:rsidR="00E13369" w:rsidRPr="00523452" w:rsidRDefault="00E13369" w:rsidP="003D3A12">
      <w:pPr>
        <w:pStyle w:val="IFTnormal"/>
        <w:spacing w:after="0"/>
        <w:ind w:left="720"/>
        <w:rPr>
          <w:b/>
        </w:rPr>
      </w:pPr>
    </w:p>
    <w:p w14:paraId="7520C54B" w14:textId="11435C00" w:rsidR="006231C5" w:rsidRPr="00330B25" w:rsidRDefault="006231C5" w:rsidP="006231C5">
      <w:pPr>
        <w:pStyle w:val="IFTnormal"/>
        <w:numPr>
          <w:ilvl w:val="1"/>
          <w:numId w:val="10"/>
        </w:numPr>
        <w:spacing w:after="0"/>
        <w:rPr>
          <w:i/>
        </w:rPr>
      </w:pPr>
      <w:r w:rsidRPr="00523452">
        <w:rPr>
          <w:i/>
        </w:rPr>
        <w:t xml:space="preserve">Servicios </w:t>
      </w:r>
      <w:r>
        <w:rPr>
          <w:i/>
        </w:rPr>
        <w:t xml:space="preserve">de instalación. </w:t>
      </w:r>
      <w:r w:rsidR="00ED37CE">
        <w:t>El</w:t>
      </w:r>
      <w:r>
        <w:t xml:space="preserve"> APSM presentó información respecto al costo de la instalación del servicio</w:t>
      </w:r>
      <w:r w:rsidR="002D6F27">
        <w:t xml:space="preserve">, </w:t>
      </w:r>
      <w:r>
        <w:t>señal</w:t>
      </w:r>
      <w:r w:rsidR="002D6F27">
        <w:t>ando</w:t>
      </w:r>
      <w:r>
        <w:t xml:space="preserve"> expresamente que “</w:t>
      </w:r>
      <w:r w:rsidR="00CC7684">
        <w:rPr>
          <w:i/>
        </w:rPr>
        <w:t>[e]</w:t>
      </w:r>
      <w:r w:rsidRPr="00330B25">
        <w:rPr>
          <w:i/>
        </w:rPr>
        <w:t>stos costos no se trasladan al Cliente en oferta Comercial, son costos que la empresa absorbe como parte de sus procesos.</w:t>
      </w:r>
      <w:r>
        <w:t>”</w:t>
      </w:r>
    </w:p>
    <w:p w14:paraId="053DB354" w14:textId="5E2F4DB4" w:rsidR="006231C5" w:rsidRPr="00330B25" w:rsidRDefault="006231C5" w:rsidP="006231C5">
      <w:pPr>
        <w:pStyle w:val="IFTnormal"/>
        <w:spacing w:after="0"/>
        <w:ind w:left="1440"/>
      </w:pPr>
      <w:r>
        <w:lastRenderedPageBreak/>
        <w:t>Por ello se estimó el valor de instalación que se incluye en la renta mensual por el periodo de tiempo determinado en las condiciones comerciales, ponderado por el periodo de retención de los clientes estimado por el Instituto (en meses)</w:t>
      </w:r>
      <w:r w:rsidR="002D6F27">
        <w:t>.</w:t>
      </w:r>
    </w:p>
    <w:p w14:paraId="2B155257" w14:textId="77777777" w:rsidR="006231C5" w:rsidRPr="00523452" w:rsidRDefault="006231C5" w:rsidP="006231C5">
      <w:pPr>
        <w:pStyle w:val="IFTnormal"/>
        <w:spacing w:after="0"/>
        <w:ind w:left="2160"/>
        <w:rPr>
          <w:b/>
        </w:rPr>
      </w:pPr>
    </w:p>
    <w:p w14:paraId="20AE6589" w14:textId="57555C71" w:rsidR="00ED37CE" w:rsidRPr="00ED37CE" w:rsidRDefault="006231C5" w:rsidP="00ED37CE">
      <w:pPr>
        <w:pStyle w:val="IFTnormal"/>
        <w:numPr>
          <w:ilvl w:val="1"/>
          <w:numId w:val="10"/>
        </w:numPr>
        <w:spacing w:after="240"/>
        <w:ind w:left="1434" w:hanging="357"/>
        <w:rPr>
          <w:b/>
        </w:rPr>
      </w:pPr>
      <w:r w:rsidRPr="00330B25">
        <w:rPr>
          <w:i/>
        </w:rPr>
        <w:t>Precio del STAR</w:t>
      </w:r>
      <w:r>
        <w:t xml:space="preserve">. </w:t>
      </w:r>
      <w:r w:rsidR="00ED37CE">
        <w:t xml:space="preserve">A partir del precio de los planes TV Conecta y TV Básico Plus se estimó el precio por canal, el cual fue extrapolado a partir del número total de canales (“SD” y “HD”) en los que se ofrece el STAR single play y STAR </w:t>
      </w:r>
      <w:r w:rsidR="00460B93">
        <w:t>em</w:t>
      </w:r>
      <w:r w:rsidR="00ED37CE">
        <w:t xml:space="preserve">paquetado. </w:t>
      </w:r>
    </w:p>
    <w:p w14:paraId="60345D34" w14:textId="54063C8F" w:rsidR="00ED37CE" w:rsidRPr="00ED37CE" w:rsidRDefault="00ED37CE" w:rsidP="00ED37CE">
      <w:pPr>
        <w:pStyle w:val="IFTnormal"/>
        <w:spacing w:after="240"/>
        <w:ind w:left="1077"/>
      </w:pPr>
      <w:r w:rsidRPr="00ED37CE">
        <w:t>Los conceptos anteriores se suman para representar el valor conjunto de la provisión de los servicios mencionados individualmente</w:t>
      </w:r>
      <w:r w:rsidRPr="00ED37CE">
        <w:rPr>
          <w:b/>
        </w:rPr>
        <w:t xml:space="preserve">. </w:t>
      </w:r>
      <w:r w:rsidRPr="00ED37CE">
        <w:t>A partir de ello, se calcula la desviación en términos porcentuales, que tiene ese valor conjunto respecto a la suma de a composición de precios estimado, misma que se emplea para determinar la proporción del valor estimado correspondiente al precio implícito del precio del STAR y los servicios de instalación, con el objeto de garantizar que la suma de los precios implícitos calculados para todos los servicios nunca supere la composición de precios estimada.</w:t>
      </w:r>
    </w:p>
    <w:p w14:paraId="1814AC9E" w14:textId="01EC050D" w:rsidR="00181D64" w:rsidRPr="00523452" w:rsidRDefault="00280293" w:rsidP="003634D6">
      <w:pPr>
        <w:widowControl w:val="0"/>
        <w:jc w:val="center"/>
        <w:rPr>
          <w:b/>
          <w:sz w:val="17"/>
          <w:szCs w:val="17"/>
        </w:rPr>
      </w:pPr>
      <w:r>
        <w:rPr>
          <w:b/>
          <w:noProof/>
          <w:sz w:val="17"/>
          <w:szCs w:val="17"/>
        </w:rPr>
        <w:drawing>
          <wp:inline distT="0" distB="0" distL="0" distR="0" wp14:anchorId="568A764C" wp14:editId="341C0857">
            <wp:extent cx="5612130" cy="3018155"/>
            <wp:effectExtent l="0" t="0" r="7620" b="0"/>
            <wp:docPr id="1638515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1540" name="Imagen 163851540"/>
                    <pic:cNvPicPr/>
                  </pic:nvPicPr>
                  <pic:blipFill>
                    <a:blip r:embed="rId19">
                      <a:extLst>
                        <a:ext uri="{28A0092B-C50C-407E-A947-70E740481C1C}">
                          <a14:useLocalDpi xmlns:a14="http://schemas.microsoft.com/office/drawing/2010/main" val="0"/>
                        </a:ext>
                      </a:extLst>
                    </a:blip>
                    <a:stretch>
                      <a:fillRect/>
                    </a:stretch>
                  </pic:blipFill>
                  <pic:spPr>
                    <a:xfrm>
                      <a:off x="0" y="0"/>
                      <a:ext cx="5612130" cy="3018155"/>
                    </a:xfrm>
                    <a:prstGeom prst="rect">
                      <a:avLst/>
                    </a:prstGeom>
                  </pic:spPr>
                </pic:pic>
              </a:graphicData>
            </a:graphic>
          </wp:inline>
        </w:drawing>
      </w:r>
    </w:p>
    <w:p w14:paraId="44B194E0" w14:textId="6DC9806C" w:rsidR="00244935" w:rsidRDefault="00181D64" w:rsidP="00ED37CE">
      <w:pPr>
        <w:pStyle w:val="Figura"/>
        <w:keepNext w:val="0"/>
        <w:widowControl w:val="0"/>
        <w:spacing w:before="0" w:after="240" w:line="259" w:lineRule="auto"/>
        <w:ind w:right="49"/>
        <w:jc w:val="both"/>
        <w:rPr>
          <w:bCs/>
          <w:szCs w:val="20"/>
        </w:rPr>
      </w:pPr>
      <w:r w:rsidRPr="005674F5">
        <w:rPr>
          <w:bCs/>
          <w:szCs w:val="20"/>
        </w:rPr>
        <w:t xml:space="preserve">Esquema estimación del precio implícito asociados </w:t>
      </w:r>
      <w:r w:rsidR="007C4245">
        <w:rPr>
          <w:bCs/>
          <w:szCs w:val="20"/>
        </w:rPr>
        <w:t>con el STAR</w:t>
      </w:r>
      <w:r w:rsidRPr="005674F5">
        <w:rPr>
          <w:bCs/>
          <w:szCs w:val="20"/>
        </w:rPr>
        <w:t xml:space="preserve"> asociados a los planes o paquetes de</w:t>
      </w:r>
      <w:r w:rsidR="007C4245">
        <w:rPr>
          <w:bCs/>
          <w:szCs w:val="20"/>
        </w:rPr>
        <w:t>l APSM</w:t>
      </w:r>
      <w:r w:rsidRPr="005674F5">
        <w:rPr>
          <w:bCs/>
          <w:szCs w:val="20"/>
        </w:rPr>
        <w:t xml:space="preserve"> (</w:t>
      </w:r>
      <w:r w:rsidRPr="00CA2F00">
        <w:rPr>
          <w:b/>
          <w:szCs w:val="20"/>
        </w:rPr>
        <w:t>Fuente</w:t>
      </w:r>
      <w:r w:rsidRPr="00CA2F00">
        <w:rPr>
          <w:bCs/>
          <w:szCs w:val="20"/>
        </w:rPr>
        <w:t>: IFT)</w:t>
      </w:r>
      <w:r w:rsidR="00ED37CE">
        <w:rPr>
          <w:bCs/>
          <w:szCs w:val="20"/>
        </w:rPr>
        <w:t>.</w:t>
      </w:r>
    </w:p>
    <w:p w14:paraId="6847B7AA" w14:textId="3F5F43A9" w:rsidR="00ED37CE" w:rsidRPr="001600CB" w:rsidRDefault="00ED37CE" w:rsidP="00ED37CE">
      <w:pPr>
        <w:pStyle w:val="IFTnormal"/>
        <w:numPr>
          <w:ilvl w:val="0"/>
          <w:numId w:val="10"/>
        </w:numPr>
        <w:spacing w:after="0"/>
        <w:rPr>
          <w:b/>
        </w:rPr>
      </w:pPr>
      <w:r w:rsidRPr="00523452">
        <w:rPr>
          <w:b/>
        </w:rPr>
        <w:t xml:space="preserve">Asociados </w:t>
      </w:r>
      <w:r>
        <w:rPr>
          <w:b/>
        </w:rPr>
        <w:t>a otros servicios.</w:t>
      </w:r>
      <w:r>
        <w:t xml:space="preserve"> Se compone del </w:t>
      </w:r>
      <w:r w:rsidR="001600CB">
        <w:t>precio</w:t>
      </w:r>
      <w:r>
        <w:t xml:space="preserve"> </w:t>
      </w:r>
      <w:r w:rsidR="001600CB">
        <w:t xml:space="preserve">representativo de los servicios de telefonía fija y/o internet. Dicho valor resulta de la diferencia </w:t>
      </w:r>
      <w:r w:rsidR="001600CB">
        <w:lastRenderedPageBreak/>
        <w:t xml:space="preserve">entre la renta mensual </w:t>
      </w:r>
      <w:r w:rsidR="00CC7684">
        <w:t>de los planes y paquetes menos</w:t>
      </w:r>
      <w:r w:rsidR="001600CB">
        <w:t xml:space="preserve"> el precio asociado al </w:t>
      </w:r>
      <w:r w:rsidR="00DE7685">
        <w:t xml:space="preserve">precio </w:t>
      </w:r>
      <w:r w:rsidR="001600CB">
        <w:t xml:space="preserve">STAR. </w:t>
      </w:r>
    </w:p>
    <w:p w14:paraId="2D022A53" w14:textId="597E35EA" w:rsidR="001600CB" w:rsidRDefault="001600CB" w:rsidP="001600CB">
      <w:pPr>
        <w:pStyle w:val="IFTnormal"/>
        <w:spacing w:after="0"/>
        <w:ind w:left="720"/>
        <w:rPr>
          <w:b/>
        </w:rPr>
      </w:pPr>
    </w:p>
    <w:p w14:paraId="768F07BD" w14:textId="0826A2C4" w:rsidR="001600CB" w:rsidRPr="00F651CA" w:rsidRDefault="001600CB" w:rsidP="001600CB">
      <w:pPr>
        <w:pStyle w:val="IFTnormal"/>
        <w:spacing w:after="0"/>
        <w:ind w:left="720"/>
      </w:pPr>
      <w:r>
        <w:t xml:space="preserve">Con base en lo señalado en el Anexo Único de la Resolución de Obligaciones Específicas, la referencia de precio en este caso no será empleada para la estimación de porcentaje de costos evitados </w:t>
      </w:r>
      <w:r w:rsidR="007C4245">
        <w:t>al no ser parte del STAR</w:t>
      </w:r>
      <w:r>
        <w:t>.</w:t>
      </w:r>
    </w:p>
    <w:p w14:paraId="48288C26" w14:textId="5F2CDD91" w:rsidR="00181D64" w:rsidRPr="00523452" w:rsidRDefault="00181D64" w:rsidP="00181D64">
      <w:pPr>
        <w:pStyle w:val="Ttulo2"/>
        <w:numPr>
          <w:ilvl w:val="1"/>
          <w:numId w:val="7"/>
        </w:numPr>
        <w:ind w:left="426" w:hanging="360"/>
        <w:rPr>
          <w:rStyle w:val="IFTnormalCar"/>
          <w:color w:val="auto"/>
          <w:lang w:val="es-MX"/>
        </w:rPr>
      </w:pPr>
      <w:bookmarkStart w:id="27" w:name="_Precio_de_Referencia"/>
      <w:bookmarkStart w:id="28" w:name="_Toc114513054"/>
      <w:bookmarkStart w:id="29" w:name="_Toc180491375"/>
      <w:bookmarkEnd w:id="27"/>
      <w:r w:rsidRPr="00523452">
        <w:rPr>
          <w:rStyle w:val="IFTnormalCar"/>
          <w:color w:val="auto"/>
          <w:lang w:val="es-MX"/>
        </w:rPr>
        <w:t xml:space="preserve">Precio de Referencia asociado al </w:t>
      </w:r>
      <w:bookmarkEnd w:id="28"/>
      <w:r w:rsidR="001600CB">
        <w:rPr>
          <w:rStyle w:val="IFTnormalCar"/>
          <w:color w:val="auto"/>
          <w:lang w:val="es-MX"/>
        </w:rPr>
        <w:t>SMR</w:t>
      </w:r>
      <w:bookmarkEnd w:id="29"/>
    </w:p>
    <w:p w14:paraId="56955BA7" w14:textId="5FF1C5D4" w:rsidR="00181D64" w:rsidRPr="00523452" w:rsidRDefault="00181D64" w:rsidP="00181D64">
      <w:pPr>
        <w:pStyle w:val="IFTnormal"/>
      </w:pPr>
      <w:r w:rsidRPr="00523452">
        <w:t xml:space="preserve">De acuerdo con la exposición previa, el precio minorista de un plan o paquete se descompone a través de los precios implícitos de </w:t>
      </w:r>
      <w:r w:rsidR="00787172">
        <w:t>cada uno de</w:t>
      </w:r>
      <w:r w:rsidR="00787172" w:rsidRPr="00523452">
        <w:t xml:space="preserve"> </w:t>
      </w:r>
      <w:r w:rsidRPr="00523452">
        <w:t xml:space="preserve">los </w:t>
      </w:r>
      <w:r w:rsidR="00787172">
        <w:t xml:space="preserve">servicios </w:t>
      </w:r>
      <w:r w:rsidRPr="00523452">
        <w:t xml:space="preserve">que se incluyen dentro de dicho plan o paquete. En consecuencia, el precio implícito asociado </w:t>
      </w:r>
      <w:r w:rsidR="001600CB">
        <w:t>al STAR</w:t>
      </w:r>
      <w:r w:rsidRPr="00523452">
        <w:t xml:space="preserve"> se puede obtener a través del precio minorista </w:t>
      </w:r>
      <w:r w:rsidR="009107E0">
        <w:t xml:space="preserve">registrado </w:t>
      </w:r>
      <w:r w:rsidRPr="00523452">
        <w:t xml:space="preserve">de la oferta minorista contratada </w:t>
      </w:r>
      <w:r w:rsidR="00B20B37">
        <w:t xml:space="preserve">por usurarios finales </w:t>
      </w:r>
      <w:r w:rsidRPr="00523452">
        <w:t>a</w:t>
      </w:r>
      <w:r w:rsidR="00340942">
        <w:t>l</w:t>
      </w:r>
      <w:r w:rsidRPr="00523452">
        <w:t xml:space="preserve"> </w:t>
      </w:r>
      <w:r w:rsidR="0023739A">
        <w:t>APSM</w:t>
      </w:r>
      <w:r w:rsidRPr="00523452">
        <w:t>.</w:t>
      </w:r>
    </w:p>
    <w:p w14:paraId="22CA5A55" w14:textId="12F3AF79" w:rsidR="000569BB" w:rsidRPr="004676C5" w:rsidRDefault="00181D64">
      <w:pPr>
        <w:pStyle w:val="IFTnormal"/>
        <w:rPr>
          <w:b/>
          <w:bCs w:val="0"/>
          <w:sz w:val="17"/>
          <w:szCs w:val="17"/>
        </w:rPr>
      </w:pPr>
      <w:r w:rsidRPr="00523452">
        <w:t xml:space="preserve">En consecuencia, el precio implícito asociado </w:t>
      </w:r>
      <w:r w:rsidR="001600CB">
        <w:t>al STAR</w:t>
      </w:r>
      <w:r w:rsidRPr="00523452">
        <w:t xml:space="preserve"> incluido en un plan o paquete se puede obtener al retirar cierta porción de la tarifa correspondiente que el </w:t>
      </w:r>
      <w:r w:rsidR="00170D8A">
        <w:t>usuario</w:t>
      </w:r>
      <w:r w:rsidR="00F53AC7">
        <w:t xml:space="preserve"> final</w:t>
      </w:r>
      <w:r w:rsidRPr="00523452">
        <w:t xml:space="preserve"> cubre </w:t>
      </w:r>
      <w:r w:rsidR="00340942">
        <w:t>al APSM</w:t>
      </w:r>
      <w:r w:rsidRPr="00523452">
        <w:t>. Este concepto se denomina “</w:t>
      </w:r>
      <w:r w:rsidRPr="00523452">
        <w:rPr>
          <w:b/>
        </w:rPr>
        <w:t>factor de estimación del precio implícito</w:t>
      </w:r>
      <w:r w:rsidRPr="00523452">
        <w:t>”.</w:t>
      </w:r>
    </w:p>
    <w:p w14:paraId="3FC08FEB" w14:textId="1D6A06FA" w:rsidR="00181D64" w:rsidRPr="00523452" w:rsidRDefault="001600CB" w:rsidP="00181D64">
      <w:pPr>
        <w:pStyle w:val="IFTnormal"/>
        <w:spacing w:after="0"/>
        <w:jc w:val="center"/>
      </w:pPr>
      <w:r>
        <w:rPr>
          <w:noProof/>
        </w:rPr>
        <w:drawing>
          <wp:inline distT="0" distB="0" distL="0" distR="0" wp14:anchorId="079A547A" wp14:editId="46A793E0">
            <wp:extent cx="3825572" cy="2446232"/>
            <wp:effectExtent l="0" t="0" r="3810" b="0"/>
            <wp:docPr id="798000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0004" name="Imagen 7980004"/>
                    <pic:cNvPicPr/>
                  </pic:nvPicPr>
                  <pic:blipFill>
                    <a:blip r:embed="rId20">
                      <a:extLst>
                        <a:ext uri="{28A0092B-C50C-407E-A947-70E740481C1C}">
                          <a14:useLocalDpi xmlns:a14="http://schemas.microsoft.com/office/drawing/2010/main" val="0"/>
                        </a:ext>
                      </a:extLst>
                    </a:blip>
                    <a:stretch>
                      <a:fillRect/>
                    </a:stretch>
                  </pic:blipFill>
                  <pic:spPr>
                    <a:xfrm>
                      <a:off x="0" y="0"/>
                      <a:ext cx="3825572" cy="2446232"/>
                    </a:xfrm>
                    <a:prstGeom prst="rect">
                      <a:avLst/>
                    </a:prstGeom>
                  </pic:spPr>
                </pic:pic>
              </a:graphicData>
            </a:graphic>
          </wp:inline>
        </w:drawing>
      </w:r>
    </w:p>
    <w:p w14:paraId="595E0961" w14:textId="45791F85" w:rsidR="00181D64" w:rsidRPr="004676C5" w:rsidRDefault="00181D64" w:rsidP="004676C5">
      <w:pPr>
        <w:pStyle w:val="Figura"/>
        <w:keepNext w:val="0"/>
        <w:widowControl w:val="0"/>
        <w:spacing w:before="0" w:after="240" w:line="259" w:lineRule="auto"/>
        <w:ind w:right="49"/>
        <w:jc w:val="both"/>
        <w:rPr>
          <w:bCs/>
          <w:szCs w:val="20"/>
        </w:rPr>
      </w:pPr>
      <w:r w:rsidRPr="004676C5">
        <w:rPr>
          <w:bCs/>
          <w:szCs w:val="20"/>
        </w:rPr>
        <w:t xml:space="preserve">Esquema del factor de estimación del precio implícito de los elementos que integran los elementos o servicios que se incluyen en planes y paquetes asociados a telefonía fija e Internet </w:t>
      </w:r>
      <w:r w:rsidR="006F47F0">
        <w:rPr>
          <w:bCs/>
          <w:szCs w:val="20"/>
        </w:rPr>
        <w:t>del APSM</w:t>
      </w:r>
      <w:r w:rsidRPr="004676C5">
        <w:rPr>
          <w:bCs/>
          <w:szCs w:val="20"/>
        </w:rPr>
        <w:t xml:space="preserve"> (</w:t>
      </w:r>
      <w:r w:rsidRPr="00524F3B">
        <w:rPr>
          <w:b/>
          <w:szCs w:val="20"/>
        </w:rPr>
        <w:t>Fuente:</w:t>
      </w:r>
      <w:r w:rsidRPr="004676C5">
        <w:rPr>
          <w:bCs/>
          <w:szCs w:val="20"/>
        </w:rPr>
        <w:t xml:space="preserve"> IFT).</w:t>
      </w:r>
    </w:p>
    <w:p w14:paraId="079AB45F" w14:textId="2F56AFB8" w:rsidR="00181D64" w:rsidRDefault="00181D64" w:rsidP="00181D64">
      <w:pPr>
        <w:pStyle w:val="IFTnormal"/>
      </w:pPr>
      <w:r w:rsidRPr="00523452">
        <w:t xml:space="preserve">Para ejemplificar lo anterior, </w:t>
      </w:r>
      <w:r w:rsidR="00170D8A">
        <w:t>se considera</w:t>
      </w:r>
      <w:r w:rsidR="00170D8A" w:rsidRPr="00523452">
        <w:t xml:space="preserve"> </w:t>
      </w:r>
      <w:r w:rsidRPr="00523452">
        <w:t xml:space="preserve">que si un operador de telecomunicaciones brinda de manera empaquetada un servicio </w:t>
      </w:r>
      <w:r w:rsidR="00340942">
        <w:t xml:space="preserve">STAR con servicios </w:t>
      </w:r>
      <w:r w:rsidRPr="00523452">
        <w:t xml:space="preserve">de telefonía </w:t>
      </w:r>
      <w:r w:rsidR="001600CB">
        <w:t>y/o</w:t>
      </w:r>
      <w:r w:rsidRPr="00523452">
        <w:t xml:space="preserve"> Internet a sus clientes mediante un precio </w:t>
      </w:r>
      <w:r w:rsidRPr="00523452">
        <w:rPr>
          <w:b/>
          <w:i/>
        </w:rPr>
        <w:t>P = $200</w:t>
      </w:r>
      <w:r w:rsidRPr="00523452">
        <w:t>, cuyo precio implícito corresponde</w:t>
      </w:r>
      <w:r w:rsidR="006F47F0">
        <w:t xml:space="preserve">, respectivamente, </w:t>
      </w:r>
      <w:r w:rsidRPr="00523452">
        <w:t xml:space="preserve">a </w:t>
      </w:r>
      <w:r w:rsidR="00340942">
        <w:t>40</w:t>
      </w:r>
      <w:r w:rsidRPr="00523452">
        <w:t xml:space="preserve">%, </w:t>
      </w:r>
      <w:r w:rsidR="00340942">
        <w:t>y 60</w:t>
      </w:r>
      <w:r w:rsidRPr="00523452">
        <w:t xml:space="preserve">% de </w:t>
      </w:r>
      <w:r w:rsidRPr="00523452">
        <w:rPr>
          <w:b/>
          <w:i/>
        </w:rPr>
        <w:t>P</w:t>
      </w:r>
      <w:r w:rsidRPr="00523452">
        <w:rPr>
          <w:i/>
        </w:rPr>
        <w:t>,</w:t>
      </w:r>
      <w:r w:rsidRPr="00523452">
        <w:t xml:space="preserve"> la representación del nivel de los precios implícitos, así como del nivel de factor de </w:t>
      </w:r>
      <w:r w:rsidRPr="00523452">
        <w:lastRenderedPageBreak/>
        <w:t>estimación del precio implícito asociado a cada elemento o servicio incluidos en el paquete, sería como sigue:</w:t>
      </w:r>
    </w:p>
    <w:tbl>
      <w:tblPr>
        <w:tblStyle w:val="Tablaconcuadrcula1clara"/>
        <w:tblW w:w="5000" w:type="pct"/>
        <w:jc w:val="center"/>
        <w:tblLook w:val="0420" w:firstRow="1" w:lastRow="0" w:firstColumn="0" w:lastColumn="0" w:noHBand="0" w:noVBand="1"/>
        <w:tblCaption w:val="Figura 3: Estrutura del modelo de costos de coubicación móvil (Fuente: IFT, 2015)"/>
        <w:tblDescription w:val="Se divida en hoja de cálculo y descripción"/>
      </w:tblPr>
      <w:tblGrid>
        <w:gridCol w:w="1993"/>
        <w:gridCol w:w="101"/>
        <w:gridCol w:w="2431"/>
        <w:gridCol w:w="2057"/>
        <w:gridCol w:w="2246"/>
      </w:tblGrid>
      <w:tr w:rsidR="00181D64" w:rsidRPr="00523452" w14:paraId="3AC18B8B" w14:textId="77777777" w:rsidTr="00A02ABE">
        <w:trPr>
          <w:cnfStyle w:val="100000000000" w:firstRow="1" w:lastRow="0" w:firstColumn="0" w:lastColumn="0" w:oddVBand="0" w:evenVBand="0" w:oddHBand="0" w:evenHBand="0" w:firstRowFirstColumn="0" w:firstRowLastColumn="0" w:lastRowFirstColumn="0" w:lastRowLastColumn="0"/>
          <w:trHeight w:val="244"/>
          <w:jc w:val="center"/>
        </w:trPr>
        <w:tc>
          <w:tcPr>
            <w:tcW w:w="1186" w:type="pct"/>
            <w:gridSpan w:val="2"/>
            <w:tcBorders>
              <w:top w:val="single" w:sz="4" w:space="0" w:color="FFFFFF" w:themeColor="background1"/>
              <w:left w:val="single" w:sz="4" w:space="0" w:color="FFFFFF" w:themeColor="background1"/>
              <w:right w:val="single" w:sz="4" w:space="0" w:color="FFFFFF" w:themeColor="background1"/>
            </w:tcBorders>
            <w:shd w:val="clear" w:color="auto" w:fill="auto"/>
          </w:tcPr>
          <w:p w14:paraId="550643BA" w14:textId="77777777" w:rsidR="00181D64" w:rsidRPr="00523452" w:rsidRDefault="00181D64" w:rsidP="00A02ABE">
            <w:pPr>
              <w:pStyle w:val="Tableheading"/>
              <w:spacing w:before="0" w:after="0" w:line="276" w:lineRule="auto"/>
              <w:jc w:val="center"/>
              <w:rPr>
                <w:rFonts w:ascii="ITC Avant Garde" w:hAnsi="ITC Avant Garde" w:cs="Arial"/>
                <w:b/>
                <w:color w:val="000000" w:themeColor="text1"/>
                <w:lang w:val="es-MX"/>
              </w:rPr>
            </w:pPr>
          </w:p>
        </w:tc>
        <w:tc>
          <w:tcPr>
            <w:tcW w:w="1377" w:type="pct"/>
            <w:tcBorders>
              <w:top w:val="single" w:sz="4" w:space="0" w:color="FFFFFF" w:themeColor="background1"/>
              <w:left w:val="single" w:sz="4" w:space="0" w:color="FFFFFF" w:themeColor="background1"/>
            </w:tcBorders>
          </w:tcPr>
          <w:p w14:paraId="6C611EA5" w14:textId="77777777" w:rsidR="00181D64" w:rsidRPr="00523452" w:rsidRDefault="00181D64" w:rsidP="00A02ABE">
            <w:pPr>
              <w:pStyle w:val="Tableheading"/>
              <w:spacing w:before="0" w:after="0" w:line="276" w:lineRule="auto"/>
              <w:jc w:val="center"/>
              <w:rPr>
                <w:rFonts w:ascii="ITC Avant Garde" w:hAnsi="ITC Avant Garde" w:cs="Arial"/>
                <w:color w:val="000000" w:themeColor="text1"/>
                <w:lang w:val="es-MX"/>
              </w:rPr>
            </w:pPr>
          </w:p>
        </w:tc>
        <w:tc>
          <w:tcPr>
            <w:tcW w:w="2437" w:type="pct"/>
            <w:gridSpan w:val="2"/>
            <w:tcBorders>
              <w:right w:val="single" w:sz="4" w:space="0" w:color="AEAAAA" w:themeColor="background2" w:themeShade="BF"/>
            </w:tcBorders>
            <w:shd w:val="clear" w:color="auto" w:fill="E7E6E6" w:themeFill="background2"/>
          </w:tcPr>
          <w:p w14:paraId="64E1853E" w14:textId="77777777" w:rsidR="00181D64" w:rsidRPr="00523452" w:rsidRDefault="00181D64" w:rsidP="00A02ABE">
            <w:pPr>
              <w:pStyle w:val="Tableheading"/>
              <w:spacing w:before="0" w:after="0" w:line="276" w:lineRule="auto"/>
              <w:jc w:val="center"/>
              <w:rPr>
                <w:rFonts w:ascii="ITC Avant Garde" w:hAnsi="ITC Avant Garde" w:cs="Arial"/>
                <w:b/>
                <w:color w:val="000000" w:themeColor="text1"/>
                <w:lang w:val="es-MX"/>
              </w:rPr>
            </w:pPr>
            <w:r w:rsidRPr="00523452">
              <w:rPr>
                <w:rFonts w:ascii="ITC Avant Garde" w:hAnsi="ITC Avant Garde" w:cs="Arial"/>
                <w:b/>
                <w:color w:val="000000" w:themeColor="text1"/>
                <w:lang w:val="es-MX"/>
              </w:rPr>
              <w:t>Representación del precio implícito de elementos o servicios del paquete</w:t>
            </w:r>
            <w:r w:rsidRPr="00523452">
              <w:rPr>
                <w:rFonts w:ascii="ITC Avant Garde" w:hAnsi="ITC Avant Garde" w:cs="Arial"/>
                <w:b/>
                <w:color w:val="000000" w:themeColor="text1"/>
                <w:lang w:val="es-MX"/>
              </w:rPr>
              <w:br/>
              <w:t xml:space="preserve">(respecto a </w:t>
            </w:r>
            <w:r w:rsidRPr="00523452">
              <w:rPr>
                <w:rFonts w:ascii="ITC Avant Garde" w:hAnsi="ITC Avant Garde" w:cs="Arial"/>
                <w:b/>
                <w:i/>
                <w:color w:val="000000" w:themeColor="text1"/>
                <w:lang w:val="es-MX"/>
              </w:rPr>
              <w:t>P</w:t>
            </w:r>
            <w:r w:rsidRPr="00523452">
              <w:rPr>
                <w:rFonts w:ascii="ITC Avant Garde" w:hAnsi="ITC Avant Garde" w:cs="Arial"/>
                <w:b/>
                <w:color w:val="000000" w:themeColor="text1"/>
                <w:lang w:val="es-MX"/>
              </w:rPr>
              <w:t>)</w:t>
            </w:r>
          </w:p>
        </w:tc>
      </w:tr>
      <w:tr w:rsidR="00181D64" w:rsidRPr="00523452" w14:paraId="3CA67259" w14:textId="77777777" w:rsidTr="00A02ABE">
        <w:trPr>
          <w:trHeight w:val="244"/>
          <w:jc w:val="center"/>
        </w:trPr>
        <w:tc>
          <w:tcPr>
            <w:tcW w:w="1129" w:type="pct"/>
            <w:shd w:val="clear" w:color="auto" w:fill="E7E6E6" w:themeFill="background2"/>
          </w:tcPr>
          <w:p w14:paraId="2E131C2E" w14:textId="77777777" w:rsidR="00181D64" w:rsidRPr="00523452" w:rsidRDefault="00181D64" w:rsidP="00A02ABE">
            <w:pPr>
              <w:pStyle w:val="Tableheading"/>
              <w:spacing w:before="0" w:after="0" w:line="276" w:lineRule="auto"/>
              <w:jc w:val="center"/>
              <w:rPr>
                <w:rFonts w:ascii="ITC Avant Garde" w:hAnsi="ITC Avant Garde" w:cs="Arial"/>
                <w:color w:val="000000" w:themeColor="text1"/>
                <w:lang w:val="es-MX"/>
              </w:rPr>
            </w:pPr>
            <w:r w:rsidRPr="00523452">
              <w:rPr>
                <w:rFonts w:ascii="ITC Avant Garde" w:hAnsi="ITC Avant Garde" w:cs="Arial"/>
                <w:color w:val="000000" w:themeColor="text1"/>
                <w:lang w:val="es-MX"/>
              </w:rPr>
              <w:t>Elementos o servicios incluidos en el paquete</w:t>
            </w:r>
          </w:p>
        </w:tc>
        <w:tc>
          <w:tcPr>
            <w:tcW w:w="1434" w:type="pct"/>
            <w:gridSpan w:val="2"/>
            <w:shd w:val="clear" w:color="auto" w:fill="E7E6E6" w:themeFill="background2"/>
          </w:tcPr>
          <w:p w14:paraId="2E2CCB88" w14:textId="77777777" w:rsidR="00181D64" w:rsidRPr="00523452" w:rsidRDefault="00181D64" w:rsidP="00A02ABE">
            <w:pPr>
              <w:pStyle w:val="Tableheading"/>
              <w:spacing w:before="0" w:after="0" w:line="276" w:lineRule="auto"/>
              <w:jc w:val="center"/>
              <w:rPr>
                <w:rFonts w:ascii="ITC Avant Garde" w:hAnsi="ITC Avant Garde" w:cs="Arial"/>
                <w:color w:val="000000" w:themeColor="text1"/>
                <w:lang w:val="es-MX"/>
              </w:rPr>
            </w:pPr>
            <w:r w:rsidRPr="00523452">
              <w:rPr>
                <w:rFonts w:ascii="ITC Avant Garde" w:hAnsi="ITC Avant Garde" w:cs="Arial"/>
                <w:color w:val="000000" w:themeColor="text1"/>
                <w:lang w:val="es-MX"/>
              </w:rPr>
              <w:t>Factor de estimación del precio implícito (</w:t>
            </w:r>
            <w:r w:rsidRPr="00523452">
              <w:rPr>
                <w:rFonts w:ascii="Calibri" w:hAnsi="Calibri" w:cs="Calibri"/>
                <w:color w:val="000000" w:themeColor="text1"/>
                <w:lang w:val="es-MX"/>
              </w:rPr>
              <w:t>α</w:t>
            </w:r>
            <w:r w:rsidRPr="00523452">
              <w:rPr>
                <w:rFonts w:ascii="ITC Avant Garde" w:hAnsi="ITC Avant Garde" w:cs="Arial"/>
                <w:color w:val="000000" w:themeColor="text1"/>
                <w:lang w:val="es-MX"/>
              </w:rPr>
              <w:t xml:space="preserve"> %)</w:t>
            </w:r>
          </w:p>
        </w:tc>
        <w:tc>
          <w:tcPr>
            <w:tcW w:w="1165" w:type="pct"/>
            <w:shd w:val="clear" w:color="auto" w:fill="E7E6E6" w:themeFill="background2"/>
          </w:tcPr>
          <w:p w14:paraId="0788EA70" w14:textId="77777777" w:rsidR="00181D64" w:rsidRPr="00523452" w:rsidRDefault="00181D64" w:rsidP="00A02ABE">
            <w:pPr>
              <w:pStyle w:val="Tableheading"/>
              <w:spacing w:before="0" w:after="0" w:line="276" w:lineRule="auto"/>
              <w:jc w:val="center"/>
              <w:rPr>
                <w:rFonts w:ascii="ITC Avant Garde" w:hAnsi="ITC Avant Garde" w:cs="Arial"/>
                <w:color w:val="000000" w:themeColor="text1"/>
                <w:lang w:val="es-MX"/>
              </w:rPr>
            </w:pPr>
            <w:r w:rsidRPr="00523452">
              <w:rPr>
                <w:rFonts w:ascii="ITC Avant Garde" w:hAnsi="ITC Avant Garde" w:cs="Arial"/>
                <w:color w:val="000000" w:themeColor="text1"/>
                <w:lang w:val="es-MX"/>
              </w:rPr>
              <w:t xml:space="preserve">Porcentual </w:t>
            </w:r>
          </w:p>
          <w:p w14:paraId="2A968FD9" w14:textId="77777777" w:rsidR="00181D64" w:rsidRPr="00523452" w:rsidRDefault="00181D64" w:rsidP="00A02ABE">
            <w:pPr>
              <w:pStyle w:val="Tableheading"/>
              <w:spacing w:before="0" w:after="0" w:line="276" w:lineRule="auto"/>
              <w:jc w:val="center"/>
              <w:rPr>
                <w:rFonts w:ascii="ITC Avant Garde" w:hAnsi="ITC Avant Garde" w:cs="Arial"/>
                <w:color w:val="000000" w:themeColor="text1"/>
                <w:lang w:val="es-MX"/>
              </w:rPr>
            </w:pPr>
            <w:r w:rsidRPr="00523452">
              <w:rPr>
                <w:rFonts w:ascii="ITC Avant Garde" w:hAnsi="ITC Avant Garde" w:cs="Arial"/>
                <w:color w:val="000000" w:themeColor="text1"/>
                <w:lang w:val="es-MX"/>
              </w:rPr>
              <w:t xml:space="preserve">(1 - </w:t>
            </w:r>
            <w:r w:rsidRPr="00523452">
              <w:rPr>
                <w:rFonts w:ascii="Calibri" w:hAnsi="Calibri" w:cs="Calibri"/>
                <w:color w:val="000000" w:themeColor="text1"/>
                <w:lang w:val="es-MX"/>
              </w:rPr>
              <w:t>α</w:t>
            </w:r>
            <w:r w:rsidRPr="00523452">
              <w:rPr>
                <w:rFonts w:ascii="ITC Avant Garde" w:hAnsi="ITC Avant Garde" w:cs="Arial"/>
                <w:color w:val="000000" w:themeColor="text1"/>
                <w:lang w:val="es-MX"/>
              </w:rPr>
              <w:t>) %</w:t>
            </w:r>
          </w:p>
        </w:tc>
        <w:tc>
          <w:tcPr>
            <w:tcW w:w="1272" w:type="pct"/>
            <w:shd w:val="clear" w:color="auto" w:fill="E7E6E6" w:themeFill="background2"/>
          </w:tcPr>
          <w:p w14:paraId="6D194468" w14:textId="77777777" w:rsidR="00181D64" w:rsidRPr="00523452" w:rsidRDefault="00181D64" w:rsidP="00A02ABE">
            <w:pPr>
              <w:pStyle w:val="Tableheading"/>
              <w:spacing w:before="0" w:after="0" w:line="276" w:lineRule="auto"/>
              <w:jc w:val="center"/>
              <w:rPr>
                <w:rFonts w:ascii="ITC Avant Garde" w:hAnsi="ITC Avant Garde" w:cs="Arial"/>
                <w:color w:val="000000" w:themeColor="text1"/>
                <w:lang w:val="es-MX"/>
              </w:rPr>
            </w:pPr>
            <w:r w:rsidRPr="00523452">
              <w:rPr>
                <w:rFonts w:ascii="ITC Avant Garde" w:hAnsi="ITC Avant Garde" w:cs="Arial"/>
                <w:color w:val="000000" w:themeColor="text1"/>
                <w:lang w:val="es-MX"/>
              </w:rPr>
              <w:t>Monetaria</w:t>
            </w:r>
          </w:p>
          <w:p w14:paraId="7D623C0B" w14:textId="77777777" w:rsidR="00181D64" w:rsidRPr="00523452" w:rsidRDefault="00181D64" w:rsidP="00A02ABE">
            <w:pPr>
              <w:pStyle w:val="Tableheading"/>
              <w:spacing w:before="0" w:after="0" w:line="276" w:lineRule="auto"/>
              <w:jc w:val="center"/>
              <w:rPr>
                <w:rFonts w:ascii="ITC Avant Garde" w:hAnsi="ITC Avant Garde" w:cs="Arial"/>
                <w:lang w:val="es-MX"/>
              </w:rPr>
            </w:pPr>
            <w:r w:rsidRPr="00523452">
              <w:rPr>
                <w:rFonts w:ascii="ITC Avant Garde" w:hAnsi="ITC Avant Garde" w:cs="Arial"/>
                <w:color w:val="000000" w:themeColor="text1"/>
                <w:lang w:val="es-MX"/>
              </w:rPr>
              <w:t xml:space="preserve">(1 - </w:t>
            </w:r>
            <w:r w:rsidRPr="00523452">
              <w:rPr>
                <w:rFonts w:ascii="Calibri" w:hAnsi="Calibri" w:cs="Calibri"/>
                <w:color w:val="000000" w:themeColor="text1"/>
                <w:lang w:val="es-MX"/>
              </w:rPr>
              <w:t>α</w:t>
            </w:r>
            <w:r w:rsidRPr="00523452">
              <w:rPr>
                <w:rFonts w:ascii="ITC Avant Garde" w:hAnsi="ITC Avant Garde" w:cs="Arial"/>
                <w:color w:val="000000" w:themeColor="text1"/>
                <w:lang w:val="es-MX"/>
              </w:rPr>
              <w:t xml:space="preserve">) % </w:t>
            </w:r>
            <m:oMath>
              <m:r>
                <m:rPr>
                  <m:sty m:val="bi"/>
                </m:rPr>
                <w:rPr>
                  <w:rFonts w:ascii="Cambria Math" w:hAnsi="Cambria Math" w:cs="Arial"/>
                  <w:color w:val="000000" w:themeColor="text1"/>
                  <w:lang w:val="es-MX"/>
                </w:rPr>
                <m:t>×</m:t>
              </m:r>
            </m:oMath>
            <w:r w:rsidRPr="00523452">
              <w:rPr>
                <w:rFonts w:ascii="ITC Avant Garde" w:eastAsiaTheme="minorEastAsia" w:hAnsi="ITC Avant Garde" w:cs="Arial"/>
                <w:color w:val="000000" w:themeColor="text1"/>
                <w:lang w:val="es-MX"/>
              </w:rPr>
              <w:t xml:space="preserve"> </w:t>
            </w:r>
            <w:r w:rsidRPr="00523452">
              <w:rPr>
                <w:rFonts w:ascii="ITC Avant Garde" w:hAnsi="ITC Avant Garde" w:cs="Arial"/>
                <w:i/>
                <w:color w:val="000000" w:themeColor="text1"/>
                <w:lang w:val="es-MX"/>
              </w:rPr>
              <w:t>P</w:t>
            </w:r>
          </w:p>
        </w:tc>
      </w:tr>
      <w:tr w:rsidR="00181D64" w:rsidRPr="00523452" w14:paraId="68687F66" w14:textId="77777777" w:rsidTr="00652C1E">
        <w:trPr>
          <w:trHeight w:val="235"/>
          <w:jc w:val="center"/>
        </w:trPr>
        <w:tc>
          <w:tcPr>
            <w:tcW w:w="1129" w:type="pct"/>
          </w:tcPr>
          <w:p w14:paraId="587DA004" w14:textId="6ED089AC" w:rsidR="00181D64" w:rsidRPr="00523452" w:rsidRDefault="00340942" w:rsidP="00A02ABE">
            <w:pPr>
              <w:pStyle w:val="Tablecells"/>
              <w:spacing w:before="0" w:after="0" w:line="276" w:lineRule="auto"/>
              <w:jc w:val="both"/>
              <w:rPr>
                <w:rFonts w:ascii="ITC Avant Garde" w:hAnsi="ITC Avant Garde" w:cs="Arial"/>
                <w:sz w:val="20"/>
                <w:lang w:val="es-MX"/>
              </w:rPr>
            </w:pPr>
            <w:r>
              <w:rPr>
                <w:rFonts w:ascii="ITC Avant Garde" w:hAnsi="ITC Avant Garde" w:cs="Arial"/>
                <w:sz w:val="20"/>
                <w:lang w:val="es-MX"/>
              </w:rPr>
              <w:t>STAR</w:t>
            </w:r>
          </w:p>
        </w:tc>
        <w:tc>
          <w:tcPr>
            <w:tcW w:w="1434" w:type="pct"/>
            <w:gridSpan w:val="2"/>
            <w:vAlign w:val="center"/>
          </w:tcPr>
          <w:p w14:paraId="66709191" w14:textId="5CFECCD6" w:rsidR="00181D64" w:rsidRPr="00523452" w:rsidRDefault="00652C1E" w:rsidP="00652C1E">
            <w:pPr>
              <w:pStyle w:val="Tablecells"/>
              <w:spacing w:before="0" w:after="0" w:line="276" w:lineRule="auto"/>
              <w:jc w:val="center"/>
              <w:rPr>
                <w:rFonts w:ascii="ITC Avant Garde" w:hAnsi="ITC Avant Garde" w:cs="Arial"/>
                <w:sz w:val="20"/>
                <w:lang w:val="es-MX"/>
              </w:rPr>
            </w:pPr>
            <w:r>
              <w:rPr>
                <w:rFonts w:ascii="ITC Avant Garde" w:hAnsi="ITC Avant Garde" w:cs="Arial"/>
                <w:sz w:val="20"/>
                <w:lang w:val="es-MX"/>
              </w:rPr>
              <w:t>6</w:t>
            </w:r>
            <w:r w:rsidR="00181D64" w:rsidRPr="00523452">
              <w:rPr>
                <w:rFonts w:ascii="ITC Avant Garde" w:hAnsi="ITC Avant Garde" w:cs="Arial"/>
                <w:sz w:val="20"/>
                <w:lang w:val="es-MX"/>
              </w:rPr>
              <w:t>0%</w:t>
            </w:r>
          </w:p>
        </w:tc>
        <w:tc>
          <w:tcPr>
            <w:tcW w:w="1165" w:type="pct"/>
            <w:vAlign w:val="center"/>
          </w:tcPr>
          <w:p w14:paraId="078D58E5" w14:textId="05C254BB" w:rsidR="00181D64" w:rsidRPr="00523452" w:rsidRDefault="00652C1E" w:rsidP="00A02ABE">
            <w:pPr>
              <w:pStyle w:val="Tablecells"/>
              <w:spacing w:before="0" w:after="0" w:line="276" w:lineRule="auto"/>
              <w:jc w:val="center"/>
              <w:rPr>
                <w:rFonts w:ascii="ITC Avant Garde" w:hAnsi="ITC Avant Garde" w:cs="Arial"/>
                <w:sz w:val="20"/>
                <w:lang w:val="es-MX"/>
              </w:rPr>
            </w:pPr>
            <w:r>
              <w:rPr>
                <w:rFonts w:ascii="ITC Avant Garde" w:hAnsi="ITC Avant Garde" w:cs="Arial"/>
                <w:sz w:val="20"/>
                <w:lang w:val="es-MX"/>
              </w:rPr>
              <w:t>40</w:t>
            </w:r>
            <w:r w:rsidR="00181D64" w:rsidRPr="00523452">
              <w:rPr>
                <w:rFonts w:ascii="ITC Avant Garde" w:hAnsi="ITC Avant Garde" w:cs="Arial"/>
                <w:sz w:val="20"/>
                <w:lang w:val="es-MX"/>
              </w:rPr>
              <w:t>%</w:t>
            </w:r>
          </w:p>
        </w:tc>
        <w:tc>
          <w:tcPr>
            <w:tcW w:w="1272" w:type="pct"/>
          </w:tcPr>
          <w:p w14:paraId="54980E46" w14:textId="04122C42" w:rsidR="00181D64" w:rsidRPr="00523452" w:rsidRDefault="00181D64" w:rsidP="00A02ABE">
            <w:pPr>
              <w:pStyle w:val="Tablecells"/>
              <w:spacing w:before="0" w:after="0" w:line="276" w:lineRule="auto"/>
              <w:jc w:val="center"/>
              <w:rPr>
                <w:rFonts w:ascii="ITC Avant Garde" w:hAnsi="ITC Avant Garde" w:cs="Arial"/>
                <w:sz w:val="20"/>
                <w:lang w:val="es-MX"/>
              </w:rPr>
            </w:pPr>
            <w:r w:rsidRPr="00523452">
              <w:rPr>
                <w:rFonts w:ascii="ITC Avant Garde" w:hAnsi="ITC Avant Garde" w:cs="Arial"/>
                <w:sz w:val="20"/>
                <w:lang w:val="es-MX"/>
              </w:rPr>
              <w:t>$</w:t>
            </w:r>
            <w:r w:rsidR="00652C1E">
              <w:rPr>
                <w:rFonts w:ascii="ITC Avant Garde" w:hAnsi="ITC Avant Garde" w:cs="Arial"/>
                <w:sz w:val="20"/>
                <w:lang w:val="es-MX"/>
              </w:rPr>
              <w:t>80</w:t>
            </w:r>
          </w:p>
        </w:tc>
      </w:tr>
      <w:tr w:rsidR="00181D64" w:rsidRPr="00523452" w14:paraId="70D9093D" w14:textId="77777777" w:rsidTr="00652C1E">
        <w:trPr>
          <w:trHeight w:val="235"/>
          <w:jc w:val="center"/>
        </w:trPr>
        <w:tc>
          <w:tcPr>
            <w:tcW w:w="1129" w:type="pct"/>
            <w:tcBorders>
              <w:bottom w:val="single" w:sz="4" w:space="0" w:color="999999" w:themeColor="text1" w:themeTint="66"/>
            </w:tcBorders>
          </w:tcPr>
          <w:p w14:paraId="0BEC6272" w14:textId="409A7F34" w:rsidR="00181D64" w:rsidRPr="00523452" w:rsidRDefault="00340942" w:rsidP="00A02ABE">
            <w:pPr>
              <w:pStyle w:val="Tablecells"/>
              <w:spacing w:before="0" w:after="0" w:line="276" w:lineRule="auto"/>
              <w:jc w:val="both"/>
              <w:rPr>
                <w:rFonts w:ascii="ITC Avant Garde" w:hAnsi="ITC Avant Garde" w:cs="Arial"/>
                <w:sz w:val="20"/>
                <w:lang w:val="es-MX"/>
              </w:rPr>
            </w:pPr>
            <w:r>
              <w:rPr>
                <w:rFonts w:ascii="ITC Avant Garde" w:hAnsi="ITC Avant Garde" w:cs="Arial"/>
                <w:sz w:val="20"/>
                <w:lang w:val="es-MX"/>
              </w:rPr>
              <w:t>Otros servicios (telefonía e internet)</w:t>
            </w:r>
          </w:p>
        </w:tc>
        <w:tc>
          <w:tcPr>
            <w:tcW w:w="1434" w:type="pct"/>
            <w:gridSpan w:val="2"/>
            <w:tcBorders>
              <w:bottom w:val="single" w:sz="4" w:space="0" w:color="999999" w:themeColor="text1" w:themeTint="66"/>
            </w:tcBorders>
            <w:vAlign w:val="center"/>
          </w:tcPr>
          <w:p w14:paraId="06896298" w14:textId="2ED1B2F3" w:rsidR="00181D64" w:rsidRPr="00523452" w:rsidRDefault="00652C1E" w:rsidP="00652C1E">
            <w:pPr>
              <w:pStyle w:val="Tablecells"/>
              <w:spacing w:before="0" w:after="0" w:line="276" w:lineRule="auto"/>
              <w:jc w:val="center"/>
              <w:rPr>
                <w:rFonts w:ascii="ITC Avant Garde" w:hAnsi="ITC Avant Garde" w:cs="Arial"/>
                <w:sz w:val="20"/>
                <w:lang w:val="es-MX"/>
              </w:rPr>
            </w:pPr>
            <w:r>
              <w:rPr>
                <w:rFonts w:ascii="ITC Avant Garde" w:hAnsi="ITC Avant Garde" w:cs="Arial"/>
                <w:sz w:val="20"/>
                <w:lang w:val="es-MX"/>
              </w:rPr>
              <w:t>40</w:t>
            </w:r>
            <w:r w:rsidR="00181D64" w:rsidRPr="00523452">
              <w:rPr>
                <w:rFonts w:ascii="ITC Avant Garde" w:hAnsi="ITC Avant Garde" w:cs="Arial"/>
                <w:sz w:val="20"/>
                <w:lang w:val="es-MX"/>
              </w:rPr>
              <w:t>%</w:t>
            </w:r>
          </w:p>
        </w:tc>
        <w:tc>
          <w:tcPr>
            <w:tcW w:w="1165" w:type="pct"/>
            <w:tcBorders>
              <w:bottom w:val="single" w:sz="4" w:space="0" w:color="999999" w:themeColor="text1" w:themeTint="66"/>
            </w:tcBorders>
            <w:vAlign w:val="center"/>
          </w:tcPr>
          <w:p w14:paraId="5F981704" w14:textId="42866415" w:rsidR="00181D64" w:rsidRPr="00523452" w:rsidRDefault="00652C1E" w:rsidP="00A02ABE">
            <w:pPr>
              <w:pStyle w:val="Tablecells"/>
              <w:spacing w:before="0" w:after="0" w:line="276" w:lineRule="auto"/>
              <w:jc w:val="center"/>
              <w:rPr>
                <w:rFonts w:ascii="ITC Avant Garde" w:hAnsi="ITC Avant Garde" w:cs="Arial"/>
                <w:sz w:val="20"/>
                <w:lang w:val="es-MX"/>
              </w:rPr>
            </w:pPr>
            <w:r>
              <w:rPr>
                <w:rFonts w:ascii="ITC Avant Garde" w:hAnsi="ITC Avant Garde" w:cs="Arial"/>
                <w:sz w:val="20"/>
                <w:lang w:val="es-MX"/>
              </w:rPr>
              <w:t>60</w:t>
            </w:r>
            <w:r w:rsidR="00181D64" w:rsidRPr="00523452">
              <w:rPr>
                <w:rFonts w:ascii="ITC Avant Garde" w:hAnsi="ITC Avant Garde" w:cs="Arial"/>
                <w:sz w:val="20"/>
                <w:lang w:val="es-MX"/>
              </w:rPr>
              <w:t>%</w:t>
            </w:r>
          </w:p>
        </w:tc>
        <w:tc>
          <w:tcPr>
            <w:tcW w:w="1272" w:type="pct"/>
            <w:tcBorders>
              <w:bottom w:val="single" w:sz="4" w:space="0" w:color="999999" w:themeColor="text1" w:themeTint="66"/>
            </w:tcBorders>
          </w:tcPr>
          <w:p w14:paraId="68B7DE53" w14:textId="49F0622D" w:rsidR="00181D64" w:rsidRPr="00523452" w:rsidRDefault="00181D64" w:rsidP="00A02ABE">
            <w:pPr>
              <w:pStyle w:val="Tablecells"/>
              <w:spacing w:before="0" w:after="0" w:line="276" w:lineRule="auto"/>
              <w:jc w:val="center"/>
              <w:rPr>
                <w:rFonts w:ascii="ITC Avant Garde" w:hAnsi="ITC Avant Garde" w:cs="Arial"/>
                <w:sz w:val="20"/>
                <w:lang w:val="es-MX"/>
              </w:rPr>
            </w:pPr>
            <w:r w:rsidRPr="00523452">
              <w:rPr>
                <w:rFonts w:ascii="ITC Avant Garde" w:hAnsi="ITC Avant Garde" w:cs="Arial"/>
                <w:sz w:val="20"/>
                <w:lang w:val="es-MX"/>
              </w:rPr>
              <w:t>$</w:t>
            </w:r>
            <w:r w:rsidR="00652C1E">
              <w:rPr>
                <w:rFonts w:ascii="ITC Avant Garde" w:hAnsi="ITC Avant Garde" w:cs="Arial"/>
                <w:sz w:val="20"/>
                <w:lang w:val="es-MX"/>
              </w:rPr>
              <w:t>120</w:t>
            </w:r>
          </w:p>
        </w:tc>
      </w:tr>
      <w:tr w:rsidR="00181D64" w:rsidRPr="00523452" w14:paraId="0F746BF2" w14:textId="77777777" w:rsidTr="00A02ABE">
        <w:trPr>
          <w:trHeight w:val="235"/>
          <w:jc w:val="center"/>
        </w:trPr>
        <w:tc>
          <w:tcPr>
            <w:tcW w:w="1129" w:type="pct"/>
            <w:tcBorders>
              <w:top w:val="single" w:sz="4" w:space="0" w:color="auto"/>
              <w:bottom w:val="single" w:sz="4" w:space="0" w:color="auto"/>
            </w:tcBorders>
          </w:tcPr>
          <w:p w14:paraId="17E8A37A" w14:textId="77777777" w:rsidR="00181D64" w:rsidRPr="00523452" w:rsidRDefault="00181D64" w:rsidP="00A02ABE">
            <w:pPr>
              <w:pStyle w:val="Tablecells"/>
              <w:spacing w:before="0" w:after="0" w:line="276" w:lineRule="auto"/>
              <w:jc w:val="both"/>
              <w:rPr>
                <w:rFonts w:ascii="ITC Avant Garde" w:hAnsi="ITC Avant Garde" w:cs="Arial"/>
                <w:b/>
                <w:sz w:val="20"/>
                <w:lang w:val="es-MX"/>
              </w:rPr>
            </w:pPr>
            <w:r w:rsidRPr="00523452">
              <w:rPr>
                <w:rFonts w:ascii="ITC Avant Garde" w:hAnsi="ITC Avant Garde" w:cs="Arial"/>
                <w:b/>
                <w:sz w:val="20"/>
                <w:lang w:val="es-MX"/>
              </w:rPr>
              <w:t>Total</w:t>
            </w:r>
          </w:p>
        </w:tc>
        <w:tc>
          <w:tcPr>
            <w:tcW w:w="1434" w:type="pct"/>
            <w:gridSpan w:val="2"/>
            <w:tcBorders>
              <w:top w:val="single" w:sz="4" w:space="0" w:color="auto"/>
              <w:bottom w:val="single" w:sz="4" w:space="0" w:color="auto"/>
            </w:tcBorders>
            <w:shd w:val="clear" w:color="auto" w:fill="E7E6E6" w:themeFill="background2"/>
          </w:tcPr>
          <w:p w14:paraId="52D430BC" w14:textId="77777777" w:rsidR="00181D64" w:rsidRPr="00523452" w:rsidRDefault="00181D64" w:rsidP="00A02ABE">
            <w:pPr>
              <w:pStyle w:val="Tablecells"/>
              <w:spacing w:before="0" w:after="0" w:line="276" w:lineRule="auto"/>
              <w:jc w:val="center"/>
              <w:rPr>
                <w:rFonts w:ascii="ITC Avant Garde" w:eastAsia="Times New Roman" w:hAnsi="ITC Avant Garde" w:cs="Arial"/>
                <w:b/>
                <w:sz w:val="20"/>
                <w:lang w:val="es-MX" w:eastAsia="es-MX"/>
              </w:rPr>
            </w:pPr>
          </w:p>
        </w:tc>
        <w:tc>
          <w:tcPr>
            <w:tcW w:w="1165" w:type="pct"/>
            <w:tcBorders>
              <w:top w:val="single" w:sz="4" w:space="0" w:color="auto"/>
              <w:bottom w:val="single" w:sz="4" w:space="0" w:color="auto"/>
            </w:tcBorders>
            <w:vAlign w:val="center"/>
          </w:tcPr>
          <w:p w14:paraId="315E8157" w14:textId="77777777" w:rsidR="00181D64" w:rsidRPr="00523452" w:rsidRDefault="00181D64" w:rsidP="00A02ABE">
            <w:pPr>
              <w:pStyle w:val="Tablecells"/>
              <w:spacing w:before="0" w:after="0" w:line="276" w:lineRule="auto"/>
              <w:jc w:val="center"/>
              <w:rPr>
                <w:rFonts w:ascii="ITC Avant Garde" w:hAnsi="ITC Avant Garde" w:cs="Arial"/>
                <w:sz w:val="20"/>
                <w:lang w:val="es-MX"/>
              </w:rPr>
            </w:pPr>
            <w:r w:rsidRPr="00523452">
              <w:rPr>
                <w:rFonts w:ascii="ITC Avant Garde" w:eastAsia="Times New Roman" w:hAnsi="ITC Avant Garde" w:cs="Arial"/>
                <w:b/>
                <w:sz w:val="20"/>
                <w:lang w:val="es-MX" w:eastAsia="es-MX"/>
              </w:rPr>
              <w:t>100%</w:t>
            </w:r>
          </w:p>
        </w:tc>
        <w:tc>
          <w:tcPr>
            <w:tcW w:w="1272" w:type="pct"/>
            <w:tcBorders>
              <w:top w:val="single" w:sz="4" w:space="0" w:color="auto"/>
              <w:bottom w:val="single" w:sz="4" w:space="0" w:color="auto"/>
            </w:tcBorders>
          </w:tcPr>
          <w:p w14:paraId="1194AB18" w14:textId="77777777" w:rsidR="00181D64" w:rsidRPr="00523452" w:rsidRDefault="00181D64" w:rsidP="00A02ABE">
            <w:pPr>
              <w:pStyle w:val="Tablecells"/>
              <w:spacing w:before="0" w:after="0" w:line="276" w:lineRule="auto"/>
              <w:jc w:val="center"/>
              <w:rPr>
                <w:rFonts w:ascii="ITC Avant Garde" w:eastAsia="Times New Roman" w:hAnsi="ITC Avant Garde" w:cs="Arial"/>
                <w:b/>
                <w:sz w:val="20"/>
                <w:lang w:val="es-MX" w:eastAsia="es-MX"/>
              </w:rPr>
            </w:pPr>
            <w:r w:rsidRPr="00523452">
              <w:rPr>
                <w:rFonts w:ascii="ITC Avant Garde" w:eastAsia="Times New Roman" w:hAnsi="ITC Avant Garde" w:cs="Arial"/>
                <w:b/>
                <w:sz w:val="20"/>
                <w:lang w:val="es-MX" w:eastAsia="es-MX"/>
              </w:rPr>
              <w:t>$200</w:t>
            </w:r>
          </w:p>
        </w:tc>
      </w:tr>
    </w:tbl>
    <w:p w14:paraId="005DED8C" w14:textId="64B0D3F2" w:rsidR="00181D64" w:rsidRDefault="007B464C" w:rsidP="004676C5">
      <w:pPr>
        <w:pStyle w:val="IFTnormal"/>
        <w:numPr>
          <w:ilvl w:val="0"/>
          <w:numId w:val="59"/>
        </w:numPr>
        <w:tabs>
          <w:tab w:val="left" w:pos="1134"/>
        </w:tabs>
        <w:ind w:left="142" w:hanging="142"/>
        <w:rPr>
          <w:b/>
          <w:bCs w:val="0"/>
          <w:sz w:val="17"/>
          <w:szCs w:val="17"/>
        </w:rPr>
      </w:pPr>
      <w:r w:rsidRPr="004676C5">
        <w:rPr>
          <w:sz w:val="20"/>
          <w:szCs w:val="20"/>
        </w:rPr>
        <w:t>Ejemplo de representación del precio implícito</w:t>
      </w:r>
    </w:p>
    <w:p w14:paraId="2E6EC40A" w14:textId="512592A6" w:rsidR="00181D64" w:rsidRPr="00523452" w:rsidRDefault="00181D64" w:rsidP="00181D64">
      <w:pPr>
        <w:pStyle w:val="IFTnormal"/>
      </w:pPr>
      <w:r w:rsidRPr="00523452">
        <w:t xml:space="preserve">En el Modelo de Costos Evitados el precio de referencia del </w:t>
      </w:r>
      <w:r w:rsidR="00DE7685">
        <w:t>STAR</w:t>
      </w:r>
      <w:r w:rsidRPr="00523452">
        <w:t xml:space="preserve"> se establece a través del factor de estimación del precio implícito, como se describe a continuación.</w:t>
      </w:r>
    </w:p>
    <w:p w14:paraId="6A63859B" w14:textId="77777777" w:rsidR="00181D64" w:rsidRDefault="00181D64" w:rsidP="00181D64">
      <w:pPr>
        <w:pStyle w:val="IFTnormal"/>
      </w:pPr>
      <w:r w:rsidRPr="00523452">
        <w:t>Dado un conjunto de planes y paquetes que ofrecen un elemento o servicio particular, los ingresos guardan la siguiente relación:</w:t>
      </w:r>
    </w:p>
    <w:p w14:paraId="4DA238AD" w14:textId="52ED0754" w:rsidR="00220A8D" w:rsidRPr="005C2960" w:rsidRDefault="00265444" w:rsidP="00181D64">
      <w:pPr>
        <w:pStyle w:val="IFTnormal"/>
        <w:rPr>
          <w:bCs w:val="0"/>
          <w:iCs/>
        </w:rPr>
      </w:pPr>
      <m:oMathPara>
        <m:oMath>
          <m:r>
            <m:rPr>
              <m:sty m:val="p"/>
            </m:rPr>
            <w:rPr>
              <w:rFonts w:ascii="Cambria Math" w:hAnsi="Cambria Math"/>
            </w:rPr>
            <m:t>Ingresos de los planes y paquetes</m:t>
          </m:r>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P</m:t>
                  </m:r>
                </m:e>
                <m:sub>
                  <m:r>
                    <w:rPr>
                      <w:rFonts w:ascii="Cambria Math" w:hAnsi="Cambria Math"/>
                    </w:rPr>
                    <m:t>minorista</m:t>
                  </m:r>
                </m:sub>
                <m:sup>
                  <m:r>
                    <w:rPr>
                      <w:rFonts w:ascii="Cambria Math" w:hAnsi="Cambria Math"/>
                    </w:rPr>
                    <m:t>i</m:t>
                  </m:r>
                </m:sup>
              </m:sSubSup>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i</m:t>
                  </m:r>
                </m:sup>
              </m:sSup>
            </m:e>
          </m:nary>
        </m:oMath>
      </m:oMathPara>
    </w:p>
    <w:p w14:paraId="6A3F1008" w14:textId="21E9663F" w:rsidR="00BD5DB6" w:rsidRPr="00BD5DB6" w:rsidRDefault="00186A46" w:rsidP="00181D64">
      <w:pPr>
        <w:pStyle w:val="IFTnormal"/>
        <w:rPr>
          <w:bCs w:val="0"/>
          <w:iCs/>
        </w:rPr>
      </w:pPr>
      <m:oMathPara>
        <m:oMath>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P</m:t>
                  </m:r>
                </m:e>
                <m:sub>
                  <m:r>
                    <w:rPr>
                      <w:rFonts w:ascii="Cambria Math" w:hAnsi="Cambria Math"/>
                    </w:rPr>
                    <m:t>implícito</m:t>
                  </m:r>
                </m:sub>
                <m:sup>
                  <m:r>
                    <w:rPr>
                      <w:rFonts w:ascii="Cambria Math" w:hAnsi="Cambria Math"/>
                    </w:rPr>
                    <m:t>i</m:t>
                  </m:r>
                </m:sup>
              </m:sSubSup>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i</m:t>
                  </m:r>
                </m:sup>
              </m:s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minorista</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implícito</m:t>
                  </m:r>
                </m:sub>
                <m:sup>
                  <m:r>
                    <w:rPr>
                      <w:rFonts w:ascii="Cambria Math" w:hAnsi="Cambria Math"/>
                    </w:rPr>
                    <m:t>i</m:t>
                  </m:r>
                </m:sup>
              </m:sSubSup>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i</m:t>
                  </m:r>
                </m:sup>
              </m:sSup>
            </m:e>
          </m:nary>
        </m:oMath>
      </m:oMathPara>
    </w:p>
    <w:p w14:paraId="71FCE92B" w14:textId="77777777" w:rsidR="00BD5DB6" w:rsidRPr="00265444" w:rsidRDefault="00BD5DB6" w:rsidP="00181D64">
      <w:pPr>
        <w:pStyle w:val="IFTnormal"/>
      </w:pPr>
    </w:p>
    <w:p w14:paraId="0E6A4EAC" w14:textId="77777777" w:rsidR="00181D64" w:rsidRPr="00523452" w:rsidRDefault="00181D64" w:rsidP="00181D64">
      <w:pPr>
        <w:pStyle w:val="IFTnormal"/>
        <w:spacing w:after="0"/>
      </w:pPr>
      <m:oMathPara>
        <m:oMath>
          <m:r>
            <m:rPr>
              <m:nor/>
            </m:rPr>
            <m:t xml:space="preserve">= Ingresos del servicio de interés + </m:t>
          </m:r>
        </m:oMath>
      </m:oMathPara>
    </w:p>
    <w:p w14:paraId="1F58DFB3" w14:textId="77777777" w:rsidR="00181D64" w:rsidRPr="00523452" w:rsidRDefault="00181D64" w:rsidP="00181D64">
      <w:pPr>
        <w:pStyle w:val="IFTnormal"/>
        <w:spacing w:after="0"/>
      </w:pPr>
      <m:oMathPara>
        <m:oMath>
          <m:r>
            <m:rPr>
              <m:nor/>
            </m:rPr>
            <m:t>Ingresos del resto de servicios que se ofrecen en planes y paquetes.</m:t>
          </m:r>
        </m:oMath>
      </m:oMathPara>
    </w:p>
    <w:p w14:paraId="2F8A86E2" w14:textId="77777777" w:rsidR="00181D64" w:rsidRDefault="00181D64" w:rsidP="00181D64">
      <w:pPr>
        <w:pStyle w:val="IFTnormal"/>
        <w:spacing w:before="240"/>
      </w:pPr>
      <w:r w:rsidRPr="00523452">
        <w:t>donde para el periodo de tiempo en estudio, los términos involucrados tienen el significado descrito a continuación:</w:t>
      </w:r>
    </w:p>
    <w:p w14:paraId="7065500F" w14:textId="77777777" w:rsidR="00181D64" w:rsidRPr="00523452" w:rsidRDefault="00181D64" w:rsidP="00181D64">
      <w:pPr>
        <w:pStyle w:val="IFTnormal"/>
        <w:numPr>
          <w:ilvl w:val="0"/>
          <w:numId w:val="12"/>
        </w:numPr>
        <w:spacing w:after="0"/>
        <w:ind w:left="714" w:hanging="357"/>
      </w:pPr>
      <m:oMath>
        <m:r>
          <m:rPr>
            <m:nor/>
          </m:rPr>
          <m:t>n:</m:t>
        </m:r>
      </m:oMath>
      <w:r w:rsidRPr="00523452">
        <w:t xml:space="preserve"> denota el número de planes o paquetes en cuestión,</w:t>
      </w:r>
    </w:p>
    <w:p w14:paraId="79BD45FC" w14:textId="77777777" w:rsidR="00181D64" w:rsidRPr="00523452" w:rsidRDefault="00873989" w:rsidP="00181D64">
      <w:pPr>
        <w:pStyle w:val="IFTnormal"/>
        <w:numPr>
          <w:ilvl w:val="0"/>
          <w:numId w:val="12"/>
        </w:numPr>
        <w:spacing w:after="0"/>
        <w:ind w:left="714" w:hanging="357"/>
      </w:pPr>
      <m:oMath>
        <m:sSubSup>
          <m:sSubSupPr>
            <m:ctrlPr>
              <w:rPr>
                <w:rFonts w:ascii="Cambria Math" w:hAnsi="Cambria Math"/>
                <w:i/>
              </w:rPr>
            </m:ctrlPr>
          </m:sSubSupPr>
          <m:e>
            <m:r>
              <m:rPr>
                <m:nor/>
              </m:rPr>
              <m:t>P</m:t>
            </m:r>
          </m:e>
          <m:sub>
            <m:r>
              <m:rPr>
                <m:nor/>
              </m:rPr>
              <m:t>minorista</m:t>
            </m:r>
          </m:sub>
          <m:sup>
            <m:r>
              <m:rPr>
                <m:nor/>
              </m:rPr>
              <m:t>i</m:t>
            </m:r>
          </m:sup>
        </m:sSubSup>
      </m:oMath>
      <w:r w:rsidR="00181D64" w:rsidRPr="00523452">
        <w:t>: se refiere al precio minorista del i-ésimo plan o paquete,</w:t>
      </w:r>
    </w:p>
    <w:p w14:paraId="6D32BC2C" w14:textId="77777777" w:rsidR="00181D64" w:rsidRPr="00523452" w:rsidRDefault="00873989" w:rsidP="00181D64">
      <w:pPr>
        <w:pStyle w:val="IFTnormal"/>
        <w:numPr>
          <w:ilvl w:val="0"/>
          <w:numId w:val="12"/>
        </w:numPr>
        <w:spacing w:after="0"/>
        <w:ind w:left="714" w:right="-93" w:hanging="357"/>
      </w:pPr>
      <m:oMath>
        <m:sSup>
          <m:sSupPr>
            <m:ctrlPr>
              <w:rPr>
                <w:rFonts w:ascii="Cambria Math" w:hAnsi="Cambria Math"/>
                <w:i/>
              </w:rPr>
            </m:ctrlPr>
          </m:sSupPr>
          <m:e>
            <m:r>
              <m:rPr>
                <m:nor/>
              </m:rPr>
              <m:t>Q</m:t>
            </m:r>
          </m:e>
          <m:sup>
            <m:r>
              <m:rPr>
                <m:nor/>
              </m:rPr>
              <m:t>i</m:t>
            </m:r>
          </m:sup>
        </m:sSup>
      </m:oMath>
      <w:r w:rsidR="00181D64" w:rsidRPr="00523452">
        <w:t>: corresponde a la cantidad de usuarios que contratan el i-ésimo plan o paquete, y</w:t>
      </w:r>
    </w:p>
    <w:p w14:paraId="4E69C5EA" w14:textId="704E3BA8" w:rsidR="00181D64" w:rsidRPr="00523452" w:rsidRDefault="00873989" w:rsidP="00181D64">
      <w:pPr>
        <w:pStyle w:val="IFTnormal"/>
        <w:numPr>
          <w:ilvl w:val="0"/>
          <w:numId w:val="12"/>
        </w:numPr>
        <w:spacing w:after="0"/>
        <w:ind w:left="714" w:hanging="357"/>
      </w:pPr>
      <m:oMath>
        <m:sSubSup>
          <m:sSubSupPr>
            <m:ctrlPr>
              <w:rPr>
                <w:rFonts w:ascii="Cambria Math" w:hAnsi="Cambria Math"/>
                <w:lang w:val="en-US"/>
              </w:rPr>
            </m:ctrlPr>
          </m:sSubSupPr>
          <m:e>
            <m:r>
              <m:rPr>
                <m:nor/>
              </m:rPr>
              <m:t>P</m:t>
            </m:r>
          </m:e>
          <m:sub>
            <m:r>
              <m:rPr>
                <m:nor/>
              </m:rPr>
              <m:t>implícito</m:t>
            </m:r>
          </m:sub>
          <m:sup>
            <m:r>
              <m:rPr>
                <m:nor/>
              </m:rPr>
              <m:t>i</m:t>
            </m:r>
          </m:sup>
        </m:sSubSup>
      </m:oMath>
      <w:r w:rsidR="00181D64" w:rsidRPr="00523452">
        <w:t xml:space="preserve">: relativo al precio implícito </w:t>
      </w:r>
      <w:r w:rsidR="006F47F0">
        <w:t>del STAR</w:t>
      </w:r>
      <w:r w:rsidR="00181D64" w:rsidRPr="00523452">
        <w:t>, con respecto al i-ésimo plan o paquete</w:t>
      </w:r>
    </w:p>
    <w:p w14:paraId="4ADA8B6E" w14:textId="2D3BE9FD" w:rsidR="00181D64" w:rsidRPr="00523452" w:rsidRDefault="00181D64" w:rsidP="00181D64">
      <w:pPr>
        <w:pStyle w:val="IFTnormal"/>
        <w:spacing w:before="240"/>
      </w:pPr>
      <w:r w:rsidRPr="00523452">
        <w:lastRenderedPageBreak/>
        <w:t xml:space="preserve">En consecuencia, a </w:t>
      </w:r>
      <w:r w:rsidRPr="000E590D">
        <w:rPr>
          <w:b/>
          <w:bCs w:val="0"/>
        </w:rPr>
        <w:t>nivel promedio</w:t>
      </w:r>
      <w:r w:rsidRPr="00523452">
        <w:t xml:space="preserve">, el factor de estimación del precio implícito de un servicio se puede aproximar por el cociente entre 1) los ingresos obtenidos por todos los servicios distintos de aquel cuyo precio implícito resulta de interés </w:t>
      </w:r>
      <w:r w:rsidR="006F47F0">
        <w:t xml:space="preserve">(en este caso, STAR) </w:t>
      </w:r>
      <w:r w:rsidRPr="00523452">
        <w:t>y 2) los ingresos de planes y paquetes en estudio.</w:t>
      </w:r>
    </w:p>
    <w:p w14:paraId="3D23EA9B" w14:textId="6B3BB7D0" w:rsidR="00181D64" w:rsidRDefault="00181D64" w:rsidP="00181D64">
      <w:pPr>
        <w:pStyle w:val="IFTnormal"/>
      </w:pPr>
      <w:r w:rsidRPr="000E590D">
        <w:t xml:space="preserve">Asimismo, también se desprende que para estimar la cantidad descrita en el inciso </w:t>
      </w:r>
      <w:r w:rsidRPr="00DF75EB">
        <w:t xml:space="preserve">1), </w:t>
      </w:r>
      <w:r w:rsidRPr="000E590D">
        <w:t>basta hacer la diferencia entre los precios minoristas de los planes y paquetes junto con el precio implícito de un elemento o servicio que se incluye en los planes o paquetes y multiplicar dicho valor por la cantidad de clientes correspondientes.</w:t>
      </w:r>
    </w:p>
    <w:p w14:paraId="25EC0883" w14:textId="3D28A5D4" w:rsidR="00181D64" w:rsidRDefault="00181D64" w:rsidP="00181D64">
      <w:pPr>
        <w:pStyle w:val="IFTnormal"/>
        <w:spacing w:after="240"/>
      </w:pPr>
      <w:r w:rsidRPr="00B4546D">
        <w:t>A través de dicho procedimiento en el Modelo de Costos Evitados, se calculan los factores de estimación del precio implícito, a nivel promedio</w:t>
      </w:r>
      <w:r w:rsidR="00652C1E">
        <w:t xml:space="preserve">. En este caso, por la naturaleza de los servicios regulados se obtendrá dicho factor correspondiente al STAR </w:t>
      </w:r>
      <m:oMath>
        <m:r>
          <w:rPr>
            <w:rFonts w:ascii="Cambria Math" w:hAnsi="Cambria Math"/>
          </w:rPr>
          <m:t>(</m:t>
        </m:r>
        <m:r>
          <m:rPr>
            <m:nor/>
          </m:rPr>
          <w:rPr>
            <w:b/>
          </w:rPr>
          <m:t xml:space="preserve">% </m:t>
        </m:r>
        <m:sSub>
          <m:sSubPr>
            <m:ctrlPr>
              <w:rPr>
                <w:rFonts w:ascii="Cambria Math" w:hAnsi="Cambria Math"/>
                <w:b/>
                <w:i/>
              </w:rPr>
            </m:ctrlPr>
          </m:sSubPr>
          <m:e>
            <m:r>
              <m:rPr>
                <m:nor/>
              </m:rPr>
              <w:rPr>
                <w:rFonts w:ascii="Calibri" w:hAnsi="Calibri"/>
                <w:b/>
              </w:rPr>
              <m:t>β</m:t>
            </m:r>
          </m:e>
          <m:sub>
            <m:r>
              <m:rPr>
                <m:nor/>
              </m:rPr>
              <w:rPr>
                <w:rFonts w:ascii="Cambria Math"/>
                <w:b/>
              </w:rPr>
              <m:t>STAR</m:t>
            </m:r>
          </m:sub>
        </m:sSub>
        <m:r>
          <m:rPr>
            <m:nor/>
          </m:rPr>
          <m:t>)</m:t>
        </m:r>
      </m:oMath>
      <w:r w:rsidR="006F47F0">
        <w:t>.</w:t>
      </w:r>
    </w:p>
    <w:p w14:paraId="6B0F5903" w14:textId="4FB9C470" w:rsidR="00181D64" w:rsidRPr="000F5F7A" w:rsidRDefault="00181D64" w:rsidP="00181D64">
      <w:pPr>
        <w:pStyle w:val="Ttulo3"/>
        <w:numPr>
          <w:ilvl w:val="2"/>
          <w:numId w:val="7"/>
        </w:numPr>
        <w:spacing w:after="240"/>
        <w:ind w:left="851" w:hanging="789"/>
        <w:rPr>
          <w:rStyle w:val="IFTnormalCar"/>
          <w:b/>
          <w:color w:val="auto"/>
          <w:sz w:val="22"/>
        </w:rPr>
      </w:pPr>
      <w:bookmarkStart w:id="30" w:name="_Toc114513055"/>
      <w:bookmarkStart w:id="31" w:name="_Toc180491376"/>
      <w:r w:rsidRPr="000F5F7A">
        <w:rPr>
          <w:rStyle w:val="IFTnormalCar"/>
          <w:b/>
          <w:color w:val="auto"/>
          <w:sz w:val="22"/>
        </w:rPr>
        <w:t>Precio de referencia del S</w:t>
      </w:r>
      <w:bookmarkEnd w:id="30"/>
      <w:r w:rsidR="001F160D" w:rsidRPr="000F5F7A">
        <w:rPr>
          <w:rStyle w:val="IFTnormalCar"/>
          <w:b/>
          <w:color w:val="auto"/>
          <w:sz w:val="22"/>
        </w:rPr>
        <w:t>RM</w:t>
      </w:r>
      <w:bookmarkEnd w:id="31"/>
    </w:p>
    <w:p w14:paraId="34669484" w14:textId="7AA244FF" w:rsidR="001F160D" w:rsidRDefault="00181D64" w:rsidP="000257AD">
      <w:pPr>
        <w:pStyle w:val="IFTnormal"/>
      </w:pPr>
      <w:r w:rsidRPr="003F0BA7">
        <w:t xml:space="preserve">El precio de referencia para este servicio se estima a partir del precio implícito, a nivel promedio de los servicios asociados </w:t>
      </w:r>
      <w:r w:rsidR="001F160D">
        <w:t>al STAR</w:t>
      </w:r>
      <w:r w:rsidR="006F47F0">
        <w:t xml:space="preserve"> (es decir, que no incluyen servicios de telefonía ni de internet)</w:t>
      </w:r>
      <w:r w:rsidR="001F160D">
        <w:t>.</w:t>
      </w:r>
    </w:p>
    <w:p w14:paraId="70E07A28" w14:textId="09AF33C1" w:rsidR="00D13AA6" w:rsidRDefault="00BA20E7" w:rsidP="00D13AA6">
      <w:pPr>
        <w:pStyle w:val="IFTnormal"/>
      </w:pPr>
      <w:r>
        <w:t>En este sentido</w:t>
      </w:r>
      <w:r w:rsidR="004948AE">
        <w:t>, empleando los factores de estimación del precio implícito, a nivel promedio, correspondiente</w:t>
      </w:r>
      <w:r w:rsidR="00D13AA6">
        <w:t xml:space="preserve"> al servicio </w:t>
      </w:r>
      <w:r w:rsidR="001F160D">
        <w:t>del STAR</w:t>
      </w:r>
      <w:r w:rsidR="00D13AA6">
        <w:t xml:space="preserve"> </w:t>
      </w:r>
      <m:oMath>
        <m:r>
          <w:rPr>
            <w:rFonts w:ascii="Cambria Math" w:hAnsi="Cambria Math"/>
          </w:rPr>
          <m:t>(</m:t>
        </m:r>
        <m:r>
          <m:rPr>
            <m:nor/>
          </m:rPr>
          <w:rPr>
            <w:b/>
          </w:rPr>
          <m:t>%</m:t>
        </m:r>
        <m:r>
          <m:rPr>
            <m:nor/>
          </m:rPr>
          <w:rPr>
            <w:rFonts w:ascii="Calibri" w:hAnsi="Calibri"/>
            <w:b/>
          </w:rPr>
          <m:t xml:space="preserve"> </m:t>
        </m:r>
        <m:sSub>
          <m:sSubPr>
            <m:ctrlPr>
              <w:rPr>
                <w:rFonts w:ascii="Cambria Math" w:hAnsi="Cambria Math"/>
                <w:b/>
                <w:i/>
              </w:rPr>
            </m:ctrlPr>
          </m:sSubPr>
          <m:e>
            <m:r>
              <m:rPr>
                <m:nor/>
              </m:rPr>
              <w:rPr>
                <w:rFonts w:ascii="Calibri" w:hAnsi="Calibri"/>
                <w:b/>
              </w:rPr>
              <m:t>β</m:t>
            </m:r>
          </m:e>
          <m:sub>
            <m:r>
              <m:rPr>
                <m:nor/>
              </m:rPr>
              <w:rPr>
                <w:rFonts w:ascii="Cambria Math"/>
                <w:b/>
              </w:rPr>
              <m:t>STAR</m:t>
            </m:r>
          </m:sub>
        </m:sSub>
        <m:r>
          <m:rPr>
            <m:nor/>
          </m:rPr>
          <w:rPr>
            <w:rFonts w:ascii="Cambria Math" w:hAnsi="Calibri"/>
          </w:rPr>
          <m:t>)</m:t>
        </m:r>
      </m:oMath>
      <w:r w:rsidR="004948AE">
        <w:t xml:space="preserve"> </w:t>
      </w:r>
      <w:r w:rsidR="00D13AA6">
        <w:t>se establece a partir de la</w:t>
      </w:r>
      <w:r w:rsidR="00D13AA6" w:rsidRPr="008F0715">
        <w:t xml:space="preserve"> tarifa</w:t>
      </w:r>
      <w:r w:rsidR="00D13AA6">
        <w:t xml:space="preserve"> minorista </w:t>
      </w:r>
      <w:r w:rsidR="001F160D">
        <w:t>aplicable a</w:t>
      </w:r>
      <w:r w:rsidR="00280293">
        <w:t>l</w:t>
      </w:r>
      <w:r w:rsidR="004948AE">
        <w:t xml:space="preserve"> STAR single play, así como a la tarifa estimada a partir del STAR empaquetado.</w:t>
      </w:r>
      <w:r w:rsidR="00D13AA6">
        <w:t>, conforme a la ecuación:</w:t>
      </w:r>
    </w:p>
    <w:p w14:paraId="467EE2C6" w14:textId="359E8594" w:rsidR="00D13AA6" w:rsidRDefault="00873989" w:rsidP="000257AD">
      <w:pPr>
        <w:pStyle w:val="IFTnormal"/>
      </w:pPr>
      <m:oMathPara>
        <m:oMath>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 xml:space="preserve">r </m:t>
              </m:r>
            </m:sup>
          </m:sSup>
          <m:r>
            <m:rPr>
              <m:sty m:val="bi"/>
            </m:rPr>
            <w:rPr>
              <w:rFonts w:ascii="Cambria Math" w:hAnsi="Cambria Math"/>
            </w:rPr>
            <m:t>=</m:t>
          </m:r>
          <m:sSub>
            <m:sSubPr>
              <m:ctrlPr>
                <w:rPr>
                  <w:rFonts w:ascii="Cambria Math" w:hAnsi="Cambria Math"/>
                  <w:b/>
                </w:rPr>
              </m:ctrlPr>
            </m:sSubPr>
            <m:e>
              <m:r>
                <m:rPr>
                  <m:nor/>
                </m:rPr>
                <w:rPr>
                  <w:b/>
                </w:rPr>
                <m:t>P</m:t>
              </m:r>
            </m:e>
            <m:sub>
              <m:r>
                <m:rPr>
                  <m:nor/>
                </m:rPr>
                <w:rPr>
                  <w:b/>
                </w:rPr>
                <m:t>minorista</m:t>
              </m:r>
            </m:sub>
          </m:sSub>
          <m:r>
            <m:rPr>
              <m:sty m:val="bi"/>
            </m:rPr>
            <w:rPr>
              <w:rFonts w:ascii="Cambria Math" w:hAnsi="Cambria Math"/>
            </w:rPr>
            <m:t xml:space="preserve"> ×(</m:t>
          </m:r>
          <m:r>
            <m:rPr>
              <m:nor/>
            </m:rPr>
            <w:rPr>
              <w:b/>
            </w:rPr>
            <m:t>1- %</m:t>
          </m:r>
          <m:sSub>
            <m:sSubPr>
              <m:ctrlPr>
                <w:rPr>
                  <w:rFonts w:ascii="Cambria Math" w:hAnsi="Cambria Math"/>
                  <w:b/>
                  <w:i/>
                </w:rPr>
              </m:ctrlPr>
            </m:sSubPr>
            <m:e>
              <m:r>
                <m:rPr>
                  <m:nor/>
                </m:rPr>
                <w:rPr>
                  <w:rFonts w:ascii="Calibri" w:hAnsi="Calibri"/>
                  <w:b/>
                </w:rPr>
                <m:t>β</m:t>
              </m:r>
            </m:e>
            <m:sub>
              <m:r>
                <m:rPr>
                  <m:nor/>
                </m:rPr>
                <w:rPr>
                  <w:rFonts w:ascii="Cambria Math"/>
                  <w:b/>
                </w:rPr>
                <m:t>STAR</m:t>
              </m:r>
            </m:sub>
          </m:sSub>
          <m:r>
            <m:rPr>
              <m:sty m:val="b"/>
            </m:rPr>
            <w:rPr>
              <w:rFonts w:ascii="Cambria Math" w:hAnsi="Cambria Math"/>
              <w:color w:val="555555"/>
              <w:sz w:val="21"/>
              <w:szCs w:val="21"/>
              <w:shd w:val="clear" w:color="auto" w:fill="FFFFFF"/>
            </w:rPr>
            <m:t>)</m:t>
          </m:r>
        </m:oMath>
      </m:oMathPara>
    </w:p>
    <w:p w14:paraId="18AB1DFA" w14:textId="77777777" w:rsidR="000257AD" w:rsidRPr="000257AD" w:rsidRDefault="00873989" w:rsidP="000257AD">
      <w:pPr>
        <w:pStyle w:val="IFTnormal"/>
        <w:spacing w:after="0"/>
        <w:ind w:left="1080"/>
        <w:jc w:val="center"/>
      </w:pPr>
      <m:oMath>
        <m:sSup>
          <m:sSupPr>
            <m:ctrlPr>
              <w:rPr>
                <w:rFonts w:ascii="Cambria Math" w:hAnsi="Cambria Math"/>
                <w:b/>
              </w:rPr>
            </m:ctrlPr>
          </m:sSupPr>
          <m:e>
            <m:r>
              <m:rPr>
                <m:nor/>
              </m:rPr>
              <w:rPr>
                <w:b/>
                <w:iCs/>
              </w:rPr>
              <m:t xml:space="preserve"> P</m:t>
            </m:r>
          </m:e>
          <m:sup>
            <m:r>
              <m:rPr>
                <m:nor/>
              </m:rPr>
              <w:rPr>
                <w:b/>
                <w:iCs/>
              </w:rPr>
              <m:t>r</m:t>
            </m:r>
          </m:sup>
        </m:sSup>
      </m:oMath>
      <w:r w:rsidR="000257AD" w:rsidRPr="000257AD">
        <w:rPr>
          <w:b/>
        </w:rPr>
        <w:t xml:space="preserve"> = </w:t>
      </w:r>
      <m:oMath>
        <m:sSub>
          <m:sSubPr>
            <m:ctrlPr>
              <w:rPr>
                <w:rFonts w:ascii="Cambria Math" w:hAnsi="Cambria Math"/>
                <w:b/>
              </w:rPr>
            </m:ctrlPr>
          </m:sSubPr>
          <m:e>
            <m:r>
              <m:rPr>
                <m:nor/>
              </m:rPr>
              <w:rPr>
                <w:b/>
              </w:rPr>
              <m:t>P</m:t>
            </m:r>
          </m:e>
          <m:sub>
            <m:r>
              <m:rPr>
                <m:nor/>
              </m:rPr>
              <w:rPr>
                <w:b/>
              </w:rPr>
              <m:t>implícito</m:t>
            </m:r>
          </m:sub>
        </m:sSub>
        <m:r>
          <m:rPr>
            <m:sty m:val="bi"/>
          </m:rPr>
          <w:rPr>
            <w:rFonts w:ascii="Cambria Math" w:hAnsi="Cambria Math"/>
          </w:rPr>
          <m:t xml:space="preserve"> </m:t>
        </m:r>
      </m:oMath>
    </w:p>
    <w:p w14:paraId="7CBEFF66" w14:textId="47D4090D" w:rsidR="006C218B" w:rsidRDefault="006C218B" w:rsidP="006C218B">
      <w:pPr>
        <w:pStyle w:val="IFTnormal"/>
      </w:pPr>
      <w:r>
        <w:t>A efecto resumir la metodología aludida, a continuación, se presenta esquema de esta:</w:t>
      </w:r>
    </w:p>
    <w:p w14:paraId="2C6C1B4E" w14:textId="7073B8AD" w:rsidR="00715F42" w:rsidRDefault="00280293" w:rsidP="006C218B">
      <w:pPr>
        <w:pStyle w:val="IFTnormal"/>
      </w:pPr>
      <w:r>
        <w:rPr>
          <w:noProof/>
        </w:rPr>
        <w:drawing>
          <wp:inline distT="0" distB="0" distL="0" distR="0" wp14:anchorId="2280C13B" wp14:editId="41B845F2">
            <wp:extent cx="5612130" cy="2242820"/>
            <wp:effectExtent l="0" t="0" r="7620" b="5080"/>
            <wp:docPr id="14393811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81182" name="Imagen 143938118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12130" cy="2242820"/>
                    </a:xfrm>
                    <a:prstGeom prst="rect">
                      <a:avLst/>
                    </a:prstGeom>
                  </pic:spPr>
                </pic:pic>
              </a:graphicData>
            </a:graphic>
          </wp:inline>
        </w:drawing>
      </w:r>
    </w:p>
    <w:p w14:paraId="099BFF00" w14:textId="43D9EB7C" w:rsidR="006C218B" w:rsidRDefault="00A509FB" w:rsidP="004676C5">
      <w:pPr>
        <w:pStyle w:val="Figura"/>
        <w:keepNext w:val="0"/>
        <w:widowControl w:val="0"/>
        <w:spacing w:before="0" w:after="240" w:line="259" w:lineRule="auto"/>
        <w:ind w:right="49"/>
        <w:jc w:val="both"/>
      </w:pPr>
      <w:r w:rsidRPr="004676C5">
        <w:rPr>
          <w:szCs w:val="20"/>
        </w:rPr>
        <w:lastRenderedPageBreak/>
        <w:t xml:space="preserve">Esquema de la metodología del Modelo de Costos Evitados para la estimación de la tarifa de referencia del </w:t>
      </w:r>
      <w:r w:rsidR="006F47F0">
        <w:rPr>
          <w:szCs w:val="20"/>
        </w:rPr>
        <w:t>SRM</w:t>
      </w:r>
      <w:r w:rsidR="001D2749">
        <w:rPr>
          <w:szCs w:val="20"/>
        </w:rPr>
        <w:t xml:space="preserve"> </w:t>
      </w:r>
      <w:r w:rsidRPr="004676C5">
        <w:rPr>
          <w:szCs w:val="20"/>
        </w:rPr>
        <w:t>(</w:t>
      </w:r>
      <w:r w:rsidRPr="004676C5">
        <w:rPr>
          <w:b/>
          <w:szCs w:val="20"/>
        </w:rPr>
        <w:t>Fuente</w:t>
      </w:r>
      <w:r w:rsidRPr="004676C5">
        <w:rPr>
          <w:bCs/>
          <w:szCs w:val="20"/>
        </w:rPr>
        <w:t>: IFT)</w:t>
      </w:r>
      <w:r w:rsidR="006C218B" w:rsidRPr="004676C5">
        <w:rPr>
          <w:szCs w:val="20"/>
        </w:rPr>
        <w:t>.</w:t>
      </w:r>
    </w:p>
    <w:p w14:paraId="63E79343" w14:textId="121E1EC0" w:rsidR="00A3588E" w:rsidRDefault="000257AD" w:rsidP="004948AE">
      <w:pPr>
        <w:pStyle w:val="IFTnormal"/>
        <w:spacing w:before="240"/>
      </w:pPr>
      <w:r w:rsidRPr="000257AD">
        <w:t xml:space="preserve">En el Modelo de Costos Evitados, el precio de referencia </w:t>
      </w:r>
      <w:r w:rsidR="001F160D">
        <w:t>donde el STAR se ofrece de manera empaquetada,</w:t>
      </w:r>
      <w:r w:rsidRPr="000257AD">
        <w:t xml:space="preserve"> se considera a través de los precios implícitos </w:t>
      </w:r>
      <w:r w:rsidR="00912727">
        <w:t>estimado</w:t>
      </w:r>
      <w:r w:rsidR="004948AE">
        <w:t>s</w:t>
      </w:r>
      <w:r w:rsidR="00912727">
        <w:t xml:space="preserve"> </w:t>
      </w:r>
      <w:r w:rsidR="004948AE">
        <w:t>al STAR</w:t>
      </w:r>
      <w:r w:rsidRPr="000257AD">
        <w:t>.</w:t>
      </w:r>
      <w:r w:rsidR="004948AE">
        <w:t xml:space="preserve"> P</w:t>
      </w:r>
      <w:r w:rsidR="004D3F53" w:rsidRPr="004D3F53">
        <w:t xml:space="preserve">ara </w:t>
      </w:r>
      <w:r w:rsidR="00912727">
        <w:t>este caso</w:t>
      </w:r>
      <w:r w:rsidR="004D3F53" w:rsidRPr="004D3F53">
        <w:t xml:space="preserve">, los precios implícitos a emplearse corresponden a los estimados por el modelo para planes o paquetes mediante los cuales </w:t>
      </w:r>
      <w:r w:rsidR="00912727">
        <w:t>el APSM</w:t>
      </w:r>
      <w:r w:rsidR="004D3F53" w:rsidRPr="004D3F53">
        <w:t xml:space="preserve"> ofrece</w:t>
      </w:r>
      <w:r w:rsidR="003664D9">
        <w:t>n</w:t>
      </w:r>
      <w:r w:rsidR="004D3F53" w:rsidRPr="004D3F53">
        <w:t xml:space="preserve"> </w:t>
      </w:r>
      <w:r w:rsidR="00912727">
        <w:t>STAR empaquetado</w:t>
      </w:r>
      <w:r w:rsidR="004D3F53" w:rsidRPr="004D3F53">
        <w:t>, a los cuales se les descontarán los correspondientes costos evitados.</w:t>
      </w:r>
    </w:p>
    <w:p w14:paraId="2C018F5D" w14:textId="2E9B3FED" w:rsidR="00A3588E" w:rsidRPr="00F35B3E" w:rsidRDefault="00A3588E" w:rsidP="00F35B3E">
      <w:pPr>
        <w:pStyle w:val="Ttulo2"/>
        <w:numPr>
          <w:ilvl w:val="1"/>
          <w:numId w:val="7"/>
        </w:numPr>
        <w:ind w:left="426" w:hanging="360"/>
        <w:rPr>
          <w:rStyle w:val="IFTnormalCar"/>
          <w:color w:val="auto"/>
          <w:lang w:val="es-MX"/>
        </w:rPr>
      </w:pPr>
      <w:bookmarkStart w:id="32" w:name="_Toc114513059"/>
      <w:bookmarkStart w:id="33" w:name="_Toc180491377"/>
      <w:r w:rsidRPr="00F35B3E">
        <w:rPr>
          <w:rStyle w:val="IFTnormalCar"/>
          <w:color w:val="auto"/>
          <w:lang w:val="es-MX"/>
        </w:rPr>
        <w:t>Definición de conceptos de costos evitados e</w:t>
      </w:r>
      <w:r w:rsidR="000E25D5" w:rsidRPr="00F35B3E">
        <w:rPr>
          <w:rStyle w:val="IFTnormalCar"/>
          <w:color w:val="auto"/>
          <w:lang w:val="es-MX"/>
        </w:rPr>
        <w:t xml:space="preserve">n </w:t>
      </w:r>
      <w:r w:rsidRPr="00F35B3E">
        <w:rPr>
          <w:rStyle w:val="IFTnormalCar"/>
          <w:color w:val="auto"/>
          <w:lang w:val="es-MX"/>
        </w:rPr>
        <w:t>l</w:t>
      </w:r>
      <w:r w:rsidR="000E25D5" w:rsidRPr="00F35B3E">
        <w:rPr>
          <w:rStyle w:val="IFTnormalCar"/>
          <w:color w:val="auto"/>
          <w:lang w:val="es-MX"/>
        </w:rPr>
        <w:t>os</w:t>
      </w:r>
      <w:r w:rsidRPr="00F35B3E">
        <w:rPr>
          <w:rStyle w:val="IFTnormalCar"/>
          <w:color w:val="auto"/>
          <w:lang w:val="es-MX"/>
        </w:rPr>
        <w:t xml:space="preserve"> Servicios de Reventa</w:t>
      </w:r>
      <w:bookmarkEnd w:id="32"/>
      <w:bookmarkEnd w:id="33"/>
    </w:p>
    <w:p w14:paraId="3FC0A3C1" w14:textId="3D36E16D" w:rsidR="00A3588E" w:rsidRPr="004676C5" w:rsidRDefault="00A3588E" w:rsidP="00A3588E">
      <w:pPr>
        <w:jc w:val="both"/>
        <w:rPr>
          <w:rFonts w:ascii="ITC Avant Garde" w:eastAsia="MS Mincho" w:hAnsi="ITC Avant Garde" w:cs="Calibri"/>
        </w:rPr>
      </w:pPr>
      <w:r w:rsidRPr="004676C5">
        <w:rPr>
          <w:rFonts w:ascii="ITC Avant Garde" w:eastAsia="MS Mincho" w:hAnsi="ITC Avant Garde" w:cs="Calibri"/>
        </w:rPr>
        <w:t xml:space="preserve">Para el desarrollo del Modelo de Costos </w:t>
      </w:r>
      <w:r w:rsidR="00993675">
        <w:rPr>
          <w:rFonts w:ascii="ITC Avant Garde" w:eastAsia="MS Mincho" w:hAnsi="ITC Avant Garde" w:cs="Calibri"/>
          <w:bCs/>
        </w:rPr>
        <w:t xml:space="preserve">Evitados </w:t>
      </w:r>
      <w:r w:rsidR="00EA3713">
        <w:rPr>
          <w:rFonts w:ascii="ITC Avant Garde" w:eastAsia="MS Mincho" w:hAnsi="ITC Avant Garde" w:cs="Calibri"/>
          <w:bCs/>
        </w:rPr>
        <w:t xml:space="preserve">adicionalmente </w:t>
      </w:r>
      <w:r w:rsidRPr="004676C5">
        <w:rPr>
          <w:rFonts w:ascii="ITC Avant Garde" w:eastAsia="MS Mincho" w:hAnsi="ITC Avant Garde" w:cs="Calibri"/>
        </w:rPr>
        <w:t>se consideran las siguientes categorías de costos</w:t>
      </w:r>
      <w:r w:rsidR="00EA3713">
        <w:rPr>
          <w:rFonts w:ascii="ITC Avant Garde" w:eastAsia="MS Mincho" w:hAnsi="ITC Avant Garde" w:cs="Calibri"/>
        </w:rPr>
        <w:t xml:space="preserve"> en los que el APSM no incurriría en la provisión del servicio mayorista</w:t>
      </w:r>
      <w:r w:rsidRPr="004676C5">
        <w:rPr>
          <w:rFonts w:ascii="ITC Avant Garde" w:eastAsia="MS Mincho" w:hAnsi="ITC Avant Garde" w:cs="Calibri"/>
        </w:rPr>
        <w:t>:</w:t>
      </w:r>
    </w:p>
    <w:p w14:paraId="0D0FD05B" w14:textId="13948154" w:rsidR="00A3588E" w:rsidRPr="00A3588E" w:rsidRDefault="00A3588E" w:rsidP="00A3588E">
      <w:pPr>
        <w:pStyle w:val="IFTnormal"/>
        <w:numPr>
          <w:ilvl w:val="0"/>
          <w:numId w:val="18"/>
        </w:numPr>
        <w:spacing w:after="0"/>
        <w:rPr>
          <w:b/>
        </w:rPr>
      </w:pPr>
      <w:r w:rsidRPr="00A3588E">
        <w:rPr>
          <w:b/>
        </w:rPr>
        <w:t xml:space="preserve">Facturación: </w:t>
      </w:r>
      <w:r w:rsidR="00431680">
        <w:t>se considera e</w:t>
      </w:r>
      <w:r w:rsidRPr="00A3588E">
        <w:t>l sistema de facturación a usuarios finales minoristas.</w:t>
      </w:r>
    </w:p>
    <w:p w14:paraId="32B8E03E" w14:textId="764DED19" w:rsidR="00A3588E" w:rsidRPr="00A3588E" w:rsidRDefault="00A3588E" w:rsidP="00A3588E">
      <w:pPr>
        <w:pStyle w:val="IFTnormal"/>
        <w:numPr>
          <w:ilvl w:val="0"/>
          <w:numId w:val="18"/>
        </w:numPr>
        <w:spacing w:after="0"/>
        <w:rPr>
          <w:b/>
        </w:rPr>
      </w:pPr>
      <w:r w:rsidRPr="00A3588E">
        <w:rPr>
          <w:b/>
        </w:rPr>
        <w:t>Deuda incobrable</w:t>
      </w:r>
      <w:r w:rsidRPr="00A3588E">
        <w:t xml:space="preserve">: </w:t>
      </w:r>
      <w:r w:rsidR="00431680">
        <w:t>se considera</w:t>
      </w:r>
      <w:r w:rsidR="00226471">
        <w:t xml:space="preserve"> </w:t>
      </w:r>
      <w:r w:rsidRPr="00A3588E">
        <w:t xml:space="preserve">el valor de incobrabilidad </w:t>
      </w:r>
      <w:r w:rsidR="00226471">
        <w:t>para los servicios minoristas</w:t>
      </w:r>
      <w:r w:rsidRPr="00A3588E">
        <w:t>.</w:t>
      </w:r>
    </w:p>
    <w:p w14:paraId="797F724D" w14:textId="6B118095" w:rsidR="00A3588E" w:rsidRPr="00A3588E" w:rsidRDefault="00A3588E" w:rsidP="00A3588E">
      <w:pPr>
        <w:pStyle w:val="IFTnormal"/>
        <w:numPr>
          <w:ilvl w:val="0"/>
          <w:numId w:val="18"/>
        </w:numPr>
        <w:spacing w:after="0"/>
      </w:pPr>
      <w:r w:rsidRPr="00A3588E">
        <w:rPr>
          <w:b/>
        </w:rPr>
        <w:t>Mercadotecnia y publicidad:</w:t>
      </w:r>
      <w:r w:rsidRPr="00A3588E">
        <w:t xml:space="preserve"> En este caso se asume que los costos de ventas y mercadotecnia son atribuibles únicamente a los servicios </w:t>
      </w:r>
      <w:r w:rsidR="00912727">
        <w:t>STAR</w:t>
      </w:r>
      <w:r w:rsidRPr="00A3588E">
        <w:t>.</w:t>
      </w:r>
    </w:p>
    <w:p w14:paraId="2950F4A0" w14:textId="6A8BB80D" w:rsidR="00A3588E" w:rsidRPr="00A3588E" w:rsidRDefault="00A3588E" w:rsidP="00A3588E">
      <w:pPr>
        <w:pStyle w:val="IFTnormal"/>
        <w:numPr>
          <w:ilvl w:val="0"/>
          <w:numId w:val="18"/>
        </w:numPr>
        <w:spacing w:after="0"/>
        <w:rPr>
          <w:b/>
        </w:rPr>
      </w:pPr>
      <w:r w:rsidRPr="00A3588E">
        <w:rPr>
          <w:b/>
        </w:rPr>
        <w:t xml:space="preserve">Servicio de atención al cliente: </w:t>
      </w:r>
      <w:r w:rsidR="00226471">
        <w:t>se considera la</w:t>
      </w:r>
      <w:r w:rsidRPr="00A3588E">
        <w:t xml:space="preserve"> asistencia técnica de primera línea.</w:t>
      </w:r>
    </w:p>
    <w:p w14:paraId="21C57352" w14:textId="057F28CF" w:rsidR="00A3588E" w:rsidRPr="00A3588E" w:rsidRDefault="00A3588E" w:rsidP="00A3588E">
      <w:pPr>
        <w:pStyle w:val="IFTnormal"/>
        <w:numPr>
          <w:ilvl w:val="0"/>
          <w:numId w:val="18"/>
        </w:numPr>
        <w:spacing w:after="0"/>
      </w:pPr>
      <w:r w:rsidRPr="00A3588E">
        <w:rPr>
          <w:b/>
        </w:rPr>
        <w:t>Gastos generales y administrativos:</w:t>
      </w:r>
      <w:r w:rsidRPr="00A3588E">
        <w:t xml:space="preserve"> </w:t>
      </w:r>
      <w:r w:rsidR="00226471" w:rsidRPr="003D3A12">
        <w:t>considera</w:t>
      </w:r>
      <w:r w:rsidRPr="00A3588E">
        <w:t xml:space="preserve"> los gastos de personal (salarios y participación en las utilidades) y los asociados al uso de espacio para oficina</w:t>
      </w:r>
      <w:r w:rsidR="00783704">
        <w:t>.</w:t>
      </w:r>
    </w:p>
    <w:p w14:paraId="2EE5D86C" w14:textId="2BE95556" w:rsidR="00A3588E" w:rsidRPr="00A3588E" w:rsidRDefault="00A3588E" w:rsidP="00A3588E">
      <w:pPr>
        <w:pStyle w:val="Tablecells"/>
        <w:numPr>
          <w:ilvl w:val="0"/>
          <w:numId w:val="17"/>
        </w:numPr>
        <w:spacing w:before="0" w:after="0" w:line="276" w:lineRule="auto"/>
        <w:jc w:val="both"/>
        <w:rPr>
          <w:rFonts w:ascii="ITC Avant Garde" w:hAnsi="ITC Avant Garde" w:cs="Arial"/>
          <w:sz w:val="22"/>
          <w:lang w:val="es-ES_tradnl"/>
        </w:rPr>
      </w:pPr>
      <w:r w:rsidRPr="00A3588E">
        <w:rPr>
          <w:rFonts w:ascii="ITC Avant Garde" w:hAnsi="ITC Avant Garde" w:cs="Arial"/>
          <w:b/>
          <w:sz w:val="22"/>
          <w:lang w:val="es-ES_tradnl"/>
        </w:rPr>
        <w:t>Margen de beneficios sobre costos evitados</w:t>
      </w:r>
      <w:r w:rsidRPr="00A3588E">
        <w:rPr>
          <w:rFonts w:ascii="ITC Avant Garde" w:hAnsi="ITC Avant Garde" w:cs="Arial"/>
          <w:sz w:val="22"/>
          <w:lang w:val="es-ES_tradnl"/>
        </w:rPr>
        <w:t>.</w:t>
      </w:r>
      <w:r w:rsidR="00EA7164">
        <w:rPr>
          <w:rFonts w:ascii="ITC Avant Garde" w:hAnsi="ITC Avant Garde" w:cs="Arial"/>
          <w:sz w:val="22"/>
          <w:lang w:val="es-ES_tradnl"/>
        </w:rPr>
        <w:t xml:space="preserve"> </w:t>
      </w:r>
      <w:r w:rsidR="00EA7164" w:rsidRPr="00EA7164">
        <w:rPr>
          <w:rFonts w:ascii="ITC Avant Garde" w:hAnsi="ITC Avant Garde" w:cs="Arial"/>
          <w:sz w:val="22"/>
          <w:lang w:val="es-ES_tradnl"/>
        </w:rPr>
        <w:t>Este margen representa la proporción de los beneficios que dicho operador puede razonablemente esperar al ofrecer sus servicios minoristas aplicados al conjunto de costos evitados</w:t>
      </w:r>
      <w:r w:rsidR="002544F8">
        <w:rPr>
          <w:rFonts w:ascii="ITC Avant Garde" w:hAnsi="ITC Avant Garde" w:cs="Arial"/>
          <w:sz w:val="22"/>
          <w:lang w:val="es-ES_tradnl"/>
        </w:rPr>
        <w:t>.</w:t>
      </w:r>
    </w:p>
    <w:p w14:paraId="73C7F42A" w14:textId="6E8367B1" w:rsidR="00A3588E" w:rsidRDefault="00A3588E" w:rsidP="004676C5">
      <w:pPr>
        <w:pStyle w:val="IFTnormal"/>
        <w:spacing w:before="240"/>
      </w:pPr>
      <w:r w:rsidRPr="00D6663F">
        <w:t xml:space="preserve">Como se describió </w:t>
      </w:r>
      <w:r w:rsidR="00002DF8">
        <w:t xml:space="preserve">en la sección </w:t>
      </w:r>
      <w:hyperlink w:anchor="_Metodología_para_definir" w:history="1">
        <w:r w:rsidR="00AD70FE" w:rsidRPr="008671E6">
          <w:rPr>
            <w:rStyle w:val="Hipervnculo"/>
            <w:color w:val="auto"/>
            <w:u w:val="none"/>
          </w:rPr>
          <w:t>3.3</w:t>
        </w:r>
      </w:hyperlink>
      <w:r w:rsidRPr="008671E6">
        <w:t xml:space="preserve"> lo</w:t>
      </w:r>
      <w:r w:rsidRPr="00D6663F">
        <w:t xml:space="preserve">s ingresos asociados a los servicios </w:t>
      </w:r>
      <w:r w:rsidR="00912727">
        <w:t>STAR</w:t>
      </w:r>
      <w:r w:rsidRPr="00D6663F">
        <w:t xml:space="preserve"> que se incluyen en planes y paquetes </w:t>
      </w:r>
      <w:r w:rsidR="00912727">
        <w:t>del APSM</w:t>
      </w:r>
      <w:r w:rsidRPr="00D6663F">
        <w:t xml:space="preserve"> mediante los cuales ofrece</w:t>
      </w:r>
      <w:r w:rsidR="003664D9">
        <w:t>n</w:t>
      </w:r>
      <w:r w:rsidRPr="00D6663F">
        <w:t xml:space="preserve"> servicio de en el mercado minorista, se calculan a través de los precios implícitos de estos.</w:t>
      </w:r>
    </w:p>
    <w:p w14:paraId="16CBCE92" w14:textId="5576F626" w:rsidR="00F311E7" w:rsidRDefault="00F311E7" w:rsidP="00F311E7">
      <w:pPr>
        <w:pStyle w:val="IFTnormal"/>
      </w:pPr>
      <w:r w:rsidRPr="00F311E7">
        <w:t xml:space="preserve">A partir de estos ingresos, los conceptos de costos evitados correspondientes a los elementos o servicios que se incluyen en los planes y paquetes </w:t>
      </w:r>
      <w:r w:rsidR="00912727">
        <w:t>del APSM</w:t>
      </w:r>
      <w:r w:rsidRPr="00F311E7">
        <w:t xml:space="preserve"> se representan </w:t>
      </w:r>
      <w:r w:rsidR="00EA7164">
        <w:t xml:space="preserve">de manera puntual </w:t>
      </w:r>
      <w:r w:rsidRPr="00F311E7">
        <w:t xml:space="preserve">como </w:t>
      </w:r>
      <w:r w:rsidR="00EA7164">
        <w:t>sigue</w:t>
      </w:r>
      <w:r w:rsidRPr="00F311E7">
        <w:t>:</w:t>
      </w:r>
    </w:p>
    <w:p w14:paraId="1B9E8E6F" w14:textId="2A24DB63" w:rsidR="00891A59" w:rsidRDefault="00891A59" w:rsidP="004676C5">
      <w:pPr>
        <w:pStyle w:val="Ttulo3"/>
        <w:numPr>
          <w:ilvl w:val="2"/>
          <w:numId w:val="7"/>
        </w:numPr>
        <w:spacing w:after="240"/>
        <w:ind w:left="851" w:hanging="789"/>
        <w:rPr>
          <w:rStyle w:val="IFTnormalCar"/>
          <w:b/>
          <w:color w:val="auto"/>
          <w:sz w:val="22"/>
        </w:rPr>
      </w:pPr>
      <w:bookmarkStart w:id="34" w:name="_Toc114513060"/>
      <w:r w:rsidRPr="00891A59">
        <w:rPr>
          <w:rStyle w:val="IFTnormalCar"/>
          <w:b/>
          <w:color w:val="auto"/>
          <w:sz w:val="22"/>
        </w:rPr>
        <w:lastRenderedPageBreak/>
        <w:t xml:space="preserve"> </w:t>
      </w:r>
      <w:bookmarkStart w:id="35" w:name="_Toc180491378"/>
      <w:r w:rsidRPr="007C4739">
        <w:rPr>
          <w:rStyle w:val="IFTnormalCar"/>
          <w:b/>
          <w:color w:val="auto"/>
          <w:sz w:val="22"/>
        </w:rPr>
        <w:t>Churn Rate</w:t>
      </w:r>
      <w:bookmarkEnd w:id="35"/>
    </w:p>
    <w:tbl>
      <w:tblPr>
        <w:tblStyle w:val="Tablaconcuadrcula1clara"/>
        <w:tblpPr w:leftFromText="141" w:rightFromText="141" w:vertAnchor="text" w:horzAnchor="margin" w:tblpXSpec="center" w:tblpY="167"/>
        <w:tblW w:w="3931" w:type="pct"/>
        <w:tblLook w:val="0420" w:firstRow="1" w:lastRow="0" w:firstColumn="0" w:lastColumn="0" w:noHBand="0" w:noVBand="1"/>
      </w:tblPr>
      <w:tblGrid>
        <w:gridCol w:w="3344"/>
        <w:gridCol w:w="3597"/>
      </w:tblGrid>
      <w:tr w:rsidR="008F26C5" w:rsidRPr="00F311E7" w14:paraId="61365387" w14:textId="77777777" w:rsidTr="008F26C5">
        <w:trPr>
          <w:cnfStyle w:val="100000000000" w:firstRow="1" w:lastRow="0" w:firstColumn="0" w:lastColumn="0" w:oddVBand="0" w:evenVBand="0" w:oddHBand="0" w:evenHBand="0" w:firstRowFirstColumn="0" w:firstRowLastColumn="0" w:lastRowFirstColumn="0" w:lastRowLastColumn="0"/>
          <w:trHeight w:val="70"/>
          <w:tblHeader/>
        </w:trPr>
        <w:tc>
          <w:tcPr>
            <w:tcW w:w="2409" w:type="pct"/>
            <w:shd w:val="clear" w:color="auto" w:fill="E7E6E6" w:themeFill="background2"/>
          </w:tcPr>
          <w:p w14:paraId="53B19919" w14:textId="77777777" w:rsidR="008F26C5" w:rsidRPr="00F311E7" w:rsidRDefault="008F26C5" w:rsidP="008F26C5">
            <w:pPr>
              <w:pStyle w:val="Tableheading"/>
              <w:spacing w:before="0" w:after="0" w:line="276" w:lineRule="auto"/>
              <w:rPr>
                <w:rFonts w:ascii="ITC Avant Garde" w:hAnsi="ITC Avant Garde" w:cs="Arial"/>
                <w:b/>
                <w:color w:val="000000" w:themeColor="text1"/>
                <w:sz w:val="20"/>
                <w:lang w:val="es-ES_tradnl"/>
              </w:rPr>
            </w:pPr>
            <w:r>
              <w:rPr>
                <w:rFonts w:ascii="ITC Avant Garde" w:hAnsi="ITC Avant Garde" w:cs="Arial"/>
                <w:b/>
                <w:color w:val="000000" w:themeColor="text1"/>
                <w:sz w:val="20"/>
                <w:lang w:val="es-ES_tradnl"/>
              </w:rPr>
              <w:t>Valor propuesto</w:t>
            </w:r>
          </w:p>
        </w:tc>
        <w:tc>
          <w:tcPr>
            <w:tcW w:w="2591" w:type="pct"/>
            <w:shd w:val="clear" w:color="auto" w:fill="E7E6E6" w:themeFill="background2"/>
          </w:tcPr>
          <w:p w14:paraId="5F4B277A" w14:textId="77777777" w:rsidR="008F26C5" w:rsidRDefault="008F26C5" w:rsidP="008F26C5">
            <w:pPr>
              <w:pStyle w:val="Tableheading"/>
              <w:spacing w:before="0" w:after="0" w:line="276" w:lineRule="auto"/>
              <w:rPr>
                <w:rFonts w:ascii="ITC Avant Garde" w:hAnsi="ITC Avant Garde" w:cs="Arial"/>
                <w:b/>
                <w:color w:val="000000" w:themeColor="text1"/>
                <w:sz w:val="20"/>
                <w:lang w:val="es-ES_tradnl"/>
              </w:rPr>
            </w:pPr>
            <w:r w:rsidRPr="00F311E7">
              <w:rPr>
                <w:rFonts w:ascii="ITC Avant Garde" w:hAnsi="ITC Avant Garde" w:cs="Arial"/>
                <w:b/>
                <w:color w:val="000000" w:themeColor="text1"/>
                <w:sz w:val="20"/>
                <w:lang w:val="es-ES_tradnl"/>
              </w:rPr>
              <w:t>Enfoque de estimación</w:t>
            </w:r>
            <w:r>
              <w:rPr>
                <w:rFonts w:ascii="ITC Avant Garde" w:hAnsi="ITC Avant Garde" w:cs="Arial"/>
                <w:b/>
                <w:color w:val="000000" w:themeColor="text1"/>
                <w:sz w:val="20"/>
                <w:lang w:val="es-ES_tradnl"/>
              </w:rPr>
              <w:t xml:space="preserve"> </w:t>
            </w:r>
          </w:p>
        </w:tc>
      </w:tr>
      <w:tr w:rsidR="008F26C5" w:rsidRPr="00F311E7" w14:paraId="1BC20E47" w14:textId="77777777" w:rsidTr="008F26C5">
        <w:trPr>
          <w:trHeight w:val="298"/>
        </w:trPr>
        <w:tc>
          <w:tcPr>
            <w:tcW w:w="2409" w:type="pct"/>
            <w:vAlign w:val="center"/>
          </w:tcPr>
          <w:p w14:paraId="7C2F4492" w14:textId="77777777" w:rsidR="008F26C5" w:rsidRDefault="008F26C5" w:rsidP="008F26C5">
            <w:pPr>
              <w:pStyle w:val="Tablecells"/>
              <w:spacing w:before="0" w:after="0" w:line="276" w:lineRule="auto"/>
              <w:ind w:right="-18"/>
              <w:jc w:val="center"/>
              <w:rPr>
                <w:rFonts w:ascii="ITC Avant Garde" w:hAnsi="ITC Avant Garde" w:cs="Arial"/>
                <w:sz w:val="20"/>
                <w:lang w:val="es-MX"/>
              </w:rPr>
            </w:pPr>
            <w:r>
              <w:rPr>
                <w:rFonts w:ascii="ITC Avant Garde" w:hAnsi="ITC Avant Garde" w:cs="Arial"/>
                <w:sz w:val="20"/>
                <w:lang w:val="es-MX"/>
              </w:rPr>
              <w:t>2.13%</w:t>
            </w:r>
          </w:p>
          <w:p w14:paraId="3C668FC6" w14:textId="77777777" w:rsidR="008F26C5" w:rsidRPr="004676C5" w:rsidRDefault="008F26C5" w:rsidP="008F26C5">
            <w:pPr>
              <w:pStyle w:val="Tablecells"/>
              <w:spacing w:before="0" w:after="0" w:line="276" w:lineRule="auto"/>
              <w:ind w:right="-18"/>
              <w:jc w:val="center"/>
              <w:rPr>
                <w:rFonts w:ascii="ITC Avant Garde" w:hAnsi="ITC Avant Garde" w:cs="Arial"/>
                <w:sz w:val="20"/>
                <w:lang w:val="es-MX"/>
              </w:rPr>
            </w:pPr>
          </w:p>
        </w:tc>
        <w:tc>
          <w:tcPr>
            <w:tcW w:w="2591" w:type="pct"/>
            <w:vAlign w:val="center"/>
          </w:tcPr>
          <w:p w14:paraId="45A666C9" w14:textId="77777777" w:rsidR="008F26C5" w:rsidRDefault="008F26C5" w:rsidP="008F26C5">
            <w:pPr>
              <w:pStyle w:val="Tablecells"/>
              <w:spacing w:before="0" w:after="0" w:line="276" w:lineRule="auto"/>
              <w:rPr>
                <w:rFonts w:ascii="ITC Avant Garde" w:hAnsi="ITC Avant Garde" w:cs="Arial"/>
                <w:sz w:val="20"/>
                <w:lang w:val="es-ES_tradnl"/>
              </w:rPr>
            </w:pPr>
            <w:r w:rsidRPr="00DE7685">
              <w:rPr>
                <w:rFonts w:ascii="ITC Avant Garde" w:hAnsi="ITC Avant Garde" w:cs="Arial"/>
                <w:sz w:val="20"/>
                <w:lang w:val="es-ES_tradnl"/>
              </w:rPr>
              <w:t>Tasa de desconexión mensual promedio para servicios de cable 2021-2023. Disponible en el informe anual 2023 de Megacable.</w:t>
            </w:r>
          </w:p>
        </w:tc>
      </w:tr>
    </w:tbl>
    <w:p w14:paraId="79BFF0B7" w14:textId="77777777" w:rsidR="00891A59" w:rsidRDefault="00891A59" w:rsidP="00891A59"/>
    <w:p w14:paraId="13D51551" w14:textId="77777777" w:rsidR="00891A59" w:rsidRDefault="00891A59" w:rsidP="00891A59"/>
    <w:p w14:paraId="69354DB0" w14:textId="302B67AA" w:rsidR="00891A59" w:rsidRDefault="00891A59" w:rsidP="00891A59">
      <w:pPr>
        <w:pStyle w:val="IFTnormal"/>
        <w:numPr>
          <w:ilvl w:val="0"/>
          <w:numId w:val="59"/>
        </w:numPr>
        <w:tabs>
          <w:tab w:val="left" w:pos="1134"/>
        </w:tabs>
        <w:ind w:left="142" w:hanging="142"/>
        <w:rPr>
          <w:b/>
          <w:bCs w:val="0"/>
          <w:sz w:val="17"/>
          <w:szCs w:val="17"/>
        </w:rPr>
      </w:pPr>
      <w:r>
        <w:rPr>
          <w:sz w:val="20"/>
          <w:szCs w:val="20"/>
        </w:rPr>
        <w:t>Churn rate.</w:t>
      </w:r>
    </w:p>
    <w:p w14:paraId="381F2CD6" w14:textId="1F12499B" w:rsidR="001A539A" w:rsidRDefault="007D765F" w:rsidP="004676C5">
      <w:pPr>
        <w:pStyle w:val="Ttulo3"/>
        <w:numPr>
          <w:ilvl w:val="2"/>
          <w:numId w:val="7"/>
        </w:numPr>
        <w:spacing w:after="240"/>
        <w:ind w:left="851" w:hanging="789"/>
        <w:rPr>
          <w:rFonts w:ascii="ITC Avant Garde" w:hAnsi="ITC Avant Garde"/>
          <w:b/>
          <w:color w:val="auto"/>
          <w:sz w:val="22"/>
        </w:rPr>
      </w:pPr>
      <w:bookmarkStart w:id="36" w:name="_Toc180491379"/>
      <w:r w:rsidRPr="000F5F7A">
        <w:rPr>
          <w:rStyle w:val="IFTnormalCar"/>
          <w:b/>
          <w:color w:val="auto"/>
          <w:sz w:val="22"/>
        </w:rPr>
        <w:t>Facturación</w:t>
      </w:r>
      <w:r w:rsidR="00BB5901" w:rsidRPr="000F5F7A">
        <w:rPr>
          <w:rFonts w:ascii="ITC Avant Garde" w:hAnsi="ITC Avant Garde"/>
          <w:b/>
          <w:color w:val="auto"/>
          <w:sz w:val="22"/>
        </w:rPr>
        <w:t xml:space="preserve"> (incluyendo el sistema de facturación a usuarios finales minoristas)</w:t>
      </w:r>
      <w:bookmarkEnd w:id="34"/>
      <w:bookmarkEnd w:id="36"/>
      <w:r w:rsidR="000605BE" w:rsidRPr="000F5F7A" w:rsidDel="000605BE">
        <w:rPr>
          <w:rFonts w:ascii="ITC Avant Garde" w:hAnsi="ITC Avant Garde"/>
          <w:b/>
          <w:color w:val="auto"/>
          <w:sz w:val="22"/>
        </w:rPr>
        <w:t xml:space="preserve"> </w:t>
      </w:r>
    </w:p>
    <w:tbl>
      <w:tblPr>
        <w:tblStyle w:val="Tablaconcuadrcula1clara"/>
        <w:tblpPr w:leftFromText="141" w:rightFromText="141" w:vertAnchor="text" w:horzAnchor="margin" w:tblpXSpec="center" w:tblpY="44"/>
        <w:tblW w:w="2729" w:type="pct"/>
        <w:tblLook w:val="0420" w:firstRow="1" w:lastRow="0" w:firstColumn="0" w:lastColumn="0" w:noHBand="0" w:noVBand="1"/>
      </w:tblPr>
      <w:tblGrid>
        <w:gridCol w:w="4818"/>
      </w:tblGrid>
      <w:tr w:rsidR="008F26C5" w:rsidRPr="00F311E7" w14:paraId="00B16ACE" w14:textId="77777777" w:rsidTr="008F26C5">
        <w:trPr>
          <w:cnfStyle w:val="100000000000" w:firstRow="1" w:lastRow="0" w:firstColumn="0" w:lastColumn="0" w:oddVBand="0" w:evenVBand="0" w:oddHBand="0" w:evenHBand="0" w:firstRowFirstColumn="0" w:firstRowLastColumn="0" w:lastRowFirstColumn="0" w:lastRowLastColumn="0"/>
          <w:trHeight w:val="70"/>
          <w:tblHeader/>
        </w:trPr>
        <w:tc>
          <w:tcPr>
            <w:tcW w:w="5000" w:type="pct"/>
            <w:shd w:val="clear" w:color="auto" w:fill="E7E6E6" w:themeFill="background2"/>
          </w:tcPr>
          <w:p w14:paraId="1815357B" w14:textId="77777777" w:rsidR="008F26C5" w:rsidRDefault="008F26C5" w:rsidP="008F26C5">
            <w:pPr>
              <w:pStyle w:val="Tableheading"/>
              <w:spacing w:before="0" w:after="0" w:line="276" w:lineRule="auto"/>
              <w:rPr>
                <w:rFonts w:ascii="ITC Avant Garde" w:hAnsi="ITC Avant Garde" w:cs="Arial"/>
                <w:b/>
                <w:color w:val="000000" w:themeColor="text1"/>
                <w:sz w:val="20"/>
                <w:lang w:val="es-ES_tradnl"/>
              </w:rPr>
            </w:pPr>
            <w:r w:rsidRPr="00F311E7">
              <w:rPr>
                <w:rFonts w:ascii="ITC Avant Garde" w:hAnsi="ITC Avant Garde" w:cs="Arial"/>
                <w:b/>
                <w:color w:val="000000" w:themeColor="text1"/>
                <w:sz w:val="20"/>
                <w:lang w:val="es-ES_tradnl"/>
              </w:rPr>
              <w:t>Enfoque de estimación</w:t>
            </w:r>
            <w:r>
              <w:rPr>
                <w:rFonts w:ascii="ITC Avant Garde" w:hAnsi="ITC Avant Garde" w:cs="Arial"/>
                <w:b/>
                <w:color w:val="000000" w:themeColor="text1"/>
                <w:sz w:val="20"/>
                <w:lang w:val="es-ES_tradnl"/>
              </w:rPr>
              <w:t xml:space="preserve"> </w:t>
            </w:r>
          </w:p>
        </w:tc>
      </w:tr>
      <w:tr w:rsidR="008F26C5" w:rsidRPr="00F311E7" w14:paraId="0FF5DDEB" w14:textId="77777777" w:rsidTr="008F26C5">
        <w:trPr>
          <w:trHeight w:val="298"/>
        </w:trPr>
        <w:tc>
          <w:tcPr>
            <w:tcW w:w="5000" w:type="pct"/>
            <w:vAlign w:val="center"/>
          </w:tcPr>
          <w:p w14:paraId="315B2060" w14:textId="77777777" w:rsidR="008F26C5" w:rsidRDefault="008F26C5" w:rsidP="008F26C5">
            <w:pPr>
              <w:pStyle w:val="Tablecells"/>
              <w:spacing w:before="0" w:after="0" w:line="276" w:lineRule="auto"/>
              <w:rPr>
                <w:rFonts w:ascii="ITC Avant Garde" w:hAnsi="ITC Avant Garde" w:cs="Arial"/>
                <w:sz w:val="20"/>
                <w:lang w:val="es-ES_tradnl"/>
              </w:rPr>
            </w:pPr>
            <w:r>
              <w:rPr>
                <w:rFonts w:ascii="ITC Avant Garde" w:hAnsi="ITC Avant Garde" w:cs="Arial"/>
                <w:sz w:val="20"/>
                <w:lang w:val="es-ES_tradnl"/>
              </w:rPr>
              <w:t>Separación contable. Promedio 2021-2022, a partir de datos de costos de facturación respecto a los ingresos operacionales.</w:t>
            </w:r>
          </w:p>
        </w:tc>
      </w:tr>
    </w:tbl>
    <w:p w14:paraId="2CC605E8" w14:textId="77777777" w:rsidR="00891A59" w:rsidRPr="007C4739" w:rsidRDefault="00891A59" w:rsidP="00BE66BD"/>
    <w:p w14:paraId="342C3001" w14:textId="54D26358" w:rsidR="00F628D0" w:rsidRDefault="00F628D0" w:rsidP="00F628D0">
      <w:pPr>
        <w:pStyle w:val="IFTnormal"/>
        <w:numPr>
          <w:ilvl w:val="0"/>
          <w:numId w:val="59"/>
        </w:numPr>
        <w:tabs>
          <w:tab w:val="left" w:pos="1134"/>
        </w:tabs>
        <w:ind w:left="142" w:hanging="142"/>
        <w:rPr>
          <w:b/>
          <w:bCs w:val="0"/>
          <w:sz w:val="17"/>
          <w:szCs w:val="17"/>
        </w:rPr>
      </w:pPr>
      <w:bookmarkStart w:id="37" w:name="_Toc114513061"/>
      <w:r>
        <w:rPr>
          <w:sz w:val="20"/>
          <w:szCs w:val="20"/>
        </w:rPr>
        <w:t>Facturación.</w:t>
      </w:r>
    </w:p>
    <w:p w14:paraId="61D7B0D6" w14:textId="18E98AE2" w:rsidR="00BB5901" w:rsidRPr="000F5F7A" w:rsidRDefault="00BB5901" w:rsidP="004676C5">
      <w:pPr>
        <w:pStyle w:val="Ttulo3"/>
        <w:numPr>
          <w:ilvl w:val="2"/>
          <w:numId w:val="7"/>
        </w:numPr>
        <w:spacing w:before="240" w:after="240"/>
        <w:ind w:left="850" w:hanging="788"/>
        <w:rPr>
          <w:rStyle w:val="IFTnormalCar"/>
          <w:b/>
          <w:color w:val="auto"/>
          <w:sz w:val="22"/>
        </w:rPr>
      </w:pPr>
      <w:bookmarkStart w:id="38" w:name="_Toc180491380"/>
      <w:r w:rsidRPr="000F5F7A">
        <w:rPr>
          <w:rStyle w:val="IFTnormalCar"/>
          <w:b/>
          <w:color w:val="auto"/>
          <w:sz w:val="22"/>
        </w:rPr>
        <w:t>Deuda incobrable</w:t>
      </w:r>
      <w:bookmarkEnd w:id="37"/>
      <w:bookmarkEnd w:id="38"/>
    </w:p>
    <w:tbl>
      <w:tblPr>
        <w:tblStyle w:val="Tablaconcuadrcula1clara"/>
        <w:tblW w:w="2729" w:type="pct"/>
        <w:jc w:val="center"/>
        <w:tblLook w:val="0420" w:firstRow="1" w:lastRow="0" w:firstColumn="0" w:lastColumn="0" w:noHBand="0" w:noVBand="1"/>
      </w:tblPr>
      <w:tblGrid>
        <w:gridCol w:w="4818"/>
      </w:tblGrid>
      <w:tr w:rsidR="00DE7685" w:rsidRPr="00F311E7" w14:paraId="2C05D626" w14:textId="77777777" w:rsidTr="007C4739">
        <w:trPr>
          <w:cnfStyle w:val="100000000000" w:firstRow="1" w:lastRow="0" w:firstColumn="0" w:lastColumn="0" w:oddVBand="0" w:evenVBand="0" w:oddHBand="0" w:evenHBand="0" w:firstRowFirstColumn="0" w:firstRowLastColumn="0" w:lastRowFirstColumn="0" w:lastRowLastColumn="0"/>
          <w:trHeight w:val="70"/>
          <w:tblHeader/>
          <w:jc w:val="center"/>
        </w:trPr>
        <w:tc>
          <w:tcPr>
            <w:tcW w:w="5000" w:type="pct"/>
            <w:shd w:val="clear" w:color="auto" w:fill="E7E6E6" w:themeFill="background2"/>
          </w:tcPr>
          <w:p w14:paraId="3F73EC7F" w14:textId="652A3F9E" w:rsidR="00DE7685" w:rsidRDefault="00DE7685" w:rsidP="00DE7685">
            <w:pPr>
              <w:pStyle w:val="Tableheading"/>
              <w:spacing w:before="0" w:after="0" w:line="276" w:lineRule="auto"/>
              <w:rPr>
                <w:rFonts w:ascii="ITC Avant Garde" w:hAnsi="ITC Avant Garde" w:cs="Arial"/>
                <w:b/>
                <w:color w:val="000000" w:themeColor="text1"/>
                <w:sz w:val="20"/>
                <w:lang w:val="es-ES_tradnl"/>
              </w:rPr>
            </w:pPr>
            <w:r w:rsidRPr="00F311E7">
              <w:rPr>
                <w:rFonts w:ascii="ITC Avant Garde" w:hAnsi="ITC Avant Garde" w:cs="Arial"/>
                <w:b/>
                <w:color w:val="000000" w:themeColor="text1"/>
                <w:sz w:val="20"/>
                <w:lang w:val="es-ES_tradnl"/>
              </w:rPr>
              <w:t>Enfoque de estimación</w:t>
            </w:r>
            <w:r>
              <w:rPr>
                <w:rFonts w:ascii="ITC Avant Garde" w:hAnsi="ITC Avant Garde" w:cs="Arial"/>
                <w:b/>
                <w:color w:val="000000" w:themeColor="text1"/>
                <w:sz w:val="20"/>
                <w:lang w:val="es-ES_tradnl"/>
              </w:rPr>
              <w:t xml:space="preserve"> </w:t>
            </w:r>
          </w:p>
        </w:tc>
      </w:tr>
      <w:tr w:rsidR="00DE7685" w:rsidRPr="00F311E7" w14:paraId="4056BDEE" w14:textId="77777777" w:rsidTr="007C4739">
        <w:trPr>
          <w:trHeight w:val="298"/>
          <w:jc w:val="center"/>
        </w:trPr>
        <w:tc>
          <w:tcPr>
            <w:tcW w:w="5000" w:type="pct"/>
            <w:vAlign w:val="center"/>
          </w:tcPr>
          <w:p w14:paraId="03D8901A" w14:textId="14890201" w:rsidR="00DE7685" w:rsidRDefault="00DE7685" w:rsidP="0091709C">
            <w:pPr>
              <w:pStyle w:val="Tablecells"/>
              <w:spacing w:before="0" w:after="0" w:line="276" w:lineRule="auto"/>
              <w:rPr>
                <w:rFonts w:ascii="ITC Avant Garde" w:hAnsi="ITC Avant Garde" w:cs="Arial"/>
                <w:sz w:val="20"/>
                <w:lang w:val="es-ES_tradnl"/>
              </w:rPr>
            </w:pPr>
            <w:r>
              <w:rPr>
                <w:rFonts w:ascii="ITC Avant Garde" w:hAnsi="ITC Avant Garde" w:cs="Arial"/>
                <w:sz w:val="20"/>
                <w:lang w:val="es-ES_tradnl"/>
              </w:rPr>
              <w:t xml:space="preserve">Separación Contable. </w:t>
            </w:r>
            <w:r w:rsidRPr="00DE7685">
              <w:rPr>
                <w:rFonts w:ascii="ITC Avant Garde" w:hAnsi="ITC Avant Garde" w:cs="Arial"/>
                <w:sz w:val="20"/>
                <w:lang w:val="es-ES_tradnl"/>
              </w:rPr>
              <w:t>Promedio 2021-2022, a partir de datos de deuda incobrable respecto de los ingresos operativos STAR.</w:t>
            </w:r>
          </w:p>
        </w:tc>
      </w:tr>
    </w:tbl>
    <w:p w14:paraId="0FAB14FC" w14:textId="339749B6" w:rsidR="00F628D0" w:rsidRDefault="00F628D0" w:rsidP="00F628D0">
      <w:pPr>
        <w:pStyle w:val="IFTnormal"/>
        <w:numPr>
          <w:ilvl w:val="0"/>
          <w:numId w:val="59"/>
        </w:numPr>
        <w:tabs>
          <w:tab w:val="left" w:pos="1134"/>
        </w:tabs>
        <w:ind w:left="142" w:hanging="142"/>
        <w:rPr>
          <w:b/>
          <w:bCs w:val="0"/>
          <w:sz w:val="17"/>
          <w:szCs w:val="17"/>
        </w:rPr>
      </w:pPr>
      <w:bookmarkStart w:id="39" w:name="_Toc114513062"/>
      <w:r>
        <w:rPr>
          <w:sz w:val="20"/>
          <w:szCs w:val="20"/>
        </w:rPr>
        <w:t>Deuda incobrable.</w:t>
      </w:r>
    </w:p>
    <w:p w14:paraId="0C132F10" w14:textId="2A003D5C" w:rsidR="0091709C" w:rsidRPr="000F5F7A" w:rsidRDefault="0091709C" w:rsidP="004676C5">
      <w:pPr>
        <w:pStyle w:val="Ttulo3"/>
        <w:numPr>
          <w:ilvl w:val="2"/>
          <w:numId w:val="7"/>
        </w:numPr>
        <w:spacing w:before="240" w:after="240"/>
        <w:ind w:left="850" w:hanging="788"/>
        <w:rPr>
          <w:rStyle w:val="IFTnormalCar"/>
          <w:b/>
          <w:color w:val="auto"/>
          <w:sz w:val="22"/>
        </w:rPr>
      </w:pPr>
      <w:bookmarkStart w:id="40" w:name="_Toc180491381"/>
      <w:r w:rsidRPr="000F5F7A">
        <w:rPr>
          <w:rStyle w:val="IFTnormalCar"/>
          <w:b/>
          <w:color w:val="auto"/>
          <w:sz w:val="22"/>
        </w:rPr>
        <w:t>Mercadotecnia y publicidad</w:t>
      </w:r>
      <w:bookmarkEnd w:id="39"/>
      <w:bookmarkEnd w:id="40"/>
    </w:p>
    <w:tbl>
      <w:tblPr>
        <w:tblStyle w:val="Tablaconcuadrcula1clara"/>
        <w:tblW w:w="2729" w:type="pct"/>
        <w:jc w:val="center"/>
        <w:tblLook w:val="0420" w:firstRow="1" w:lastRow="0" w:firstColumn="0" w:lastColumn="0" w:noHBand="0" w:noVBand="1"/>
      </w:tblPr>
      <w:tblGrid>
        <w:gridCol w:w="4818"/>
      </w:tblGrid>
      <w:tr w:rsidR="00DE7685" w:rsidRPr="00F311E7" w14:paraId="28E3EB53" w14:textId="77777777" w:rsidTr="007C4739">
        <w:trPr>
          <w:cnfStyle w:val="100000000000" w:firstRow="1" w:lastRow="0" w:firstColumn="0" w:lastColumn="0" w:oddVBand="0" w:evenVBand="0" w:oddHBand="0" w:evenHBand="0" w:firstRowFirstColumn="0" w:firstRowLastColumn="0" w:lastRowFirstColumn="0" w:lastRowLastColumn="0"/>
          <w:trHeight w:val="70"/>
          <w:tblHeader/>
          <w:jc w:val="center"/>
        </w:trPr>
        <w:tc>
          <w:tcPr>
            <w:tcW w:w="5000" w:type="pct"/>
            <w:shd w:val="clear" w:color="auto" w:fill="E7E6E6" w:themeFill="background2"/>
          </w:tcPr>
          <w:p w14:paraId="61F5AC68" w14:textId="77777777" w:rsidR="00DE7685" w:rsidRDefault="00DE7685" w:rsidP="00EB76D8">
            <w:pPr>
              <w:pStyle w:val="Tableheading"/>
              <w:spacing w:before="0" w:after="0" w:line="276" w:lineRule="auto"/>
              <w:rPr>
                <w:rFonts w:ascii="ITC Avant Garde" w:hAnsi="ITC Avant Garde" w:cs="Arial"/>
                <w:b/>
                <w:color w:val="000000" w:themeColor="text1"/>
                <w:sz w:val="20"/>
                <w:lang w:val="es-ES_tradnl"/>
              </w:rPr>
            </w:pPr>
            <w:r w:rsidRPr="00F311E7">
              <w:rPr>
                <w:rFonts w:ascii="ITC Avant Garde" w:hAnsi="ITC Avant Garde" w:cs="Arial"/>
                <w:b/>
                <w:color w:val="000000" w:themeColor="text1"/>
                <w:sz w:val="20"/>
                <w:lang w:val="es-ES_tradnl"/>
              </w:rPr>
              <w:t>Enfoque de estimación</w:t>
            </w:r>
            <w:r>
              <w:rPr>
                <w:rFonts w:ascii="ITC Avant Garde" w:hAnsi="ITC Avant Garde" w:cs="Arial"/>
                <w:b/>
                <w:color w:val="000000" w:themeColor="text1"/>
                <w:sz w:val="20"/>
                <w:lang w:val="es-ES_tradnl"/>
              </w:rPr>
              <w:t xml:space="preserve"> </w:t>
            </w:r>
          </w:p>
        </w:tc>
      </w:tr>
      <w:tr w:rsidR="00DE7685" w:rsidRPr="00F311E7" w14:paraId="4D90CCE5" w14:textId="77777777" w:rsidTr="007C4739">
        <w:trPr>
          <w:trHeight w:val="298"/>
          <w:jc w:val="center"/>
        </w:trPr>
        <w:tc>
          <w:tcPr>
            <w:tcW w:w="5000" w:type="pct"/>
            <w:vAlign w:val="center"/>
          </w:tcPr>
          <w:p w14:paraId="63444826" w14:textId="06EDA809" w:rsidR="00DE7685" w:rsidRDefault="00C80836" w:rsidP="00EB76D8">
            <w:pPr>
              <w:pStyle w:val="Tablecells"/>
              <w:spacing w:before="0" w:after="0" w:line="276" w:lineRule="auto"/>
              <w:rPr>
                <w:rFonts w:ascii="ITC Avant Garde" w:hAnsi="ITC Avant Garde" w:cs="Arial"/>
                <w:sz w:val="20"/>
                <w:lang w:val="es-ES_tradnl"/>
              </w:rPr>
            </w:pPr>
            <w:r>
              <w:rPr>
                <w:rFonts w:ascii="ITC Avant Garde" w:hAnsi="ITC Avant Garde" w:cs="Arial"/>
                <w:sz w:val="20"/>
                <w:lang w:val="es-ES_tradnl"/>
              </w:rPr>
              <w:t xml:space="preserve">Separación Contable. </w:t>
            </w:r>
            <w:r w:rsidR="00DE7685" w:rsidRPr="00DE7685">
              <w:rPr>
                <w:rFonts w:ascii="ITC Avant Garde" w:hAnsi="ITC Avant Garde" w:cs="Arial"/>
                <w:sz w:val="20"/>
                <w:lang w:val="es-ES_tradnl"/>
              </w:rPr>
              <w:t xml:space="preserve">Promedio </w:t>
            </w:r>
            <w:r w:rsidR="00D00D1D" w:rsidRPr="00DE7685">
              <w:rPr>
                <w:rFonts w:ascii="ITC Avant Garde" w:hAnsi="ITC Avant Garde" w:cs="Arial"/>
                <w:sz w:val="20"/>
                <w:lang w:val="es-ES_tradnl"/>
              </w:rPr>
              <w:t>202</w:t>
            </w:r>
            <w:r w:rsidR="00D00D1D">
              <w:rPr>
                <w:rFonts w:ascii="ITC Avant Garde" w:hAnsi="ITC Avant Garde" w:cs="Arial"/>
                <w:sz w:val="20"/>
                <w:lang w:val="es-ES_tradnl"/>
              </w:rPr>
              <w:t>1</w:t>
            </w:r>
            <w:r w:rsidR="00DE7685" w:rsidRPr="00DE7685">
              <w:rPr>
                <w:rFonts w:ascii="ITC Avant Garde" w:hAnsi="ITC Avant Garde" w:cs="Arial"/>
                <w:sz w:val="20"/>
                <w:lang w:val="es-ES_tradnl"/>
              </w:rPr>
              <w:t>-</w:t>
            </w:r>
            <w:r w:rsidR="00D00D1D" w:rsidRPr="00DE7685">
              <w:rPr>
                <w:rFonts w:ascii="ITC Avant Garde" w:hAnsi="ITC Avant Garde" w:cs="Arial"/>
                <w:sz w:val="20"/>
                <w:lang w:val="es-ES_tradnl"/>
              </w:rPr>
              <w:t>202</w:t>
            </w:r>
            <w:r w:rsidR="00D00D1D">
              <w:rPr>
                <w:rFonts w:ascii="ITC Avant Garde" w:hAnsi="ITC Avant Garde" w:cs="Arial"/>
                <w:sz w:val="20"/>
                <w:lang w:val="es-ES_tradnl"/>
              </w:rPr>
              <w:t>2</w:t>
            </w:r>
            <w:r w:rsidR="00DE7685" w:rsidRPr="00DE7685">
              <w:rPr>
                <w:rFonts w:ascii="ITC Avant Garde" w:hAnsi="ITC Avant Garde" w:cs="Arial"/>
                <w:sz w:val="20"/>
                <w:lang w:val="es-ES_tradnl"/>
              </w:rPr>
              <w:t xml:space="preserve"> del porcentaje de costos de publicidad respecto de ingresos operacionales del STAR. </w:t>
            </w:r>
          </w:p>
        </w:tc>
      </w:tr>
    </w:tbl>
    <w:p w14:paraId="4DF3A614" w14:textId="32F44D6B" w:rsidR="00F628D0" w:rsidRDefault="00F628D0" w:rsidP="00F628D0">
      <w:pPr>
        <w:pStyle w:val="IFTnormal"/>
        <w:numPr>
          <w:ilvl w:val="0"/>
          <w:numId w:val="59"/>
        </w:numPr>
        <w:tabs>
          <w:tab w:val="left" w:pos="1134"/>
        </w:tabs>
        <w:ind w:left="142" w:hanging="142"/>
        <w:rPr>
          <w:b/>
          <w:bCs w:val="0"/>
          <w:sz w:val="17"/>
          <w:szCs w:val="17"/>
        </w:rPr>
      </w:pPr>
      <w:r>
        <w:rPr>
          <w:sz w:val="20"/>
          <w:szCs w:val="20"/>
        </w:rPr>
        <w:t>Mercadotecnia y publicidad.</w:t>
      </w:r>
    </w:p>
    <w:p w14:paraId="50209BCA" w14:textId="20DAF406" w:rsidR="0091709C" w:rsidRPr="000F5F7A" w:rsidRDefault="00B30E82" w:rsidP="004676C5">
      <w:pPr>
        <w:pStyle w:val="Ttulo3"/>
        <w:numPr>
          <w:ilvl w:val="2"/>
          <w:numId w:val="7"/>
        </w:numPr>
        <w:spacing w:before="240" w:after="240"/>
        <w:ind w:left="850" w:hanging="788"/>
        <w:jc w:val="both"/>
        <w:rPr>
          <w:rStyle w:val="IFTnormalCar"/>
          <w:b/>
          <w:color w:val="auto"/>
          <w:sz w:val="22"/>
        </w:rPr>
      </w:pPr>
      <w:bookmarkStart w:id="41" w:name="_Toc114513063"/>
      <w:bookmarkStart w:id="42" w:name="_Toc180491382"/>
      <w:r w:rsidRPr="000F5F7A">
        <w:rPr>
          <w:rStyle w:val="IFTnormalCar"/>
          <w:b/>
          <w:color w:val="auto"/>
          <w:sz w:val="22"/>
        </w:rPr>
        <w:t xml:space="preserve">Servicio de atención </w:t>
      </w:r>
      <w:r w:rsidR="00F5401A" w:rsidRPr="000F5F7A">
        <w:rPr>
          <w:rStyle w:val="IFTnormalCar"/>
          <w:b/>
          <w:color w:val="auto"/>
          <w:sz w:val="22"/>
        </w:rPr>
        <w:t>al</w:t>
      </w:r>
      <w:r w:rsidRPr="000F5F7A">
        <w:rPr>
          <w:rStyle w:val="IFTnormalCar"/>
          <w:b/>
          <w:color w:val="auto"/>
          <w:sz w:val="22"/>
        </w:rPr>
        <w:t xml:space="preserve"> cliente (incluyendo asistencia técnica de primera línea</w:t>
      </w:r>
      <w:bookmarkEnd w:id="41"/>
      <w:bookmarkEnd w:id="42"/>
    </w:p>
    <w:tbl>
      <w:tblPr>
        <w:tblStyle w:val="Tablaconcuadrcula1clara"/>
        <w:tblW w:w="3931" w:type="pct"/>
        <w:jc w:val="center"/>
        <w:tblLook w:val="0420" w:firstRow="1" w:lastRow="0" w:firstColumn="0" w:lastColumn="0" w:noHBand="0" w:noVBand="1"/>
      </w:tblPr>
      <w:tblGrid>
        <w:gridCol w:w="2123"/>
        <w:gridCol w:w="4818"/>
      </w:tblGrid>
      <w:tr w:rsidR="00DE7685" w:rsidRPr="00F311E7" w14:paraId="3AF49C51" w14:textId="77777777" w:rsidTr="00DE7685">
        <w:trPr>
          <w:cnfStyle w:val="100000000000" w:firstRow="1" w:lastRow="0" w:firstColumn="0" w:lastColumn="0" w:oddVBand="0" w:evenVBand="0" w:oddHBand="0" w:evenHBand="0" w:firstRowFirstColumn="0" w:firstRowLastColumn="0" w:lastRowFirstColumn="0" w:lastRowLastColumn="0"/>
          <w:trHeight w:val="70"/>
          <w:tblHeader/>
          <w:jc w:val="center"/>
        </w:trPr>
        <w:tc>
          <w:tcPr>
            <w:tcW w:w="1529" w:type="pct"/>
            <w:shd w:val="clear" w:color="auto" w:fill="E7E6E6" w:themeFill="background2"/>
          </w:tcPr>
          <w:p w14:paraId="78B2E5C7" w14:textId="60B925A2" w:rsidR="00DE7685" w:rsidRPr="00F311E7" w:rsidRDefault="00DE7685" w:rsidP="00DE7685">
            <w:pPr>
              <w:pStyle w:val="Tableheading"/>
              <w:spacing w:before="0" w:after="0" w:line="276" w:lineRule="auto"/>
              <w:rPr>
                <w:rFonts w:ascii="ITC Avant Garde" w:hAnsi="ITC Avant Garde" w:cs="Arial"/>
                <w:b/>
                <w:color w:val="000000" w:themeColor="text1"/>
                <w:sz w:val="20"/>
                <w:lang w:val="es-ES_tradnl"/>
              </w:rPr>
            </w:pPr>
            <w:r>
              <w:rPr>
                <w:rFonts w:ascii="ITC Avant Garde" w:hAnsi="ITC Avant Garde" w:cs="Arial"/>
                <w:b/>
                <w:color w:val="000000" w:themeColor="text1"/>
                <w:sz w:val="20"/>
                <w:lang w:val="es-ES_tradnl"/>
              </w:rPr>
              <w:t>Valor propuesto</w:t>
            </w:r>
          </w:p>
        </w:tc>
        <w:tc>
          <w:tcPr>
            <w:tcW w:w="3471" w:type="pct"/>
            <w:shd w:val="clear" w:color="auto" w:fill="E7E6E6" w:themeFill="background2"/>
          </w:tcPr>
          <w:p w14:paraId="0225FE08" w14:textId="37945F27" w:rsidR="00DE7685" w:rsidRDefault="00DE7685" w:rsidP="00DE7685">
            <w:pPr>
              <w:pStyle w:val="Tableheading"/>
              <w:spacing w:before="0" w:after="0" w:line="276" w:lineRule="auto"/>
              <w:rPr>
                <w:rFonts w:ascii="ITC Avant Garde" w:hAnsi="ITC Avant Garde" w:cs="Arial"/>
                <w:b/>
                <w:color w:val="000000" w:themeColor="text1"/>
                <w:sz w:val="20"/>
                <w:lang w:val="es-ES_tradnl"/>
              </w:rPr>
            </w:pPr>
            <w:r w:rsidRPr="00F311E7">
              <w:rPr>
                <w:rFonts w:ascii="ITC Avant Garde" w:hAnsi="ITC Avant Garde" w:cs="Arial"/>
                <w:b/>
                <w:color w:val="000000" w:themeColor="text1"/>
                <w:sz w:val="20"/>
                <w:lang w:val="es-ES_tradnl"/>
              </w:rPr>
              <w:t>Enfoque de estimación</w:t>
            </w:r>
            <w:r>
              <w:rPr>
                <w:rFonts w:ascii="ITC Avant Garde" w:hAnsi="ITC Avant Garde" w:cs="Arial"/>
                <w:b/>
                <w:color w:val="000000" w:themeColor="text1"/>
                <w:sz w:val="20"/>
                <w:lang w:val="es-ES_tradnl"/>
              </w:rPr>
              <w:t xml:space="preserve"> </w:t>
            </w:r>
          </w:p>
        </w:tc>
      </w:tr>
      <w:tr w:rsidR="00DE7685" w:rsidRPr="00F311E7" w14:paraId="0E22D6C8" w14:textId="77777777" w:rsidTr="00DE7685">
        <w:trPr>
          <w:trHeight w:val="298"/>
          <w:jc w:val="center"/>
        </w:trPr>
        <w:tc>
          <w:tcPr>
            <w:tcW w:w="1529" w:type="pct"/>
            <w:vAlign w:val="center"/>
          </w:tcPr>
          <w:p w14:paraId="6A529522" w14:textId="3E7F54AC" w:rsidR="00DE7685" w:rsidRPr="004676C5" w:rsidRDefault="00DE7685" w:rsidP="004676C5">
            <w:pPr>
              <w:pStyle w:val="Tablecells"/>
              <w:spacing w:before="0" w:after="0" w:line="276" w:lineRule="auto"/>
              <w:ind w:right="-18"/>
              <w:rPr>
                <w:rFonts w:ascii="ITC Avant Garde" w:hAnsi="ITC Avant Garde" w:cs="Arial"/>
                <w:sz w:val="20"/>
                <w:lang w:val="es-ES_tradnl"/>
              </w:rPr>
            </w:pPr>
            <w:r w:rsidRPr="00F311E7">
              <w:rPr>
                <w:rFonts w:ascii="ITC Avant Garde" w:hAnsi="ITC Avant Garde" w:cs="Arial"/>
                <w:sz w:val="20"/>
                <w:lang w:val="es-ES_tradnl"/>
              </w:rPr>
              <w:t xml:space="preserve">Proporcional al número de personal necesario para atender a los suscriptores y el costo que </w:t>
            </w:r>
            <w:r w:rsidRPr="00F311E7">
              <w:rPr>
                <w:rFonts w:ascii="ITC Avant Garde" w:hAnsi="ITC Avant Garde" w:cs="Arial"/>
                <w:sz w:val="20"/>
                <w:lang w:val="es-ES_tradnl"/>
              </w:rPr>
              <w:lastRenderedPageBreak/>
              <w:t>representa cada empleado</w:t>
            </w:r>
            <w:r>
              <w:rPr>
                <w:rFonts w:ascii="ITC Avant Garde" w:hAnsi="ITC Avant Garde" w:cs="Arial"/>
                <w:sz w:val="20"/>
                <w:lang w:val="es-ES_tradnl"/>
              </w:rPr>
              <w:t>.</w:t>
            </w:r>
          </w:p>
        </w:tc>
        <w:tc>
          <w:tcPr>
            <w:tcW w:w="3471" w:type="pct"/>
            <w:vAlign w:val="center"/>
          </w:tcPr>
          <w:p w14:paraId="0825661C" w14:textId="5CF2F9C5" w:rsidR="00DE7685" w:rsidRDefault="00DE7685" w:rsidP="007443AB">
            <w:pPr>
              <w:pStyle w:val="Tablecells"/>
              <w:spacing w:before="0" w:after="0" w:line="276" w:lineRule="auto"/>
              <w:ind w:right="-18"/>
              <w:rPr>
                <w:rFonts w:ascii="ITC Avant Garde" w:hAnsi="ITC Avant Garde" w:cs="Arial"/>
                <w:sz w:val="20"/>
                <w:lang w:val="es-ES_tradnl"/>
              </w:rPr>
            </w:pPr>
            <w:r>
              <w:rPr>
                <w:rFonts w:ascii="ITC Avant Garde" w:hAnsi="ITC Avant Garde" w:cs="Arial"/>
                <w:sz w:val="20"/>
                <w:lang w:val="es-ES_tradnl"/>
              </w:rPr>
              <w:lastRenderedPageBreak/>
              <w:t xml:space="preserve">Se consideraron valores </w:t>
            </w:r>
            <w:r w:rsidR="007443AB">
              <w:rPr>
                <w:rFonts w:ascii="ITC Avant Garde" w:hAnsi="ITC Avant Garde" w:cs="Arial"/>
                <w:sz w:val="20"/>
                <w:lang w:val="es-ES_tradnl"/>
              </w:rPr>
              <w:t xml:space="preserve">promedio 2020-2023 </w:t>
            </w:r>
            <w:r w:rsidRPr="00DE7685">
              <w:rPr>
                <w:rFonts w:ascii="ITC Avant Garde" w:hAnsi="ITC Avant Garde" w:cs="Arial"/>
                <w:sz w:val="20"/>
                <w:lang w:val="es-ES_tradnl"/>
              </w:rPr>
              <w:t xml:space="preserve">proporcionados por </w:t>
            </w:r>
            <w:r>
              <w:rPr>
                <w:rFonts w:ascii="ITC Avant Garde" w:hAnsi="ITC Avant Garde" w:cs="Arial"/>
                <w:sz w:val="20"/>
                <w:lang w:val="es-ES_tradnl"/>
              </w:rPr>
              <w:t>el APSM</w:t>
            </w:r>
            <w:r w:rsidR="007443AB">
              <w:rPr>
                <w:rFonts w:ascii="ITC Avant Garde" w:hAnsi="ITC Avant Garde" w:cs="Arial"/>
                <w:sz w:val="20"/>
                <w:lang w:val="es-ES_tradnl"/>
              </w:rPr>
              <w:t xml:space="preserve">, aplicables a los 9 </w:t>
            </w:r>
            <w:r w:rsidR="007C4245">
              <w:rPr>
                <w:rFonts w:ascii="ITC Avant Garde" w:hAnsi="ITC Avant Garde" w:cs="Arial"/>
                <w:sz w:val="20"/>
                <w:lang w:val="es-ES_tradnl"/>
              </w:rPr>
              <w:t>mercados con PSM</w:t>
            </w:r>
            <w:r w:rsidR="007443AB">
              <w:rPr>
                <w:rFonts w:ascii="ITC Avant Garde" w:hAnsi="ITC Avant Garde" w:cs="Arial"/>
                <w:sz w:val="20"/>
                <w:lang w:val="es-ES_tradnl"/>
              </w:rPr>
              <w:t xml:space="preserve"> identificados en la Resolución APSM</w:t>
            </w:r>
            <w:r w:rsidRPr="00DE7685">
              <w:rPr>
                <w:rFonts w:ascii="ITC Avant Garde" w:hAnsi="ITC Avant Garde" w:cs="Arial"/>
                <w:sz w:val="20"/>
                <w:lang w:val="es-ES_tradnl"/>
              </w:rPr>
              <w:t xml:space="preserve">. </w:t>
            </w:r>
          </w:p>
        </w:tc>
      </w:tr>
    </w:tbl>
    <w:p w14:paraId="24CCA386" w14:textId="336078C1" w:rsidR="008739DC" w:rsidRDefault="008739DC" w:rsidP="008739DC">
      <w:pPr>
        <w:pStyle w:val="IFTnormal"/>
        <w:numPr>
          <w:ilvl w:val="0"/>
          <w:numId w:val="59"/>
        </w:numPr>
        <w:tabs>
          <w:tab w:val="left" w:pos="1134"/>
        </w:tabs>
        <w:ind w:left="142" w:hanging="142"/>
        <w:rPr>
          <w:b/>
          <w:bCs w:val="0"/>
          <w:sz w:val="17"/>
          <w:szCs w:val="17"/>
        </w:rPr>
      </w:pPr>
      <w:bookmarkStart w:id="43" w:name="_Toc114513064"/>
      <w:r>
        <w:rPr>
          <w:sz w:val="20"/>
          <w:szCs w:val="20"/>
        </w:rPr>
        <w:t>Servicio de atención al cliente.</w:t>
      </w:r>
    </w:p>
    <w:p w14:paraId="48DEBC66" w14:textId="000112A1" w:rsidR="00BB5901" w:rsidRPr="000F5F7A" w:rsidRDefault="00CA0FAA" w:rsidP="004676C5">
      <w:pPr>
        <w:pStyle w:val="Ttulo3"/>
        <w:numPr>
          <w:ilvl w:val="2"/>
          <w:numId w:val="7"/>
        </w:numPr>
        <w:spacing w:before="240" w:after="240"/>
        <w:ind w:left="850" w:hanging="788"/>
        <w:jc w:val="both"/>
        <w:rPr>
          <w:rStyle w:val="IFTnormalCar"/>
          <w:b/>
          <w:color w:val="auto"/>
          <w:sz w:val="22"/>
        </w:rPr>
      </w:pPr>
      <w:bookmarkStart w:id="44" w:name="_Toc180491383"/>
      <w:r w:rsidRPr="000F5F7A">
        <w:rPr>
          <w:rStyle w:val="IFTnormalCar"/>
          <w:b/>
          <w:color w:val="auto"/>
          <w:sz w:val="22"/>
        </w:rPr>
        <w:t>Gastos generales y administrativos, incluyendo los gastos de personal (salarios y participación en las utilidades) y los asociados al uso de espacio para oficina</w:t>
      </w:r>
      <w:bookmarkEnd w:id="43"/>
      <w:bookmarkEnd w:id="44"/>
    </w:p>
    <w:tbl>
      <w:tblPr>
        <w:tblStyle w:val="Tablaconcuadrcula1clara"/>
        <w:tblW w:w="3925" w:type="pct"/>
        <w:jc w:val="center"/>
        <w:tblLook w:val="0420" w:firstRow="1" w:lastRow="0" w:firstColumn="0" w:lastColumn="0" w:noHBand="0" w:noVBand="1"/>
      </w:tblPr>
      <w:tblGrid>
        <w:gridCol w:w="2116"/>
        <w:gridCol w:w="4814"/>
      </w:tblGrid>
      <w:tr w:rsidR="007443AB" w:rsidRPr="00F311E7" w14:paraId="01C59619" w14:textId="77777777" w:rsidTr="007443AB">
        <w:trPr>
          <w:cnfStyle w:val="100000000000" w:firstRow="1" w:lastRow="0" w:firstColumn="0" w:lastColumn="0" w:oddVBand="0" w:evenVBand="0" w:oddHBand="0" w:evenHBand="0" w:firstRowFirstColumn="0" w:firstRowLastColumn="0" w:lastRowFirstColumn="0" w:lastRowLastColumn="0"/>
          <w:trHeight w:val="70"/>
          <w:tblHeader/>
          <w:jc w:val="center"/>
        </w:trPr>
        <w:tc>
          <w:tcPr>
            <w:tcW w:w="1527" w:type="pct"/>
            <w:shd w:val="clear" w:color="auto" w:fill="E7E6E6" w:themeFill="background2"/>
          </w:tcPr>
          <w:p w14:paraId="6FB36FA9" w14:textId="5CD471A9" w:rsidR="007443AB" w:rsidRPr="00F311E7" w:rsidRDefault="007443AB" w:rsidP="007443AB">
            <w:pPr>
              <w:pStyle w:val="Tableheading"/>
              <w:spacing w:before="0" w:after="0" w:line="276" w:lineRule="auto"/>
              <w:rPr>
                <w:rFonts w:ascii="ITC Avant Garde" w:hAnsi="ITC Avant Garde" w:cs="Arial"/>
                <w:b/>
                <w:color w:val="000000" w:themeColor="text1"/>
                <w:sz w:val="20"/>
                <w:lang w:val="es-ES_tradnl"/>
              </w:rPr>
            </w:pPr>
            <w:r>
              <w:rPr>
                <w:rFonts w:ascii="ITC Avant Garde" w:hAnsi="ITC Avant Garde" w:cs="Arial"/>
                <w:b/>
                <w:color w:val="000000" w:themeColor="text1"/>
                <w:sz w:val="20"/>
                <w:lang w:val="es-ES_tradnl"/>
              </w:rPr>
              <w:t>Valor propuesto</w:t>
            </w:r>
          </w:p>
        </w:tc>
        <w:tc>
          <w:tcPr>
            <w:tcW w:w="3473" w:type="pct"/>
            <w:shd w:val="clear" w:color="auto" w:fill="E7E6E6" w:themeFill="background2"/>
          </w:tcPr>
          <w:p w14:paraId="51CF894D" w14:textId="2E8AE290" w:rsidR="007443AB" w:rsidRDefault="007443AB" w:rsidP="007443AB">
            <w:pPr>
              <w:pStyle w:val="Tableheading"/>
              <w:spacing w:before="0" w:after="0" w:line="276" w:lineRule="auto"/>
              <w:rPr>
                <w:rFonts w:ascii="ITC Avant Garde" w:hAnsi="ITC Avant Garde" w:cs="Arial"/>
                <w:b/>
                <w:color w:val="000000" w:themeColor="text1"/>
                <w:sz w:val="20"/>
                <w:lang w:val="es-ES_tradnl"/>
              </w:rPr>
            </w:pPr>
            <w:r w:rsidRPr="00F311E7">
              <w:rPr>
                <w:rFonts w:ascii="ITC Avant Garde" w:hAnsi="ITC Avant Garde" w:cs="Arial"/>
                <w:b/>
                <w:color w:val="000000" w:themeColor="text1"/>
                <w:sz w:val="20"/>
                <w:lang w:val="es-ES_tradnl"/>
              </w:rPr>
              <w:t>Enfoque de estimación</w:t>
            </w:r>
            <w:r>
              <w:rPr>
                <w:rFonts w:ascii="ITC Avant Garde" w:hAnsi="ITC Avant Garde" w:cs="Arial"/>
                <w:b/>
                <w:color w:val="000000" w:themeColor="text1"/>
                <w:sz w:val="20"/>
                <w:lang w:val="es-ES_tradnl"/>
              </w:rPr>
              <w:t xml:space="preserve"> </w:t>
            </w:r>
          </w:p>
        </w:tc>
      </w:tr>
      <w:tr w:rsidR="007443AB" w:rsidRPr="00F311E7" w14:paraId="1F161823" w14:textId="77777777" w:rsidTr="007443AB">
        <w:trPr>
          <w:trHeight w:val="298"/>
          <w:jc w:val="center"/>
        </w:trPr>
        <w:tc>
          <w:tcPr>
            <w:tcW w:w="1527" w:type="pct"/>
            <w:vAlign w:val="center"/>
          </w:tcPr>
          <w:p w14:paraId="0024D485" w14:textId="77777777" w:rsidR="007443AB" w:rsidRDefault="007443AB" w:rsidP="007443AB">
            <w:pPr>
              <w:pStyle w:val="Tablecells"/>
              <w:spacing w:before="0" w:after="0" w:line="276" w:lineRule="auto"/>
              <w:ind w:right="-18"/>
              <w:rPr>
                <w:rFonts w:ascii="ITC Avant Garde" w:hAnsi="ITC Avant Garde" w:cs="Arial"/>
                <w:sz w:val="20"/>
                <w:lang w:val="es-ES_tradnl"/>
              </w:rPr>
            </w:pPr>
            <w:r>
              <w:rPr>
                <w:rFonts w:ascii="ITC Avant Garde" w:hAnsi="ITC Avant Garde" w:cs="Arial"/>
                <w:sz w:val="20"/>
                <w:lang w:val="es-ES_tradnl"/>
              </w:rPr>
              <w:t>Se obtiene como la suma de dos componentes:</w:t>
            </w:r>
          </w:p>
          <w:p w14:paraId="1FF990BD" w14:textId="6B5852A4" w:rsidR="007443AB" w:rsidRDefault="007443AB" w:rsidP="007443AB">
            <w:pPr>
              <w:pStyle w:val="Tablecells"/>
              <w:spacing w:before="0" w:after="0" w:line="276" w:lineRule="auto"/>
              <w:ind w:right="0"/>
              <w:rPr>
                <w:rFonts w:ascii="ITC Avant Garde" w:hAnsi="ITC Avant Garde" w:cs="Arial"/>
                <w:sz w:val="20"/>
                <w:lang w:val="es-ES_tradnl"/>
              </w:rPr>
            </w:pPr>
            <w:r>
              <w:rPr>
                <w:rFonts w:ascii="ITC Avant Garde" w:hAnsi="ITC Avant Garde" w:cs="Arial"/>
                <w:sz w:val="20"/>
                <w:lang w:val="es-ES_tradnl"/>
              </w:rPr>
              <w:t>1) Costos asociados al uso de espacio de oficinas, estimado por cantidad de empleado y costo del espacio de oficina.</w:t>
            </w:r>
          </w:p>
          <w:p w14:paraId="1BEF854F" w14:textId="1AB9FC37" w:rsidR="007443AB" w:rsidRPr="007B405B" w:rsidRDefault="007443AB" w:rsidP="007443AB">
            <w:pPr>
              <w:pStyle w:val="Tablecells"/>
              <w:spacing w:before="0" w:after="0" w:line="276" w:lineRule="auto"/>
              <w:ind w:right="0"/>
              <w:rPr>
                <w:rFonts w:ascii="ITC Avant Garde" w:hAnsi="ITC Avant Garde" w:cs="Arial"/>
                <w:sz w:val="20"/>
                <w:lang w:val="es-ES_tradnl"/>
              </w:rPr>
            </w:pPr>
            <w:r>
              <w:rPr>
                <w:rFonts w:ascii="ITC Avant Garde" w:hAnsi="ITC Avant Garde" w:cs="Arial"/>
                <w:sz w:val="20"/>
                <w:lang w:val="es-ES_tradnl"/>
              </w:rPr>
              <w:t xml:space="preserve">2) Costos generales y administrativos modelados como un porcentaje sobre el total de ingresos. </w:t>
            </w:r>
          </w:p>
        </w:tc>
        <w:tc>
          <w:tcPr>
            <w:tcW w:w="3473" w:type="pct"/>
            <w:vAlign w:val="center"/>
          </w:tcPr>
          <w:p w14:paraId="4ED9EF55" w14:textId="27AF2055" w:rsidR="007443AB" w:rsidRDefault="007443AB" w:rsidP="004676C5">
            <w:pPr>
              <w:pStyle w:val="Tablecells"/>
              <w:spacing w:before="0" w:after="0" w:line="276" w:lineRule="auto"/>
              <w:ind w:right="-18"/>
              <w:jc w:val="both"/>
              <w:rPr>
                <w:rFonts w:ascii="ITC Avant Garde" w:hAnsi="ITC Avant Garde" w:cs="Arial"/>
                <w:sz w:val="20"/>
                <w:lang w:val="es-ES_tradnl"/>
              </w:rPr>
            </w:pPr>
            <w:r>
              <w:rPr>
                <w:rFonts w:ascii="ITC Avant Garde" w:hAnsi="ITC Avant Garde" w:cs="Arial"/>
                <w:sz w:val="20"/>
                <w:lang w:val="es-ES_tradnl"/>
              </w:rPr>
              <w:t xml:space="preserve">Se consideraron valores promedio 2020-2023 </w:t>
            </w:r>
            <w:r w:rsidRPr="00DE7685">
              <w:rPr>
                <w:rFonts w:ascii="ITC Avant Garde" w:hAnsi="ITC Avant Garde" w:cs="Arial"/>
                <w:sz w:val="20"/>
                <w:lang w:val="es-ES_tradnl"/>
              </w:rPr>
              <w:t xml:space="preserve">proporcionados por </w:t>
            </w:r>
            <w:r>
              <w:rPr>
                <w:rFonts w:ascii="ITC Avant Garde" w:hAnsi="ITC Avant Garde" w:cs="Arial"/>
                <w:sz w:val="20"/>
                <w:lang w:val="es-ES_tradnl"/>
              </w:rPr>
              <w:t xml:space="preserve">el APSM, aplicables a los 9 </w:t>
            </w:r>
            <w:r w:rsidR="007C4245">
              <w:rPr>
                <w:rFonts w:ascii="ITC Avant Garde" w:hAnsi="ITC Avant Garde" w:cs="Arial"/>
                <w:sz w:val="20"/>
                <w:lang w:val="es-ES_tradnl"/>
              </w:rPr>
              <w:t xml:space="preserve">mercados con PSM </w:t>
            </w:r>
            <w:r>
              <w:rPr>
                <w:rFonts w:ascii="ITC Avant Garde" w:hAnsi="ITC Avant Garde" w:cs="Arial"/>
                <w:sz w:val="20"/>
                <w:lang w:val="es-ES_tradnl"/>
              </w:rPr>
              <w:t>identificados en la Resolución APSM, respecto a:</w:t>
            </w:r>
          </w:p>
          <w:p w14:paraId="04FC4D97" w14:textId="6EF4481D" w:rsidR="007443AB" w:rsidRDefault="007443AB" w:rsidP="004676C5">
            <w:pPr>
              <w:pStyle w:val="Tablecells"/>
              <w:numPr>
                <w:ilvl w:val="0"/>
                <w:numId w:val="34"/>
              </w:numPr>
              <w:spacing w:before="0" w:after="0" w:line="276" w:lineRule="auto"/>
              <w:ind w:right="-18"/>
              <w:jc w:val="both"/>
              <w:rPr>
                <w:rFonts w:ascii="ITC Avant Garde" w:hAnsi="ITC Avant Garde" w:cs="Arial"/>
                <w:sz w:val="20"/>
                <w:lang w:val="es-ES_tradnl"/>
              </w:rPr>
            </w:pPr>
            <w:r>
              <w:rPr>
                <w:rFonts w:ascii="ITC Avant Garde" w:hAnsi="ITC Avant Garde" w:cs="Arial"/>
                <w:sz w:val="20"/>
                <w:lang w:val="es-ES_tradnl"/>
              </w:rPr>
              <w:t>Superficie de suelo usada por empleado.</w:t>
            </w:r>
          </w:p>
          <w:p w14:paraId="2C7F8011" w14:textId="7C756D49" w:rsidR="007443AB" w:rsidRDefault="007443AB" w:rsidP="004676C5">
            <w:pPr>
              <w:pStyle w:val="Tablecells"/>
              <w:numPr>
                <w:ilvl w:val="0"/>
                <w:numId w:val="34"/>
              </w:numPr>
              <w:spacing w:before="0" w:after="0" w:line="276" w:lineRule="auto"/>
              <w:ind w:right="-18"/>
              <w:jc w:val="both"/>
              <w:rPr>
                <w:rFonts w:ascii="ITC Avant Garde" w:hAnsi="ITC Avant Garde" w:cs="Arial"/>
                <w:sz w:val="20"/>
                <w:lang w:val="es-ES_tradnl"/>
              </w:rPr>
            </w:pPr>
            <w:r>
              <w:rPr>
                <w:rFonts w:ascii="ITC Avant Garde" w:hAnsi="ITC Avant Garde" w:cs="Arial"/>
                <w:sz w:val="20"/>
                <w:lang w:val="es-ES_tradnl"/>
              </w:rPr>
              <w:t>Costo de alquiler de oficinas.</w:t>
            </w:r>
          </w:p>
          <w:p w14:paraId="281CA956" w14:textId="2F6620F9" w:rsidR="007443AB" w:rsidRDefault="007443AB" w:rsidP="004676C5">
            <w:pPr>
              <w:pStyle w:val="Tablecells"/>
              <w:numPr>
                <w:ilvl w:val="0"/>
                <w:numId w:val="34"/>
              </w:numPr>
              <w:spacing w:before="0" w:after="0" w:line="276" w:lineRule="auto"/>
              <w:ind w:right="-18"/>
              <w:jc w:val="both"/>
              <w:rPr>
                <w:rFonts w:ascii="ITC Avant Garde" w:hAnsi="ITC Avant Garde" w:cs="Arial"/>
                <w:sz w:val="20"/>
                <w:lang w:val="es-ES_tradnl"/>
              </w:rPr>
            </w:pPr>
            <w:r w:rsidRPr="00CA0FAA">
              <w:rPr>
                <w:rFonts w:ascii="ITC Avant Garde" w:hAnsi="ITC Avant Garde" w:cs="Arial"/>
                <w:sz w:val="20"/>
                <w:lang w:val="es-ES_tradnl"/>
              </w:rPr>
              <w:t>Personal administrativo (incluyendo personal de marketing y ventas) por empleado de atención al cliente</w:t>
            </w:r>
            <w:r>
              <w:rPr>
                <w:rFonts w:ascii="ITC Avant Garde" w:hAnsi="ITC Avant Garde" w:cs="Arial"/>
                <w:sz w:val="20"/>
                <w:lang w:val="es-ES_tradnl"/>
              </w:rPr>
              <w:t>.</w:t>
            </w:r>
          </w:p>
          <w:p w14:paraId="7C0BB47D" w14:textId="300FF3D2" w:rsidR="007443AB" w:rsidRPr="00F311E7" w:rsidRDefault="007443AB" w:rsidP="004676C5">
            <w:pPr>
              <w:pStyle w:val="Tablecells"/>
              <w:numPr>
                <w:ilvl w:val="0"/>
                <w:numId w:val="34"/>
              </w:numPr>
              <w:spacing w:before="0" w:after="0" w:line="276" w:lineRule="auto"/>
              <w:ind w:right="-18"/>
              <w:jc w:val="both"/>
              <w:rPr>
                <w:rFonts w:ascii="ITC Avant Garde" w:hAnsi="ITC Avant Garde" w:cs="Arial"/>
                <w:sz w:val="20"/>
                <w:lang w:val="es-ES_tradnl"/>
              </w:rPr>
            </w:pPr>
            <w:r>
              <w:rPr>
                <w:rFonts w:ascii="ITC Avant Garde" w:hAnsi="ITC Avant Garde" w:cs="Arial"/>
                <w:sz w:val="20"/>
                <w:lang w:val="es-ES_tradnl"/>
              </w:rPr>
              <w:t xml:space="preserve">Costos administrativos sobre el total de ingresos </w:t>
            </w:r>
            <w:r w:rsidRPr="00CA0FAA">
              <w:rPr>
                <w:rFonts w:ascii="ITC Avant Garde" w:hAnsi="ITC Avant Garde" w:cs="Arial"/>
                <w:sz w:val="20"/>
                <w:lang w:val="es-ES_tradnl"/>
              </w:rPr>
              <w:t>(incluye personal de soporte IT, recursos humanos, estrategia, finanzas, etc.)</w:t>
            </w:r>
          </w:p>
          <w:p w14:paraId="19BF5C3C" w14:textId="77777777" w:rsidR="007443AB" w:rsidRDefault="007443AB" w:rsidP="004676C5">
            <w:pPr>
              <w:pStyle w:val="Tablecells"/>
              <w:spacing w:before="0" w:after="0" w:line="276" w:lineRule="auto"/>
              <w:jc w:val="both"/>
              <w:rPr>
                <w:rFonts w:ascii="ITC Avant Garde" w:hAnsi="ITC Avant Garde" w:cs="Arial"/>
                <w:sz w:val="20"/>
                <w:lang w:val="es-ES_tradnl"/>
              </w:rPr>
            </w:pPr>
          </w:p>
        </w:tc>
      </w:tr>
    </w:tbl>
    <w:p w14:paraId="4E0EEE74" w14:textId="323CDA5E" w:rsidR="008739DC" w:rsidRDefault="008739DC" w:rsidP="008739DC">
      <w:pPr>
        <w:pStyle w:val="IFTnormal"/>
        <w:numPr>
          <w:ilvl w:val="0"/>
          <w:numId w:val="59"/>
        </w:numPr>
        <w:tabs>
          <w:tab w:val="left" w:pos="1134"/>
        </w:tabs>
        <w:ind w:left="142" w:hanging="142"/>
        <w:rPr>
          <w:b/>
          <w:bCs w:val="0"/>
          <w:sz w:val="17"/>
          <w:szCs w:val="17"/>
        </w:rPr>
      </w:pPr>
      <w:bookmarkStart w:id="45" w:name="_Toc114513065"/>
      <w:r>
        <w:rPr>
          <w:sz w:val="20"/>
          <w:szCs w:val="20"/>
        </w:rPr>
        <w:t>Gastos generales y administrativos.</w:t>
      </w:r>
    </w:p>
    <w:p w14:paraId="51DB7052" w14:textId="170562C0" w:rsidR="00CA0FAA" w:rsidRPr="000F5F7A" w:rsidRDefault="00CA0FAA" w:rsidP="004676C5">
      <w:pPr>
        <w:pStyle w:val="Ttulo3"/>
        <w:numPr>
          <w:ilvl w:val="2"/>
          <w:numId w:val="7"/>
        </w:numPr>
        <w:spacing w:before="240" w:after="240"/>
        <w:ind w:left="850" w:hanging="788"/>
        <w:jc w:val="both"/>
        <w:rPr>
          <w:rStyle w:val="IFTnormalCar"/>
          <w:b/>
          <w:color w:val="auto"/>
          <w:sz w:val="22"/>
        </w:rPr>
      </w:pPr>
      <w:bookmarkStart w:id="46" w:name="_Toc180491384"/>
      <w:r w:rsidRPr="000F5F7A">
        <w:rPr>
          <w:rStyle w:val="IFTnormalCar"/>
          <w:b/>
          <w:color w:val="auto"/>
          <w:sz w:val="22"/>
        </w:rPr>
        <w:t>Margen de beneficios sobre costos evitados</w:t>
      </w:r>
      <w:bookmarkEnd w:id="45"/>
      <w:bookmarkEnd w:id="46"/>
    </w:p>
    <w:tbl>
      <w:tblPr>
        <w:tblStyle w:val="Tablaconcuadrcula1clara"/>
        <w:tblW w:w="3931" w:type="pct"/>
        <w:jc w:val="center"/>
        <w:tblLook w:val="0420" w:firstRow="1" w:lastRow="0" w:firstColumn="0" w:lastColumn="0" w:noHBand="0" w:noVBand="1"/>
      </w:tblPr>
      <w:tblGrid>
        <w:gridCol w:w="2123"/>
        <w:gridCol w:w="4818"/>
      </w:tblGrid>
      <w:tr w:rsidR="007443AB" w:rsidRPr="00F311E7" w14:paraId="005EB7FA" w14:textId="77777777" w:rsidTr="007443AB">
        <w:trPr>
          <w:cnfStyle w:val="100000000000" w:firstRow="1" w:lastRow="0" w:firstColumn="0" w:lastColumn="0" w:oddVBand="0" w:evenVBand="0" w:oddHBand="0" w:evenHBand="0" w:firstRowFirstColumn="0" w:firstRowLastColumn="0" w:lastRowFirstColumn="0" w:lastRowLastColumn="0"/>
          <w:trHeight w:val="70"/>
          <w:tblHeader/>
          <w:jc w:val="center"/>
        </w:trPr>
        <w:tc>
          <w:tcPr>
            <w:tcW w:w="1529" w:type="pct"/>
            <w:shd w:val="clear" w:color="auto" w:fill="E7E6E6" w:themeFill="background2"/>
          </w:tcPr>
          <w:p w14:paraId="23D233FC" w14:textId="57B0C468" w:rsidR="007443AB" w:rsidRPr="00F311E7" w:rsidRDefault="007443AB" w:rsidP="007443AB">
            <w:pPr>
              <w:pStyle w:val="Tableheading"/>
              <w:spacing w:before="0" w:after="0" w:line="276" w:lineRule="auto"/>
              <w:rPr>
                <w:rFonts w:ascii="ITC Avant Garde" w:hAnsi="ITC Avant Garde" w:cs="Arial"/>
                <w:b/>
                <w:color w:val="000000" w:themeColor="text1"/>
                <w:sz w:val="20"/>
                <w:lang w:val="es-ES_tradnl"/>
              </w:rPr>
            </w:pPr>
            <w:r>
              <w:rPr>
                <w:rFonts w:ascii="ITC Avant Garde" w:hAnsi="ITC Avant Garde" w:cs="Arial"/>
                <w:b/>
                <w:color w:val="000000" w:themeColor="text1"/>
                <w:sz w:val="20"/>
                <w:lang w:val="es-ES_tradnl"/>
              </w:rPr>
              <w:t>Valor propuesto</w:t>
            </w:r>
          </w:p>
        </w:tc>
        <w:tc>
          <w:tcPr>
            <w:tcW w:w="3471" w:type="pct"/>
            <w:shd w:val="clear" w:color="auto" w:fill="E7E6E6" w:themeFill="background2"/>
          </w:tcPr>
          <w:p w14:paraId="522117CC" w14:textId="46567B11" w:rsidR="007443AB" w:rsidRDefault="007443AB" w:rsidP="007443AB">
            <w:pPr>
              <w:pStyle w:val="Tableheading"/>
              <w:spacing w:before="0" w:after="0" w:line="276" w:lineRule="auto"/>
              <w:rPr>
                <w:rFonts w:ascii="ITC Avant Garde" w:hAnsi="ITC Avant Garde" w:cs="Arial"/>
                <w:b/>
                <w:color w:val="000000" w:themeColor="text1"/>
                <w:sz w:val="20"/>
                <w:lang w:val="es-ES_tradnl"/>
              </w:rPr>
            </w:pPr>
            <w:r w:rsidRPr="00F311E7">
              <w:rPr>
                <w:rFonts w:ascii="ITC Avant Garde" w:hAnsi="ITC Avant Garde" w:cs="Arial"/>
                <w:b/>
                <w:color w:val="000000" w:themeColor="text1"/>
                <w:sz w:val="20"/>
                <w:lang w:val="es-ES_tradnl"/>
              </w:rPr>
              <w:t>Enfoque de estimación</w:t>
            </w:r>
            <w:r>
              <w:rPr>
                <w:rFonts w:ascii="ITC Avant Garde" w:hAnsi="ITC Avant Garde" w:cs="Arial"/>
                <w:b/>
                <w:color w:val="000000" w:themeColor="text1"/>
                <w:sz w:val="20"/>
                <w:lang w:val="es-ES_tradnl"/>
              </w:rPr>
              <w:t xml:space="preserve"> </w:t>
            </w:r>
          </w:p>
        </w:tc>
      </w:tr>
      <w:tr w:rsidR="007443AB" w:rsidRPr="00F311E7" w14:paraId="4FE8A674" w14:textId="77777777" w:rsidTr="007443AB">
        <w:trPr>
          <w:trHeight w:val="298"/>
          <w:jc w:val="center"/>
        </w:trPr>
        <w:tc>
          <w:tcPr>
            <w:tcW w:w="1529" w:type="pct"/>
            <w:vAlign w:val="center"/>
          </w:tcPr>
          <w:p w14:paraId="4CC4A778" w14:textId="7B803CAD" w:rsidR="007443AB" w:rsidRPr="007B405B" w:rsidRDefault="007443AB" w:rsidP="004676C5">
            <w:pPr>
              <w:pStyle w:val="Tablecells"/>
              <w:spacing w:before="0" w:after="0" w:line="276" w:lineRule="auto"/>
              <w:ind w:right="-18"/>
              <w:jc w:val="center"/>
              <w:rPr>
                <w:rFonts w:ascii="ITC Avant Garde" w:hAnsi="ITC Avant Garde" w:cs="Arial"/>
                <w:sz w:val="20"/>
                <w:lang w:val="es-ES_tradnl"/>
              </w:rPr>
            </w:pPr>
            <w:r>
              <w:rPr>
                <w:rFonts w:ascii="ITC Avant Garde" w:hAnsi="ITC Avant Garde" w:cs="Arial"/>
                <w:sz w:val="20"/>
                <w:lang w:val="es-ES_tradnl"/>
              </w:rPr>
              <w:t>10.97%</w:t>
            </w:r>
          </w:p>
        </w:tc>
        <w:tc>
          <w:tcPr>
            <w:tcW w:w="3471" w:type="pct"/>
            <w:vAlign w:val="center"/>
          </w:tcPr>
          <w:p w14:paraId="17F17EC4" w14:textId="51A86B7C" w:rsidR="007443AB" w:rsidRDefault="007443AB" w:rsidP="00A02ABE">
            <w:pPr>
              <w:pStyle w:val="Tablecells"/>
              <w:spacing w:before="0" w:after="0" w:line="276" w:lineRule="auto"/>
              <w:rPr>
                <w:rFonts w:ascii="ITC Avant Garde" w:hAnsi="ITC Avant Garde" w:cs="Arial"/>
                <w:sz w:val="20"/>
                <w:lang w:val="es-ES_tradnl"/>
              </w:rPr>
            </w:pPr>
            <w:r w:rsidRPr="00F311E7">
              <w:rPr>
                <w:rFonts w:ascii="ITC Avant Garde" w:hAnsi="ITC Avant Garde" w:cs="Arial"/>
                <w:sz w:val="20"/>
                <w:lang w:val="es-ES_tradnl"/>
              </w:rPr>
              <w:t>Proporcional al nivel de costos evitados de todos los rubros anteriores</w:t>
            </w:r>
            <w:r>
              <w:rPr>
                <w:rStyle w:val="Refdenotaalpie"/>
                <w:rFonts w:ascii="ITC Avant Garde" w:hAnsi="ITC Avant Garde" w:cs="Arial"/>
                <w:sz w:val="20"/>
                <w:lang w:val="es-ES_tradnl"/>
              </w:rPr>
              <w:footnoteReference w:id="5"/>
            </w:r>
            <w:r>
              <w:rPr>
                <w:rFonts w:ascii="ITC Avant Garde" w:hAnsi="ITC Avant Garde" w:cs="Arial"/>
                <w:sz w:val="20"/>
                <w:lang w:val="es-ES_tradnl"/>
              </w:rPr>
              <w:t xml:space="preserve"> </w:t>
            </w:r>
          </w:p>
        </w:tc>
      </w:tr>
    </w:tbl>
    <w:p w14:paraId="1FD78466" w14:textId="4B382893" w:rsidR="008739DC" w:rsidRDefault="008739DC" w:rsidP="008739DC">
      <w:pPr>
        <w:pStyle w:val="IFTnormal"/>
        <w:numPr>
          <w:ilvl w:val="0"/>
          <w:numId w:val="59"/>
        </w:numPr>
        <w:tabs>
          <w:tab w:val="left" w:pos="1134"/>
        </w:tabs>
        <w:ind w:left="142" w:hanging="142"/>
        <w:rPr>
          <w:b/>
          <w:bCs w:val="0"/>
          <w:sz w:val="17"/>
          <w:szCs w:val="17"/>
        </w:rPr>
      </w:pPr>
      <w:bookmarkStart w:id="47" w:name="_Toc180330185"/>
      <w:bookmarkStart w:id="48" w:name="_Toc180330389"/>
      <w:bookmarkStart w:id="49" w:name="_Toc114513068"/>
      <w:bookmarkEnd w:id="47"/>
      <w:bookmarkEnd w:id="48"/>
      <w:r>
        <w:rPr>
          <w:sz w:val="20"/>
          <w:szCs w:val="20"/>
        </w:rPr>
        <w:t>Beneficios sobre costos evitados.</w:t>
      </w:r>
    </w:p>
    <w:p w14:paraId="6376F419" w14:textId="6DEB29CF" w:rsidR="004D3F53" w:rsidRPr="004676C5" w:rsidRDefault="00A438BC" w:rsidP="004676C5">
      <w:pPr>
        <w:pStyle w:val="Ttulo2"/>
        <w:numPr>
          <w:ilvl w:val="1"/>
          <w:numId w:val="7"/>
        </w:numPr>
        <w:ind w:left="426" w:hanging="360"/>
        <w:rPr>
          <w:rStyle w:val="IFTnormalCar"/>
          <w:b w:val="0"/>
          <w:color w:val="auto"/>
          <w:lang w:val="es-MX"/>
        </w:rPr>
      </w:pPr>
      <w:bookmarkStart w:id="50" w:name="_Toc180330902"/>
      <w:bookmarkStart w:id="51" w:name="_Toc180330958"/>
      <w:bookmarkStart w:id="52" w:name="_Toc180491385"/>
      <w:bookmarkEnd w:id="50"/>
      <w:bookmarkEnd w:id="51"/>
      <w:r w:rsidRPr="004676C5">
        <w:rPr>
          <w:rStyle w:val="IFTnormalCar"/>
          <w:color w:val="auto"/>
          <w:lang w:val="es-MX"/>
        </w:rPr>
        <w:lastRenderedPageBreak/>
        <w:t>Resumen de esquemas de aplicación del Modelo de Costos Evitados</w:t>
      </w:r>
      <w:bookmarkEnd w:id="49"/>
      <w:bookmarkEnd w:id="52"/>
    </w:p>
    <w:p w14:paraId="205ECA4B" w14:textId="6E07B462" w:rsidR="00A438BC" w:rsidRPr="000F5F7A" w:rsidRDefault="00862BE1" w:rsidP="004676C5">
      <w:pPr>
        <w:pStyle w:val="Ttulo3"/>
        <w:numPr>
          <w:ilvl w:val="2"/>
          <w:numId w:val="7"/>
        </w:numPr>
        <w:spacing w:after="240"/>
        <w:ind w:left="851" w:hanging="789"/>
        <w:rPr>
          <w:rStyle w:val="IFTnormalCar"/>
          <w:color w:val="auto"/>
          <w:sz w:val="22"/>
        </w:rPr>
      </w:pPr>
      <w:bookmarkStart w:id="53" w:name="_Toc114513069"/>
      <w:bookmarkStart w:id="54" w:name="_Toc180491386"/>
      <w:r w:rsidRPr="000F5F7A">
        <w:rPr>
          <w:rStyle w:val="IFTnormalCar"/>
          <w:b/>
          <w:color w:val="auto"/>
          <w:sz w:val="22"/>
        </w:rPr>
        <w:t>Esquema para el S</w:t>
      </w:r>
      <w:r w:rsidR="00280293" w:rsidRPr="000F5F7A">
        <w:rPr>
          <w:rStyle w:val="IFTnormalCar"/>
          <w:b/>
          <w:color w:val="auto"/>
          <w:sz w:val="22"/>
        </w:rPr>
        <w:t>M</w:t>
      </w:r>
      <w:r w:rsidRPr="000F5F7A">
        <w:rPr>
          <w:rStyle w:val="IFTnormalCar"/>
          <w:b/>
          <w:color w:val="auto"/>
          <w:sz w:val="22"/>
        </w:rPr>
        <w:t>R</w:t>
      </w:r>
      <w:bookmarkEnd w:id="53"/>
      <w:bookmarkEnd w:id="54"/>
    </w:p>
    <w:p w14:paraId="5FA0269A" w14:textId="0090DD89" w:rsidR="007444DC" w:rsidRPr="00337CB4" w:rsidRDefault="007444DC" w:rsidP="007444DC">
      <w:pPr>
        <w:pStyle w:val="IFTnormal"/>
      </w:pPr>
      <w:r w:rsidRPr="00D6663F">
        <w:t>Para determinar el nivel tarifario del SR</w:t>
      </w:r>
      <w:r w:rsidR="00A65CEF">
        <w:t>M</w:t>
      </w:r>
      <w:r w:rsidRPr="00D6663F">
        <w:t xml:space="preserve"> (</w:t>
      </w:r>
      <m:oMath>
        <m:sSup>
          <m:sSupPr>
            <m:ctrlPr>
              <w:rPr>
                <w:rFonts w:ascii="Cambria Math" w:hAnsi="Cambria Math"/>
                <w:b/>
              </w:rPr>
            </m:ctrlPr>
          </m:sSupPr>
          <m:e>
            <m:r>
              <m:rPr>
                <m:nor/>
              </m:rPr>
              <w:rPr>
                <w:b/>
                <w:iCs/>
              </w:rPr>
              <m:t>P</m:t>
            </m:r>
          </m:e>
          <m:sup>
            <m:r>
              <m:rPr>
                <m:nor/>
              </m:rPr>
              <w:rPr>
                <w:b/>
                <w:iCs/>
              </w:rPr>
              <m:t>r</m:t>
            </m:r>
          </m:sup>
        </m:sSup>
        <m:r>
          <m:rPr>
            <m:sty m:val="bi"/>
          </m:rPr>
          <w:rPr>
            <w:rFonts w:ascii="Cambria Math" w:hAnsi="Cambria Math"/>
          </w:rPr>
          <m:t>)</m:t>
        </m:r>
      </m:oMath>
      <w:r w:rsidRPr="00D6663F">
        <w:t>, en el modelo se estima primero el precio de referencia</w:t>
      </w:r>
      <w:r w:rsidR="007443AB">
        <w:t xml:space="preserve"> del STAR single play y STAR empaquetado</w:t>
      </w:r>
      <w:r>
        <w:t xml:space="preserve"> </w:t>
      </w:r>
      <w:r w:rsidRPr="00D6663F">
        <w:t>(</w:t>
      </w:r>
      <m:oMath>
        <m:sSub>
          <m:sSubPr>
            <m:ctrlPr>
              <w:rPr>
                <w:rFonts w:ascii="Cambria Math" w:hAnsi="Cambria Math"/>
                <w:b/>
              </w:rPr>
            </m:ctrlPr>
          </m:sSubPr>
          <m:e>
            <m:r>
              <m:rPr>
                <m:nor/>
              </m:rPr>
              <w:rPr>
                <w:b/>
              </w:rPr>
              <m:t>P</m:t>
            </m:r>
          </m:e>
          <m:sub>
            <m:r>
              <m:rPr>
                <m:nor/>
              </m:rPr>
              <w:rPr>
                <w:b/>
              </w:rPr>
              <m:t xml:space="preserve">minorista </m:t>
            </m:r>
          </m:sub>
        </m:sSub>
      </m:oMath>
      <w:r w:rsidRPr="00D6663F">
        <w:t>),</w:t>
      </w:r>
      <w:r w:rsidR="00F13F37">
        <w:t xml:space="preserve"> de acuerdo</w:t>
      </w:r>
      <w:r w:rsidR="009A1A29">
        <w:t xml:space="preserve"> con</w:t>
      </w:r>
      <w:r w:rsidR="00F13F37">
        <w:t xml:space="preserve"> el producto en el que ofrece</w:t>
      </w:r>
      <w:r w:rsidR="00F20137">
        <w:t>n</w:t>
      </w:r>
      <w:r w:rsidR="00F13F37">
        <w:t xml:space="preserve"> </w:t>
      </w:r>
      <w:r w:rsidR="007443AB">
        <w:t>el acceso al</w:t>
      </w:r>
      <w:r w:rsidRPr="00D6663F">
        <w:t xml:space="preserve">. Para ello se estima el precio implícito de dichos servicios, a partir del factor de representación del precio implícito de la renta de línea </w:t>
      </w:r>
      <m:oMath>
        <m:r>
          <w:rPr>
            <w:rFonts w:ascii="Cambria Math" w:hAnsi="Cambria Math"/>
          </w:rPr>
          <m:t>(</m:t>
        </m:r>
        <m:r>
          <m:rPr>
            <m:nor/>
          </m:rPr>
          <w:rPr>
            <w:b/>
          </w:rPr>
          <m:t xml:space="preserve">% </m:t>
        </m:r>
        <m:sSub>
          <m:sSubPr>
            <m:ctrlPr>
              <w:rPr>
                <w:rFonts w:ascii="Cambria Math" w:hAnsi="Cambria Math"/>
                <w:b/>
                <w:i/>
              </w:rPr>
            </m:ctrlPr>
          </m:sSubPr>
          <m:e>
            <m:r>
              <m:rPr>
                <m:nor/>
              </m:rPr>
              <w:rPr>
                <w:rFonts w:ascii="Calibri" w:hAnsi="Calibri"/>
                <w:b/>
              </w:rPr>
              <m:t>β</m:t>
            </m:r>
          </m:e>
          <m:sub>
            <m:r>
              <m:rPr>
                <m:nor/>
              </m:rPr>
              <w:rPr>
                <w:b/>
              </w:rPr>
              <m:t>STAR</m:t>
            </m:r>
          </m:sub>
        </m:sSub>
        <m:r>
          <m:rPr>
            <m:nor/>
          </m:rPr>
          <m:t>)</m:t>
        </m:r>
      </m:oMath>
      <w:r w:rsidRPr="00D6663F">
        <w:t xml:space="preserve">, para posteriormente descontar los costos evitados asociados tales servicios, es decir, </w:t>
      </w:r>
      <w:r w:rsidR="007443AB">
        <w:t>STAR</w:t>
      </w:r>
      <w:r w:rsidRPr="00D6663F">
        <w:t xml:space="preserve"> (</w:t>
      </w:r>
      <m:oMath>
        <m:r>
          <m:rPr>
            <m:sty m:val="b"/>
          </m:rPr>
          <w:rPr>
            <w:rFonts w:ascii="Cambria Math" w:hAnsi="Cambria Math"/>
          </w:rPr>
          <m:t>%</m:t>
        </m:r>
        <m:sSub>
          <m:sSubPr>
            <m:ctrlPr>
              <w:rPr>
                <w:rFonts w:ascii="Cambria Math" w:hAnsi="Cambria Math"/>
                <w:b/>
              </w:rPr>
            </m:ctrlPr>
          </m:sSubPr>
          <m:e>
            <m:r>
              <m:rPr>
                <m:nor/>
              </m:rPr>
              <w:rPr>
                <w:b/>
                <w:iCs/>
              </w:rPr>
              <m:t>c</m:t>
            </m:r>
          </m:e>
          <m:sub>
            <m:r>
              <m:rPr>
                <m:sty m:val="bi"/>
              </m:rPr>
              <w:rPr>
                <w:rFonts w:ascii="Cambria Math" w:hAnsi="Cambria Math"/>
              </w:rPr>
              <m:t>STAR</m:t>
            </m:r>
          </m:sub>
        </m:sSub>
      </m:oMath>
      <w:r w:rsidRPr="00D6663F">
        <w:t xml:space="preserve">). Lo anterior se traduce en las expresiones, de acuerdo </w:t>
      </w:r>
      <w:r>
        <w:t>con</w:t>
      </w:r>
      <w:r w:rsidRPr="00D6663F">
        <w:t xml:space="preserve"> los casos antes </w:t>
      </w:r>
      <w:r w:rsidRPr="00337CB4">
        <w:t>descritos:</w:t>
      </w:r>
    </w:p>
    <w:p w14:paraId="2509A2D2" w14:textId="617C7642" w:rsidR="007444DC" w:rsidRPr="00337CB4" w:rsidRDefault="00873989" w:rsidP="007443AB">
      <w:pPr>
        <w:pStyle w:val="IFTnormal"/>
        <w:spacing w:after="0"/>
        <w:ind w:left="1080"/>
        <w:jc w:val="center"/>
      </w:pPr>
      <m:oMath>
        <m:sSup>
          <m:sSupPr>
            <m:ctrlPr>
              <w:rPr>
                <w:rFonts w:ascii="Cambria Math" w:hAnsi="Cambria Math"/>
                <w:b/>
              </w:rPr>
            </m:ctrlPr>
          </m:sSupPr>
          <m:e>
            <m:r>
              <m:rPr>
                <m:nor/>
              </m:rPr>
              <w:rPr>
                <w:b/>
                <w:iCs/>
              </w:rPr>
              <m:t xml:space="preserve"> P</m:t>
            </m:r>
          </m:e>
          <m:sup>
            <m:r>
              <m:rPr>
                <m:nor/>
              </m:rPr>
              <w:rPr>
                <w:b/>
                <w:iCs/>
              </w:rPr>
              <m:t>r</m:t>
            </m:r>
          </m:sup>
        </m:sSup>
      </m:oMath>
      <w:r w:rsidR="007444DC" w:rsidRPr="00337CB4">
        <w:rPr>
          <w:b/>
        </w:rPr>
        <w:t xml:space="preserve"> = </w:t>
      </w:r>
      <m:oMath>
        <m:sSub>
          <m:sSubPr>
            <m:ctrlPr>
              <w:rPr>
                <w:rFonts w:ascii="Cambria Math" w:hAnsi="Cambria Math"/>
                <w:b/>
              </w:rPr>
            </m:ctrlPr>
          </m:sSubPr>
          <m:e>
            <m:r>
              <m:rPr>
                <m:nor/>
              </m:rPr>
              <w:rPr>
                <w:b/>
              </w:rPr>
              <m:t>P</m:t>
            </m:r>
          </m:e>
          <m:sub>
            <m:r>
              <m:rPr>
                <m:nor/>
              </m:rPr>
              <w:rPr>
                <w:b/>
              </w:rPr>
              <m:t>minorista implícito</m:t>
            </m:r>
          </m:sub>
        </m:sSub>
        <m:r>
          <m:rPr>
            <m:sty m:val="bi"/>
          </m:rPr>
          <w:rPr>
            <w:rFonts w:ascii="Cambria Math" w:hAnsi="Cambria Math"/>
          </w:rPr>
          <m:t xml:space="preserve"> ×(</m:t>
        </m:r>
        <m:r>
          <m:rPr>
            <m:nor/>
          </m:rPr>
          <w:rPr>
            <w:b/>
          </w:rPr>
          <m:t>1- %</m:t>
        </m:r>
        <m:sSub>
          <m:sSubPr>
            <m:ctrlPr>
              <w:rPr>
                <w:rFonts w:ascii="Cambria Math" w:hAnsi="Cambria Math"/>
                <w:b/>
                <w:i/>
              </w:rPr>
            </m:ctrlPr>
          </m:sSubPr>
          <m:e>
            <m:r>
              <m:rPr>
                <m:nor/>
              </m:rPr>
              <w:rPr>
                <w:rFonts w:ascii="Calibri" w:hAnsi="Calibri"/>
                <w:b/>
              </w:rPr>
              <m:t>β</m:t>
            </m:r>
          </m:e>
          <m:sub>
            <m:r>
              <m:rPr>
                <m:nor/>
              </m:rPr>
              <w:rPr>
                <w:b/>
              </w:rPr>
              <m:t>STAR</m:t>
            </m:r>
          </m:sub>
        </m:sSub>
        <m:r>
          <m:rPr>
            <m:sty m:val="b"/>
          </m:rPr>
          <w:rPr>
            <w:rFonts w:ascii="Cambria Math" w:hAnsi="Cambria Math"/>
            <w:color w:val="555555"/>
            <w:shd w:val="clear" w:color="auto" w:fill="FFFFFF"/>
          </w:rPr>
          <m:t xml:space="preserve">- </m:t>
        </m:r>
        <m:r>
          <m:rPr>
            <m:sty m:val="b"/>
          </m:rPr>
          <w:rPr>
            <w:rFonts w:ascii="Cambria Math" w:hAnsi="Cambria Math"/>
          </w:rPr>
          <m:t>%</m:t>
        </m:r>
        <m:sSub>
          <m:sSubPr>
            <m:ctrlPr>
              <w:rPr>
                <w:rFonts w:ascii="Cambria Math" w:hAnsi="Cambria Math"/>
                <w:b/>
              </w:rPr>
            </m:ctrlPr>
          </m:sSubPr>
          <m:e>
            <m:r>
              <m:rPr>
                <m:nor/>
              </m:rPr>
              <w:rPr>
                <w:b/>
                <w:iCs/>
              </w:rPr>
              <m:t>c</m:t>
            </m:r>
          </m:e>
          <m:sub>
            <m:r>
              <m:rPr>
                <m:nor/>
              </m:rPr>
              <w:rPr>
                <w:rFonts w:ascii="Cambria Math"/>
                <w:b/>
              </w:rPr>
              <m:t>STAR</m:t>
            </m:r>
          </m:sub>
        </m:sSub>
        <m:r>
          <m:rPr>
            <m:sty m:val="b"/>
          </m:rPr>
          <w:rPr>
            <w:rFonts w:ascii="Cambria Math" w:hAnsi="Cambria Math"/>
            <w:color w:val="555555"/>
            <w:shd w:val="clear" w:color="auto" w:fill="FFFFFF"/>
          </w:rPr>
          <m:t xml:space="preserve">) </m:t>
        </m:r>
      </m:oMath>
    </w:p>
    <w:p w14:paraId="6F741995" w14:textId="7DC25879" w:rsidR="00337CB4" w:rsidRDefault="00A847B1" w:rsidP="00337CB4">
      <w:pPr>
        <w:pStyle w:val="IFTnormal"/>
      </w:pPr>
      <w:r>
        <w:t>D</w:t>
      </w:r>
      <w:r w:rsidR="00337CB4" w:rsidRPr="00337CB4">
        <w:t xml:space="preserve">onde los términos involucrados tienen el significado descrito en </w:t>
      </w:r>
      <w:r w:rsidR="005514E4">
        <w:t>el</w:t>
      </w:r>
      <w:r w:rsidR="005514E4" w:rsidRPr="00337CB4">
        <w:t xml:space="preserve"> </w:t>
      </w:r>
      <w:r w:rsidR="00337CB4" w:rsidRPr="00337CB4">
        <w:t xml:space="preserve">siguiente </w:t>
      </w:r>
      <w:r w:rsidR="005514E4">
        <w:t>cuadro</w:t>
      </w:r>
      <w:r w:rsidR="00337CB4" w:rsidRPr="00337CB4">
        <w:t>:</w:t>
      </w:r>
    </w:p>
    <w:tbl>
      <w:tblPr>
        <w:tblStyle w:val="Tablaconcuadrcula1clara"/>
        <w:tblW w:w="5000" w:type="pct"/>
        <w:jc w:val="center"/>
        <w:tblLook w:val="0420" w:firstRow="1" w:lastRow="0" w:firstColumn="0" w:lastColumn="0" w:noHBand="0" w:noVBand="1"/>
      </w:tblPr>
      <w:tblGrid>
        <w:gridCol w:w="2225"/>
        <w:gridCol w:w="6603"/>
      </w:tblGrid>
      <w:tr w:rsidR="00AE32C1" w:rsidRPr="00AE32C1" w14:paraId="76B90E9C" w14:textId="77777777" w:rsidTr="00A02ABE">
        <w:trPr>
          <w:cnfStyle w:val="100000000000" w:firstRow="1" w:lastRow="0" w:firstColumn="0" w:lastColumn="0" w:oddVBand="0" w:evenVBand="0" w:oddHBand="0" w:evenHBand="0" w:firstRowFirstColumn="0" w:firstRowLastColumn="0" w:lastRowFirstColumn="0" w:lastRowLastColumn="0"/>
          <w:trHeight w:val="278"/>
          <w:jc w:val="center"/>
        </w:trPr>
        <w:tc>
          <w:tcPr>
            <w:tcW w:w="1260" w:type="pct"/>
            <w:shd w:val="clear" w:color="auto" w:fill="E7E6E6" w:themeFill="background2"/>
          </w:tcPr>
          <w:p w14:paraId="02784B40" w14:textId="77777777" w:rsidR="00AE32C1" w:rsidRPr="00AE32C1" w:rsidRDefault="00AE32C1" w:rsidP="00A02ABE">
            <w:pPr>
              <w:pStyle w:val="Tableheading"/>
              <w:spacing w:before="0" w:after="0" w:line="276" w:lineRule="auto"/>
              <w:jc w:val="center"/>
              <w:rPr>
                <w:rFonts w:ascii="ITC Avant Garde" w:hAnsi="ITC Avant Garde" w:cs="Arial"/>
                <w:b/>
                <w:color w:val="000000" w:themeColor="text1"/>
                <w:sz w:val="20"/>
                <w:lang w:val="es-ES_tradnl"/>
              </w:rPr>
            </w:pPr>
            <w:r w:rsidRPr="00AE32C1">
              <w:rPr>
                <w:rFonts w:ascii="ITC Avant Garde" w:hAnsi="ITC Avant Garde" w:cs="Arial"/>
                <w:b/>
                <w:color w:val="000000"/>
                <w:sz w:val="20"/>
                <w:lang w:val="es-ES" w:eastAsia="es-ES"/>
              </w:rPr>
              <w:t>Concepto</w:t>
            </w:r>
          </w:p>
        </w:tc>
        <w:tc>
          <w:tcPr>
            <w:tcW w:w="3740" w:type="pct"/>
            <w:shd w:val="clear" w:color="auto" w:fill="E7E6E6" w:themeFill="background2"/>
          </w:tcPr>
          <w:p w14:paraId="5BEB8E25" w14:textId="77777777" w:rsidR="00AE32C1" w:rsidRPr="00AE32C1" w:rsidRDefault="00AE32C1" w:rsidP="00A02ABE">
            <w:pPr>
              <w:pStyle w:val="Tableheading"/>
              <w:spacing w:before="0" w:after="0" w:line="276" w:lineRule="auto"/>
              <w:jc w:val="center"/>
              <w:rPr>
                <w:rFonts w:ascii="ITC Avant Garde" w:hAnsi="ITC Avant Garde" w:cs="Arial"/>
                <w:b/>
                <w:color w:val="000000" w:themeColor="text1"/>
                <w:sz w:val="20"/>
                <w:lang w:val="es-ES_tradnl"/>
              </w:rPr>
            </w:pPr>
            <w:r w:rsidRPr="00AE32C1">
              <w:rPr>
                <w:rFonts w:ascii="ITC Avant Garde" w:hAnsi="ITC Avant Garde" w:cs="Arial"/>
                <w:b/>
                <w:color w:val="000000" w:themeColor="text1"/>
                <w:sz w:val="20"/>
                <w:lang w:val="es-ES_tradnl"/>
              </w:rPr>
              <w:t xml:space="preserve">Descripción </w:t>
            </w:r>
          </w:p>
        </w:tc>
      </w:tr>
      <w:tr w:rsidR="00AE32C1" w:rsidRPr="00AE32C1" w14:paraId="39CF14A0" w14:textId="77777777" w:rsidTr="00A02ABE">
        <w:trPr>
          <w:trHeight w:val="276"/>
          <w:jc w:val="center"/>
        </w:trPr>
        <w:tc>
          <w:tcPr>
            <w:tcW w:w="1260" w:type="pct"/>
            <w:vAlign w:val="center"/>
          </w:tcPr>
          <w:p w14:paraId="34728077" w14:textId="50B709B1" w:rsidR="00AE32C1" w:rsidRPr="00AE32C1" w:rsidRDefault="00873989" w:rsidP="00A02ABE">
            <w:pPr>
              <w:pStyle w:val="IFTnormal"/>
              <w:spacing w:after="0"/>
              <w:jc w:val="center"/>
              <w:rPr>
                <w:b/>
                <w:sz w:val="20"/>
              </w:rPr>
            </w:pPr>
            <m:oMathPara>
              <m:oMath>
                <m:sSub>
                  <m:sSubPr>
                    <m:ctrlPr>
                      <w:rPr>
                        <w:rFonts w:ascii="Cambria Math" w:hAnsi="Cambria Math"/>
                        <w:b/>
                        <w:sz w:val="20"/>
                      </w:rPr>
                    </m:ctrlPr>
                  </m:sSubPr>
                  <m:e>
                    <m:r>
                      <m:rPr>
                        <m:nor/>
                      </m:rPr>
                      <w:rPr>
                        <w:b/>
                        <w:sz w:val="20"/>
                      </w:rPr>
                      <m:t>P</m:t>
                    </m:r>
                  </m:e>
                  <m:sub>
                    <m:r>
                      <m:rPr>
                        <m:nor/>
                      </m:rPr>
                      <w:rPr>
                        <w:b/>
                        <w:sz w:val="20"/>
                      </w:rPr>
                      <m:t xml:space="preserve">implícito </m:t>
                    </m:r>
                    <m:r>
                      <m:rPr>
                        <m:nor/>
                      </m:rPr>
                      <w:rPr>
                        <w:rFonts w:ascii="Cambria Math"/>
                        <w:b/>
                        <w:sz w:val="20"/>
                      </w:rPr>
                      <m:t>STAR</m:t>
                    </m:r>
                  </m:sub>
                </m:sSub>
              </m:oMath>
            </m:oMathPara>
          </w:p>
        </w:tc>
        <w:tc>
          <w:tcPr>
            <w:tcW w:w="3740" w:type="pct"/>
            <w:vAlign w:val="center"/>
          </w:tcPr>
          <w:p w14:paraId="27B73092" w14:textId="1E4A23A7" w:rsidR="00AE32C1" w:rsidRPr="00AE32C1" w:rsidRDefault="00AE32C1" w:rsidP="00A02ABE">
            <w:pPr>
              <w:pStyle w:val="Tablecells"/>
              <w:spacing w:before="0" w:after="0" w:line="276" w:lineRule="auto"/>
              <w:jc w:val="both"/>
              <w:rPr>
                <w:rFonts w:ascii="ITC Avant Garde" w:hAnsi="ITC Avant Garde" w:cs="Arial"/>
                <w:sz w:val="20"/>
                <w:lang w:val="es-ES_tradnl"/>
              </w:rPr>
            </w:pPr>
            <w:r w:rsidRPr="00AE32C1">
              <w:rPr>
                <w:rFonts w:ascii="ITC Avant Garde" w:hAnsi="ITC Avant Garde" w:cs="Arial"/>
                <w:sz w:val="20"/>
                <w:lang w:val="es-ES_tradnl"/>
              </w:rPr>
              <w:t xml:space="preserve">Se refiere al precio implícito estimado por el modelo </w:t>
            </w:r>
            <w:r w:rsidR="008671E6">
              <w:rPr>
                <w:rFonts w:ascii="ITC Avant Garde" w:hAnsi="ITC Avant Garde" w:cs="Arial"/>
                <w:sz w:val="20"/>
                <w:lang w:val="es-ES_tradnl"/>
              </w:rPr>
              <w:t>del STAR</w:t>
            </w:r>
            <w:r w:rsidRPr="00AE32C1">
              <w:rPr>
                <w:rFonts w:ascii="ITC Avant Garde" w:hAnsi="ITC Avant Garde" w:cs="Arial"/>
                <w:sz w:val="20"/>
                <w:lang w:val="es-ES_tradnl"/>
              </w:rPr>
              <w:t xml:space="preserve"> en estudio.</w:t>
            </w:r>
          </w:p>
        </w:tc>
      </w:tr>
      <w:tr w:rsidR="00AE32C1" w:rsidRPr="00AE32C1" w14:paraId="60A2CDC5" w14:textId="77777777" w:rsidTr="00A02ABE">
        <w:trPr>
          <w:trHeight w:val="276"/>
          <w:jc w:val="center"/>
        </w:trPr>
        <w:tc>
          <w:tcPr>
            <w:tcW w:w="1260" w:type="pct"/>
            <w:shd w:val="clear" w:color="auto" w:fill="F2F2F2" w:themeFill="background1" w:themeFillShade="F2"/>
            <w:vAlign w:val="center"/>
          </w:tcPr>
          <w:p w14:paraId="585711D2" w14:textId="7D08A06C" w:rsidR="00AE32C1" w:rsidRPr="00AE32C1" w:rsidRDefault="00AE32C1" w:rsidP="00A02ABE">
            <w:pPr>
              <w:pStyle w:val="IFTnormal"/>
              <w:spacing w:after="0"/>
              <w:jc w:val="center"/>
              <w:rPr>
                <w:b/>
                <w:sz w:val="20"/>
              </w:rPr>
            </w:pPr>
            <m:oMathPara>
              <m:oMath>
                <m:r>
                  <m:rPr>
                    <m:sty m:val="b"/>
                  </m:rPr>
                  <w:rPr>
                    <w:rFonts w:ascii="Cambria Math" w:hAnsi="Cambria Math"/>
                    <w:sz w:val="20"/>
                  </w:rPr>
                  <m:t>%</m:t>
                </m:r>
                <m:sSub>
                  <m:sSubPr>
                    <m:ctrlPr>
                      <w:rPr>
                        <w:rFonts w:ascii="Cambria Math" w:hAnsi="Cambria Math"/>
                        <w:b/>
                        <w:sz w:val="20"/>
                      </w:rPr>
                    </m:ctrlPr>
                  </m:sSubPr>
                  <m:e>
                    <m:r>
                      <m:rPr>
                        <m:nor/>
                      </m:rPr>
                      <w:rPr>
                        <w:b/>
                        <w:iCs/>
                        <w:sz w:val="20"/>
                      </w:rPr>
                      <m:t>c</m:t>
                    </m:r>
                  </m:e>
                  <m:sub>
                    <m:r>
                      <m:rPr>
                        <m:nor/>
                      </m:rPr>
                      <w:rPr>
                        <w:rFonts w:ascii="Cambria Math"/>
                        <w:b/>
                        <w:sz w:val="20"/>
                      </w:rPr>
                      <m:t>STAR</m:t>
                    </m:r>
                  </m:sub>
                </m:sSub>
              </m:oMath>
            </m:oMathPara>
          </w:p>
        </w:tc>
        <w:tc>
          <w:tcPr>
            <w:tcW w:w="3740" w:type="pct"/>
            <w:shd w:val="clear" w:color="auto" w:fill="F2F2F2" w:themeFill="background1" w:themeFillShade="F2"/>
            <w:vAlign w:val="center"/>
          </w:tcPr>
          <w:p w14:paraId="1F537B02" w14:textId="1916F674" w:rsidR="00AE32C1" w:rsidRPr="00AE32C1" w:rsidRDefault="00AE32C1" w:rsidP="00A02ABE">
            <w:pPr>
              <w:pStyle w:val="Tablecells"/>
              <w:spacing w:before="0" w:after="0" w:line="276" w:lineRule="auto"/>
              <w:jc w:val="both"/>
              <w:rPr>
                <w:rFonts w:ascii="ITC Avant Garde" w:hAnsi="ITC Avant Garde" w:cs="Arial"/>
                <w:sz w:val="20"/>
                <w:lang w:val="es-ES_tradnl"/>
              </w:rPr>
            </w:pPr>
            <w:r w:rsidRPr="00AE32C1">
              <w:rPr>
                <w:rFonts w:ascii="ITC Avant Garde" w:hAnsi="ITC Avant Garde" w:cs="Arial"/>
                <w:sz w:val="20"/>
                <w:lang w:val="es-ES_tradnl"/>
              </w:rPr>
              <w:t xml:space="preserve">Representa el porcentaje de costos evitados estimado respecto al </w:t>
            </w:r>
            <w:r w:rsidR="008671E6">
              <w:rPr>
                <w:rFonts w:ascii="ITC Avant Garde" w:hAnsi="ITC Avant Garde" w:cs="Arial"/>
                <w:sz w:val="20"/>
                <w:lang w:val="es-ES_tradnl"/>
              </w:rPr>
              <w:t>STAR</w:t>
            </w:r>
            <w:r w:rsidRPr="00AE32C1">
              <w:rPr>
                <w:rFonts w:ascii="ITC Avant Garde" w:hAnsi="ITC Avant Garde" w:cs="Arial"/>
                <w:sz w:val="20"/>
                <w:lang w:val="es-ES_tradnl"/>
              </w:rPr>
              <w:t>.</w:t>
            </w:r>
          </w:p>
        </w:tc>
      </w:tr>
    </w:tbl>
    <w:p w14:paraId="4479657F" w14:textId="20408792" w:rsidR="008739DC" w:rsidRDefault="008739DC" w:rsidP="008739DC">
      <w:pPr>
        <w:pStyle w:val="IFTnormal"/>
        <w:numPr>
          <w:ilvl w:val="0"/>
          <w:numId w:val="59"/>
        </w:numPr>
        <w:tabs>
          <w:tab w:val="left" w:pos="1134"/>
        </w:tabs>
        <w:ind w:left="142" w:hanging="142"/>
        <w:rPr>
          <w:b/>
          <w:bCs w:val="0"/>
          <w:sz w:val="17"/>
          <w:szCs w:val="17"/>
        </w:rPr>
      </w:pPr>
      <w:r>
        <w:rPr>
          <w:sz w:val="20"/>
          <w:szCs w:val="20"/>
        </w:rPr>
        <w:t>Descripción de rubros del esquema de aplicación de tarifas del SMR.</w:t>
      </w:r>
    </w:p>
    <w:p w14:paraId="62BB84D6" w14:textId="418ACB2C" w:rsidR="00B34E81" w:rsidRDefault="00B34E81" w:rsidP="008671E6">
      <w:pPr>
        <w:pStyle w:val="IFTnormal"/>
      </w:pPr>
    </w:p>
    <w:sectPr w:rsidR="00B34E81" w:rsidSect="00A02ABE">
      <w:footerReference w:type="default" r:id="rId22"/>
      <w:headerReference w:type="first" r:id="rId2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C2D54" w14:textId="77777777" w:rsidR="0098402F" w:rsidRDefault="0098402F" w:rsidP="00181D64">
      <w:pPr>
        <w:spacing w:after="0" w:line="240" w:lineRule="auto"/>
      </w:pPr>
      <w:r>
        <w:separator/>
      </w:r>
    </w:p>
  </w:endnote>
  <w:endnote w:type="continuationSeparator" w:id="0">
    <w:p w14:paraId="7B7AE57F" w14:textId="77777777" w:rsidR="0098402F" w:rsidRDefault="0098402F" w:rsidP="00181D64">
      <w:pPr>
        <w:spacing w:after="0" w:line="240" w:lineRule="auto"/>
      </w:pPr>
      <w:r>
        <w:continuationSeparator/>
      </w:r>
    </w:p>
  </w:endnote>
  <w:endnote w:type="continuationNotice" w:id="1">
    <w:p w14:paraId="3F1FC013" w14:textId="77777777" w:rsidR="0098402F" w:rsidRDefault="00984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691502"/>
      <w:docPartObj>
        <w:docPartGallery w:val="Page Numbers (Bottom of Page)"/>
        <w:docPartUnique/>
      </w:docPartObj>
    </w:sdtPr>
    <w:sdtEndPr>
      <w:rPr>
        <w:rFonts w:ascii="ITC Avant Garde" w:hAnsi="ITC Avant Garde"/>
      </w:rPr>
    </w:sdtEndPr>
    <w:sdtContent>
      <w:sdt>
        <w:sdtPr>
          <w:id w:val="-1769616900"/>
          <w:docPartObj>
            <w:docPartGallery w:val="Page Numbers (Top of Page)"/>
            <w:docPartUnique/>
          </w:docPartObj>
        </w:sdtPr>
        <w:sdtEndPr>
          <w:rPr>
            <w:rFonts w:ascii="ITC Avant Garde" w:hAnsi="ITC Avant Garde"/>
          </w:rPr>
        </w:sdtEndPr>
        <w:sdtContent>
          <w:p w14:paraId="7F938EF3" w14:textId="77777777" w:rsidR="0098402F" w:rsidRPr="00C56796" w:rsidRDefault="0098402F">
            <w:pPr>
              <w:pStyle w:val="Piedepgina"/>
              <w:jc w:val="right"/>
              <w:rPr>
                <w:rFonts w:ascii="ITC Avant Garde" w:hAnsi="ITC Avant Garde"/>
              </w:rPr>
            </w:pPr>
            <w:r w:rsidRPr="00C56796">
              <w:rPr>
                <w:rFonts w:ascii="ITC Avant Garde" w:hAnsi="ITC Avant Garde"/>
                <w:lang w:val="es-ES"/>
              </w:rPr>
              <w:t xml:space="preserve">Página </w:t>
            </w:r>
            <w:r w:rsidRPr="00C56796">
              <w:rPr>
                <w:rFonts w:ascii="ITC Avant Garde" w:hAnsi="ITC Avant Garde"/>
                <w:b/>
                <w:sz w:val="24"/>
                <w:szCs w:val="24"/>
              </w:rPr>
              <w:fldChar w:fldCharType="begin"/>
            </w:r>
            <w:r w:rsidRPr="00C56796">
              <w:rPr>
                <w:rFonts w:ascii="ITC Avant Garde" w:hAnsi="ITC Avant Garde"/>
                <w:b/>
              </w:rPr>
              <w:instrText>PAGE</w:instrText>
            </w:r>
            <w:r w:rsidRPr="00C56796">
              <w:rPr>
                <w:rFonts w:ascii="ITC Avant Garde" w:hAnsi="ITC Avant Garde"/>
                <w:b/>
                <w:sz w:val="24"/>
                <w:szCs w:val="24"/>
              </w:rPr>
              <w:fldChar w:fldCharType="separate"/>
            </w:r>
            <w:r w:rsidRPr="00C56796">
              <w:rPr>
                <w:rFonts w:ascii="ITC Avant Garde" w:hAnsi="ITC Avant Garde"/>
                <w:b/>
                <w:lang w:val="es-ES"/>
              </w:rPr>
              <w:t>2</w:t>
            </w:r>
            <w:r w:rsidRPr="00C56796">
              <w:rPr>
                <w:rFonts w:ascii="ITC Avant Garde" w:hAnsi="ITC Avant Garde"/>
                <w:b/>
                <w:sz w:val="24"/>
                <w:szCs w:val="24"/>
              </w:rPr>
              <w:fldChar w:fldCharType="end"/>
            </w:r>
            <w:r w:rsidRPr="00C56796">
              <w:rPr>
                <w:rFonts w:ascii="ITC Avant Garde" w:hAnsi="ITC Avant Garde"/>
                <w:lang w:val="es-ES"/>
              </w:rPr>
              <w:t xml:space="preserve"> de </w:t>
            </w:r>
            <w:r w:rsidRPr="00C56796">
              <w:rPr>
                <w:rFonts w:ascii="ITC Avant Garde" w:hAnsi="ITC Avant Garde"/>
                <w:b/>
                <w:sz w:val="24"/>
                <w:szCs w:val="24"/>
              </w:rPr>
              <w:fldChar w:fldCharType="begin"/>
            </w:r>
            <w:r w:rsidRPr="00C56796">
              <w:rPr>
                <w:rFonts w:ascii="ITC Avant Garde" w:hAnsi="ITC Avant Garde"/>
                <w:b/>
              </w:rPr>
              <w:instrText>NUMPAGES</w:instrText>
            </w:r>
            <w:r w:rsidRPr="00C56796">
              <w:rPr>
                <w:rFonts w:ascii="ITC Avant Garde" w:hAnsi="ITC Avant Garde"/>
                <w:b/>
                <w:sz w:val="24"/>
                <w:szCs w:val="24"/>
              </w:rPr>
              <w:fldChar w:fldCharType="separate"/>
            </w:r>
            <w:r w:rsidRPr="00C56796">
              <w:rPr>
                <w:rFonts w:ascii="ITC Avant Garde" w:hAnsi="ITC Avant Garde"/>
                <w:b/>
                <w:lang w:val="es-ES"/>
              </w:rPr>
              <w:t>2</w:t>
            </w:r>
            <w:r w:rsidRPr="00C56796">
              <w:rPr>
                <w:rFonts w:ascii="ITC Avant Garde" w:hAnsi="ITC Avant Garde"/>
                <w:b/>
                <w:sz w:val="24"/>
                <w:szCs w:val="24"/>
              </w:rPr>
              <w:fldChar w:fldCharType="end"/>
            </w:r>
          </w:p>
        </w:sdtContent>
      </w:sdt>
    </w:sdtContent>
  </w:sdt>
  <w:p w14:paraId="5AE00A12" w14:textId="77777777" w:rsidR="0098402F" w:rsidRDefault="00984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6D08B" w14:textId="77777777" w:rsidR="0098402F" w:rsidRDefault="0098402F" w:rsidP="00181D64">
      <w:pPr>
        <w:spacing w:after="0" w:line="240" w:lineRule="auto"/>
      </w:pPr>
      <w:r>
        <w:separator/>
      </w:r>
    </w:p>
  </w:footnote>
  <w:footnote w:type="continuationSeparator" w:id="0">
    <w:p w14:paraId="774B38C9" w14:textId="77777777" w:rsidR="0098402F" w:rsidRDefault="0098402F" w:rsidP="00181D64">
      <w:pPr>
        <w:spacing w:after="0" w:line="240" w:lineRule="auto"/>
      </w:pPr>
      <w:r>
        <w:continuationSeparator/>
      </w:r>
    </w:p>
  </w:footnote>
  <w:footnote w:type="continuationNotice" w:id="1">
    <w:p w14:paraId="59A12463" w14:textId="77777777" w:rsidR="0098402F" w:rsidRDefault="0098402F">
      <w:pPr>
        <w:spacing w:after="0" w:line="240" w:lineRule="auto"/>
      </w:pPr>
    </w:p>
  </w:footnote>
  <w:footnote w:id="2">
    <w:p w14:paraId="1DB3F894" w14:textId="73C984BD" w:rsidR="0098402F" w:rsidRPr="00BE66BD" w:rsidRDefault="0098402F" w:rsidP="00BE66BD">
      <w:pPr>
        <w:pStyle w:val="Textonotapie"/>
        <w:jc w:val="both"/>
        <w:rPr>
          <w:rFonts w:ascii="ITC Avant Garde" w:hAnsi="ITC Avant Garde"/>
          <w:sz w:val="18"/>
          <w:szCs w:val="18"/>
        </w:rPr>
      </w:pPr>
      <w:r w:rsidRPr="00BE66BD">
        <w:rPr>
          <w:rStyle w:val="Refdenotaalpie"/>
          <w:rFonts w:ascii="ITC Avant Garde" w:hAnsi="ITC Avant Garde"/>
          <w:sz w:val="18"/>
          <w:szCs w:val="18"/>
        </w:rPr>
        <w:footnoteRef/>
      </w:r>
      <w:r w:rsidRPr="00BE66BD">
        <w:rPr>
          <w:rFonts w:ascii="ITC Avant Garde" w:hAnsi="ITC Avant Garde"/>
          <w:sz w:val="18"/>
          <w:szCs w:val="18"/>
        </w:rPr>
        <w:t xml:space="preserve"> </w:t>
      </w:r>
      <w:r w:rsidRPr="008739DC">
        <w:rPr>
          <w:rFonts w:ascii="ITC Avant Garde" w:hAnsi="ITC Avant Garde"/>
          <w:sz w:val="18"/>
          <w:szCs w:val="18"/>
        </w:rPr>
        <w:t xml:space="preserve">Enfoque metodológico autorizado por el Instituto mediante Resolución P/IFT/EXT/111218/24, cuya última revisión metodológica se realizó mediante Consulta Pública el 28 de septiembre de 2022. Disponible en la siguiente liga electrónica: </w:t>
      </w:r>
      <w:hyperlink r:id="rId1" w:history="1">
        <w:r w:rsidRPr="008739DC">
          <w:rPr>
            <w:rStyle w:val="Hipervnculo"/>
            <w:rFonts w:ascii="ITC Avant Garde" w:hAnsi="ITC Avant Garde"/>
            <w:sz w:val="18"/>
            <w:szCs w:val="18"/>
          </w:rPr>
          <w:t>https://www.ift.org.mx/industria/consultas-publicas/consulta-publica-sobre-el-modelo-de-costos-evitados-para-los-servicios-de-reventa-provistos-por-el-0</w:t>
        </w:r>
      </w:hyperlink>
      <w:r w:rsidRPr="008739DC">
        <w:rPr>
          <w:rFonts w:ascii="ITC Avant Garde" w:hAnsi="ITC Avant Garde"/>
          <w:sz w:val="18"/>
          <w:szCs w:val="18"/>
        </w:rPr>
        <w:t>.</w:t>
      </w:r>
    </w:p>
  </w:footnote>
  <w:footnote w:id="3">
    <w:p w14:paraId="627852E2" w14:textId="77777777" w:rsidR="0098402F" w:rsidRPr="00523310" w:rsidRDefault="0098402F" w:rsidP="00181D64">
      <w:pPr>
        <w:pStyle w:val="aaaNOTAalpie"/>
        <w:spacing w:after="0"/>
        <w:rPr>
          <w:rFonts w:ascii="ITC Avant Garde" w:hAnsi="ITC Avant Garde"/>
          <w:sz w:val="20"/>
          <w:szCs w:val="20"/>
        </w:rPr>
      </w:pPr>
      <w:r w:rsidRPr="00490189">
        <w:rPr>
          <w:rStyle w:val="Refdenotaalpie"/>
          <w:rFonts w:ascii="ITC Avant Garde" w:hAnsi="ITC Avant Garde"/>
          <w:szCs w:val="20"/>
        </w:rPr>
        <w:footnoteRef/>
      </w:r>
      <w:r w:rsidRPr="00490189">
        <w:rPr>
          <w:rFonts w:ascii="ITC Avant Garde" w:hAnsi="ITC Avant Garde"/>
          <w:szCs w:val="20"/>
        </w:rPr>
        <w:t xml:space="preserve"> </w:t>
      </w:r>
      <w:r w:rsidRPr="00490189">
        <w:rPr>
          <w:rFonts w:ascii="ITC Avant Garde" w:hAnsi="ITC Avant Garde"/>
          <w:szCs w:val="20"/>
        </w:rPr>
        <w:tab/>
        <w:t xml:space="preserve">En este caso, la fórmula anterior equivaldría a la expresión </w:t>
      </w:r>
      <m:oMath>
        <m:sSup>
          <m:sSupPr>
            <m:ctrlPr>
              <w:rPr>
                <w:rFonts w:ascii="Cambria Math" w:hAnsi="Cambria Math"/>
                <w:b/>
                <w:szCs w:val="20"/>
              </w:rPr>
            </m:ctrlPr>
          </m:sSupPr>
          <m:e>
            <m:r>
              <m:rPr>
                <m:nor/>
              </m:rPr>
              <w:rPr>
                <w:rFonts w:ascii="ITC Avant Garde" w:hAnsi="ITC Avant Garde"/>
                <w:b/>
                <w:szCs w:val="20"/>
              </w:rPr>
              <m:t>P</m:t>
            </m:r>
          </m:e>
          <m:sup>
            <m:r>
              <m:rPr>
                <m:nor/>
              </m:rPr>
              <w:rPr>
                <w:rFonts w:ascii="ITC Avant Garde" w:hAnsi="ITC Avant Garde"/>
                <w:b/>
                <w:szCs w:val="20"/>
              </w:rPr>
              <m:t>m</m:t>
            </m:r>
          </m:sup>
        </m:sSup>
        <m:r>
          <m:rPr>
            <m:nor/>
          </m:rPr>
          <w:rPr>
            <w:rFonts w:ascii="ITC Avant Garde" w:hAnsi="ITC Avant Garde"/>
            <w:szCs w:val="20"/>
          </w:rPr>
          <m:t>=</m:t>
        </m:r>
        <m:sSup>
          <m:sSupPr>
            <m:ctrlPr>
              <w:rPr>
                <w:rFonts w:ascii="Cambria Math" w:hAnsi="Cambria Math"/>
                <w:b/>
                <w:szCs w:val="20"/>
              </w:rPr>
            </m:ctrlPr>
          </m:sSupPr>
          <m:e>
            <m:r>
              <m:rPr>
                <m:nor/>
              </m:rPr>
              <w:rPr>
                <w:rFonts w:ascii="ITC Avant Garde" w:hAnsi="ITC Avant Garde"/>
                <w:b/>
                <w:szCs w:val="20"/>
              </w:rPr>
              <m:t xml:space="preserve"> P</m:t>
            </m:r>
          </m:e>
          <m:sup>
            <m:r>
              <m:rPr>
                <m:nor/>
              </m:rPr>
              <w:rPr>
                <w:rFonts w:ascii="ITC Avant Garde" w:hAnsi="ITC Avant Garde"/>
                <w:b/>
                <w:szCs w:val="20"/>
              </w:rPr>
              <m:t>r</m:t>
            </m:r>
          </m:sup>
        </m:sSup>
        <m:r>
          <m:rPr>
            <m:nor/>
          </m:rPr>
          <w:rPr>
            <w:rFonts w:ascii="ITC Avant Garde" w:hAnsi="ITC Avant Garde"/>
            <w:b/>
            <w:szCs w:val="20"/>
          </w:rPr>
          <m:t xml:space="preserve"> × (1</m:t>
        </m:r>
        <m:r>
          <m:rPr>
            <m:sty m:val="bi"/>
          </m:rPr>
          <w:rPr>
            <w:rFonts w:ascii="Cambria Math" w:hAnsi="Cambria Math"/>
            <w:szCs w:val="20"/>
          </w:rPr>
          <m:t xml:space="preserve"> </m:t>
        </m:r>
        <m:r>
          <m:rPr>
            <m:nor/>
          </m:rPr>
          <w:rPr>
            <w:rFonts w:ascii="ITC Avant Garde" w:hAnsi="ITC Avant Garde"/>
            <w:szCs w:val="20"/>
          </w:rPr>
          <m:t xml:space="preserve">- </m:t>
        </m:r>
        <m:r>
          <m:rPr>
            <m:nor/>
          </m:rPr>
          <w:rPr>
            <w:rFonts w:ascii="ITC Avant Garde" w:hAnsi="ITC Avant Garde"/>
            <w:b/>
            <w:szCs w:val="20"/>
          </w:rPr>
          <m:t>%c</m:t>
        </m:r>
      </m:oMath>
      <w:r w:rsidRPr="00490189">
        <w:rPr>
          <w:rFonts w:ascii="ITC Avant Garde" w:hAnsi="ITC Avant Garde"/>
          <w:b/>
          <w:szCs w:val="20"/>
        </w:rPr>
        <w:t xml:space="preserve">), </w:t>
      </w:r>
      <w:r w:rsidRPr="00490189">
        <w:rPr>
          <w:rFonts w:ascii="ITC Avant Garde" w:hAnsi="ITC Avant Garde"/>
          <w:szCs w:val="20"/>
        </w:rPr>
        <w:t xml:space="preserve">donde </w:t>
      </w:r>
      <w:r w:rsidRPr="00490189">
        <w:rPr>
          <w:rFonts w:ascii="ITC Avant Garde" w:hAnsi="ITC Avant Garde"/>
          <w:b/>
          <w:szCs w:val="20"/>
        </w:rPr>
        <w:t xml:space="preserve">%c </w:t>
      </w:r>
      <w:r w:rsidRPr="00490189">
        <w:rPr>
          <w:rFonts w:ascii="ITC Avant Garde" w:hAnsi="ITC Avant Garde"/>
          <w:szCs w:val="20"/>
        </w:rPr>
        <w:t>correspondería al valor porcentual del precio de referencia que representaría el nivel de costos evitados asociados al servicio mayorista</w:t>
      </w:r>
      <w:r w:rsidRPr="00490189">
        <w:rPr>
          <w:rFonts w:ascii="ITC Avant Garde" w:hAnsi="ITC Avant Garde"/>
          <w:b/>
          <w:szCs w:val="20"/>
        </w:rPr>
        <w:t>.</w:t>
      </w:r>
    </w:p>
  </w:footnote>
  <w:footnote w:id="4">
    <w:p w14:paraId="2AE81236" w14:textId="452026EF" w:rsidR="0098402F" w:rsidRPr="009C369C" w:rsidRDefault="0098402F" w:rsidP="00181D64">
      <w:pPr>
        <w:pStyle w:val="aaaNOTAalpie"/>
        <w:rPr>
          <w:rFonts w:ascii="ITC Avant Garde" w:hAnsi="ITC Avant Garde" w:cs="Arial"/>
          <w:sz w:val="16"/>
          <w:szCs w:val="16"/>
        </w:rPr>
      </w:pPr>
      <w:r w:rsidRPr="001A7CBE">
        <w:rPr>
          <w:rStyle w:val="Refdenotaalpie"/>
          <w:rFonts w:ascii="ITC Avant Garde" w:hAnsi="ITC Avant Garde" w:cs="Arial"/>
          <w:szCs w:val="16"/>
        </w:rPr>
        <w:footnoteRef/>
      </w:r>
      <w:r w:rsidRPr="001A7CBE">
        <w:rPr>
          <w:rFonts w:ascii="ITC Avant Garde" w:hAnsi="ITC Avant Garde" w:cs="Arial"/>
          <w:szCs w:val="16"/>
        </w:rPr>
        <w:t xml:space="preserve"> Es decir, la unidad aplicable a cada elemento o servicio que se incluye en los planes y paquetes del APSM.</w:t>
      </w:r>
    </w:p>
  </w:footnote>
  <w:footnote w:id="5">
    <w:p w14:paraId="453046B1" w14:textId="4CE0AC21" w:rsidR="0098402F" w:rsidRPr="00BE66BD" w:rsidRDefault="0098402F" w:rsidP="00713EFD">
      <w:pPr>
        <w:pStyle w:val="Textonotapie"/>
        <w:jc w:val="both"/>
        <w:rPr>
          <w:rFonts w:ascii="ITC Avant Garde" w:hAnsi="ITC Avant Garde"/>
          <w:sz w:val="18"/>
          <w:szCs w:val="18"/>
        </w:rPr>
      </w:pPr>
      <w:r w:rsidRPr="00BE66BD">
        <w:rPr>
          <w:rStyle w:val="Refdenotaalpie"/>
          <w:rFonts w:ascii="ITC Avant Garde" w:hAnsi="ITC Avant Garde"/>
          <w:sz w:val="18"/>
          <w:szCs w:val="18"/>
        </w:rPr>
        <w:footnoteRef/>
      </w:r>
      <w:r w:rsidRPr="00BE66BD">
        <w:rPr>
          <w:rFonts w:ascii="ITC Avant Garde" w:hAnsi="ITC Avant Garde"/>
          <w:sz w:val="18"/>
          <w:szCs w:val="18"/>
        </w:rPr>
        <w:t xml:space="preserve"> Para fines de referencia, se considera de manera preliminar el valor del CCPP nominal antes de impuestos establecido en la “Metodología para el cálculo del costo de capital promedio ponderado (CCPP)”. Disponible en la siguiente liga electrónica:</w:t>
      </w:r>
      <w:r>
        <w:rPr>
          <w:rFonts w:ascii="ITC Avant Garde" w:hAnsi="ITC Avant Garde"/>
          <w:sz w:val="18"/>
          <w:szCs w:val="18"/>
        </w:rPr>
        <w:t xml:space="preserve"> </w:t>
      </w:r>
      <w:hyperlink r:id="rId2" w:history="1">
        <w:r w:rsidRPr="003B2FFA">
          <w:rPr>
            <w:rStyle w:val="Hipervnculo"/>
            <w:rFonts w:ascii="ITC Avant Garde" w:hAnsi="ITC Avant Garde"/>
            <w:sz w:val="18"/>
            <w:szCs w:val="18"/>
          </w:rPr>
          <w:t>https://www.ift.org.mx/sites/default/files/contenidogeneral/politica-regulatoria/metodologiaycalculodelccpp2024-2026.pdf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6F98" w14:textId="6C60DD9B" w:rsidR="0098402F" w:rsidRDefault="00873989">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25" type="#_x0000_t75" alt="hoja membretada s dir-01" style="position:absolute;margin-left:-88.15pt;margin-top:-82pt;width:612pt;height:808pt;z-index:-25165875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6FF86D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E5DC6"/>
    <w:multiLevelType w:val="hybridMultilevel"/>
    <w:tmpl w:val="95E85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F35325"/>
    <w:multiLevelType w:val="hybridMultilevel"/>
    <w:tmpl w:val="EE4EE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4F23FA"/>
    <w:multiLevelType w:val="hybridMultilevel"/>
    <w:tmpl w:val="DAA4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6974E6"/>
    <w:multiLevelType w:val="hybridMultilevel"/>
    <w:tmpl w:val="D37CF9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706FCA"/>
    <w:multiLevelType w:val="hybridMultilevel"/>
    <w:tmpl w:val="6A7A6286"/>
    <w:styleLink w:val="Estilo1"/>
    <w:lvl w:ilvl="0" w:tplc="28D4B3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877E00"/>
    <w:multiLevelType w:val="hybridMultilevel"/>
    <w:tmpl w:val="11B00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7A39EB"/>
    <w:multiLevelType w:val="hybridMultilevel"/>
    <w:tmpl w:val="4BB258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C5A5AD6"/>
    <w:multiLevelType w:val="hybridMultilevel"/>
    <w:tmpl w:val="4BB60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B241BF"/>
    <w:multiLevelType w:val="hybridMultilevel"/>
    <w:tmpl w:val="18F279C8"/>
    <w:lvl w:ilvl="0" w:tplc="080A0013">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BD74EB"/>
    <w:multiLevelType w:val="hybridMultilevel"/>
    <w:tmpl w:val="9CC6C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5E7246"/>
    <w:multiLevelType w:val="hybridMultilevel"/>
    <w:tmpl w:val="721AE71A"/>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1D7C9C"/>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2EA115B8"/>
    <w:multiLevelType w:val="hybridMultilevel"/>
    <w:tmpl w:val="AD926076"/>
    <w:lvl w:ilvl="0" w:tplc="080A0019">
      <w:start w:val="1"/>
      <w:numFmt w:val="lowerLetter"/>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38317DE3"/>
    <w:multiLevelType w:val="hybridMultilevel"/>
    <w:tmpl w:val="E6D0756E"/>
    <w:lvl w:ilvl="0" w:tplc="89F4D20E">
      <w:start w:val="1"/>
      <w:numFmt w:val="decimal"/>
      <w:pStyle w:val="Figura"/>
      <w:suff w:val="space"/>
      <w:lvlText w:val="Figura %1. "/>
      <w:lvlJc w:val="left"/>
      <w:rPr>
        <w:rFonts w:ascii="ITC Avant Garde" w:hAnsi="ITC Avant Garde" w:cs="Arial" w:hint="default"/>
        <w:b/>
        <w:bCs w:val="0"/>
        <w:i w:val="0"/>
        <w:iCs w:val="0"/>
        <w:caps w:val="0"/>
        <w:strike w:val="0"/>
        <w:dstrike w:val="0"/>
        <w:vanish w:val="0"/>
        <w:color w:val="000000"/>
        <w:spacing w:val="0"/>
        <w:kern w:val="0"/>
        <w:position w:val="0"/>
        <w:sz w:val="20"/>
        <w:szCs w:val="20"/>
        <w:u w:val="none"/>
        <w:effect w:val="none"/>
        <w:vertAlign w:val="baseline"/>
        <w:em w:val="none"/>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5" w15:restartNumberingAfterBreak="0">
    <w:nsid w:val="3C7F08AD"/>
    <w:multiLevelType w:val="hybridMultilevel"/>
    <w:tmpl w:val="071ACB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6007B5"/>
    <w:multiLevelType w:val="hybridMultilevel"/>
    <w:tmpl w:val="252448AA"/>
    <w:styleLink w:val="Estilo3"/>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75196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690C48"/>
    <w:multiLevelType w:val="hybridMultilevel"/>
    <w:tmpl w:val="02E09E7C"/>
    <w:lvl w:ilvl="0" w:tplc="69C417CA">
      <w:start w:val="1"/>
      <w:numFmt w:val="lowerLetter"/>
      <w:lvlText w:val="%1)"/>
      <w:lvlJc w:val="left"/>
      <w:pPr>
        <w:ind w:left="720" w:hanging="360"/>
      </w:pPr>
      <w:rPr>
        <w:rFonts w:ascii="ITC Avant Garde" w:eastAsia="Calibri" w:hAnsi="ITC Avant Garde" w:cs="Arial"/>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8D2503"/>
    <w:multiLevelType w:val="hybridMultilevel"/>
    <w:tmpl w:val="546ACF0E"/>
    <w:lvl w:ilvl="0" w:tplc="0BB2EC6C">
      <w:start w:val="14"/>
      <w:numFmt w:val="decimal"/>
      <w:lvlText w:val="%1)"/>
      <w:lvlJc w:val="left"/>
      <w:pPr>
        <w:ind w:left="1211" w:hanging="360"/>
      </w:pPr>
      <w:rPr>
        <w:rFonts w:cs="ITC Avant Garde"/>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55CD60D3"/>
    <w:multiLevelType w:val="hybridMultilevel"/>
    <w:tmpl w:val="6BB21374"/>
    <w:lvl w:ilvl="0" w:tplc="B12A2CEE">
      <w:start w:val="1"/>
      <w:numFmt w:val="lowerLetter"/>
      <w:lvlText w:val="%1)"/>
      <w:lvlJc w:val="left"/>
      <w:pPr>
        <w:ind w:left="720" w:hanging="360"/>
      </w:pPr>
      <w:rPr>
        <w:rFonts w:ascii="ITC Avant Garde" w:eastAsia="Calibri" w:hAnsi="ITC Avant Garde" w:cs="Aria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555031"/>
    <w:multiLevelType w:val="hybridMultilevel"/>
    <w:tmpl w:val="6890B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D72464"/>
    <w:multiLevelType w:val="hybridMultilevel"/>
    <w:tmpl w:val="8E582B74"/>
    <w:lvl w:ilvl="0" w:tplc="76426794">
      <w:start w:val="1"/>
      <w:numFmt w:val="decimal"/>
      <w:lvlText w:val="%1."/>
      <w:lvlJc w:val="left"/>
      <w:pPr>
        <w:ind w:left="720"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1BB1ED0"/>
    <w:multiLevelType w:val="hybridMultilevel"/>
    <w:tmpl w:val="7E088880"/>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24" w15:restartNumberingAfterBreak="0">
    <w:nsid w:val="62F359E8"/>
    <w:multiLevelType w:val="hybridMultilevel"/>
    <w:tmpl w:val="800CC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4B32BC"/>
    <w:multiLevelType w:val="hybridMultilevel"/>
    <w:tmpl w:val="5C8CC258"/>
    <w:lvl w:ilvl="0" w:tplc="1E90E5AE">
      <w:start w:val="1"/>
      <w:numFmt w:val="decimal"/>
      <w:lvlText w:val="Cuadro %1."/>
      <w:lvlJc w:val="left"/>
      <w:pPr>
        <w:ind w:left="720" w:hanging="360"/>
      </w:pPr>
      <w:rPr>
        <w:rFonts w:hint="default"/>
        <w:b/>
        <w:bCs w:val="0"/>
        <w:sz w:val="20"/>
        <w:szCs w:val="20"/>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4C0BB1"/>
    <w:multiLevelType w:val="hybridMultilevel"/>
    <w:tmpl w:val="499E9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3E24CD"/>
    <w:multiLevelType w:val="hybridMultilevel"/>
    <w:tmpl w:val="721AE71A"/>
    <w:lvl w:ilvl="0" w:tplc="28D4B3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715B4B"/>
    <w:multiLevelType w:val="hybridMultilevel"/>
    <w:tmpl w:val="2C783B8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215A65"/>
    <w:multiLevelType w:val="multilevel"/>
    <w:tmpl w:val="0884E914"/>
    <w:lvl w:ilvl="0">
      <w:start w:val="1"/>
      <w:numFmt w:val="decimal"/>
      <w:lvlText w:val="%1."/>
      <w:lvlJc w:val="left"/>
      <w:pPr>
        <w:ind w:left="2502" w:hanging="360"/>
      </w:pPr>
    </w:lvl>
    <w:lvl w:ilvl="1">
      <w:start w:val="1"/>
      <w:numFmt w:val="decimal"/>
      <w:lvlText w:val="%1.%2."/>
      <w:lvlJc w:val="left"/>
      <w:pPr>
        <w:ind w:left="2934" w:hanging="432"/>
      </w:pPr>
      <w:rPr>
        <w:b/>
      </w:rPr>
    </w:lvl>
    <w:lvl w:ilvl="2">
      <w:start w:val="1"/>
      <w:numFmt w:val="decimal"/>
      <w:lvlText w:val="%1.%2.%3."/>
      <w:lvlJc w:val="left"/>
      <w:pPr>
        <w:ind w:left="3366" w:hanging="504"/>
      </w:pPr>
      <w:rPr>
        <w:rFonts w:ascii="ITC Avant Garde" w:hAnsi="ITC Avant Garde" w:hint="default"/>
        <w:b/>
        <w:sz w:val="22"/>
      </w:rPr>
    </w:lvl>
    <w:lvl w:ilvl="3">
      <w:start w:val="1"/>
      <w:numFmt w:val="decimal"/>
      <w:lvlText w:val="%1.%2.%3.%4."/>
      <w:lvlJc w:val="left"/>
      <w:pPr>
        <w:ind w:left="3870" w:hanging="648"/>
      </w:pPr>
    </w:lvl>
    <w:lvl w:ilvl="4">
      <w:start w:val="1"/>
      <w:numFmt w:val="decimal"/>
      <w:lvlText w:val="%1.%2.%3.%4.%5."/>
      <w:lvlJc w:val="left"/>
      <w:pPr>
        <w:ind w:left="4374" w:hanging="792"/>
      </w:pPr>
    </w:lvl>
    <w:lvl w:ilvl="5">
      <w:start w:val="1"/>
      <w:numFmt w:val="decimal"/>
      <w:lvlText w:val="%1.%2.%3.%4.%5.%6."/>
      <w:lvlJc w:val="left"/>
      <w:pPr>
        <w:ind w:left="4878" w:hanging="936"/>
      </w:pPr>
    </w:lvl>
    <w:lvl w:ilvl="6">
      <w:start w:val="1"/>
      <w:numFmt w:val="decimal"/>
      <w:lvlText w:val="%1.%2.%3.%4.%5.%6.%7."/>
      <w:lvlJc w:val="left"/>
      <w:pPr>
        <w:ind w:left="5382" w:hanging="1080"/>
      </w:pPr>
    </w:lvl>
    <w:lvl w:ilvl="7">
      <w:start w:val="1"/>
      <w:numFmt w:val="decimal"/>
      <w:lvlText w:val="%1.%2.%3.%4.%5.%6.%7.%8."/>
      <w:lvlJc w:val="left"/>
      <w:pPr>
        <w:ind w:left="5886" w:hanging="1224"/>
      </w:pPr>
    </w:lvl>
    <w:lvl w:ilvl="8">
      <w:start w:val="1"/>
      <w:numFmt w:val="decimal"/>
      <w:lvlText w:val="%1.%2.%3.%4.%5.%6.%7.%8.%9."/>
      <w:lvlJc w:val="left"/>
      <w:pPr>
        <w:ind w:left="6462" w:hanging="1440"/>
      </w:pPr>
    </w:lvl>
  </w:abstractNum>
  <w:abstractNum w:abstractNumId="30" w15:restartNumberingAfterBreak="0">
    <w:nsid w:val="7AA43A00"/>
    <w:multiLevelType w:val="hybridMultilevel"/>
    <w:tmpl w:val="1CB4A9F4"/>
    <w:lvl w:ilvl="0" w:tplc="D5469448">
      <w:start w:val="1"/>
      <w:numFmt w:val="bullet"/>
      <w:lvlText w:val="-"/>
      <w:lvlJc w:val="left"/>
      <w:pPr>
        <w:ind w:left="720" w:hanging="360"/>
      </w:pPr>
      <w:rPr>
        <w:rFonts w:ascii="ITC Avant Garde" w:eastAsiaTheme="minorHAns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64700694">
    <w:abstractNumId w:val="3"/>
  </w:num>
  <w:num w:numId="2" w16cid:durableId="7602862">
    <w:abstractNumId w:val="23"/>
  </w:num>
  <w:num w:numId="3" w16cid:durableId="1130780453">
    <w:abstractNumId w:val="2"/>
  </w:num>
  <w:num w:numId="4" w16cid:durableId="983200264">
    <w:abstractNumId w:val="8"/>
  </w:num>
  <w:num w:numId="5" w16cid:durableId="50886637">
    <w:abstractNumId w:val="26"/>
  </w:num>
  <w:num w:numId="6" w16cid:durableId="1709837861">
    <w:abstractNumId w:val="16"/>
  </w:num>
  <w:num w:numId="7" w16cid:durableId="1355035562">
    <w:abstractNumId w:val="29"/>
  </w:num>
  <w:num w:numId="8" w16cid:durableId="1039860637">
    <w:abstractNumId w:val="12"/>
  </w:num>
  <w:num w:numId="9" w16cid:durableId="1463966277">
    <w:abstractNumId w:val="15"/>
  </w:num>
  <w:num w:numId="10" w16cid:durableId="1813332599">
    <w:abstractNumId w:val="20"/>
  </w:num>
  <w:num w:numId="11" w16cid:durableId="1854805041">
    <w:abstractNumId w:val="18"/>
  </w:num>
  <w:num w:numId="12" w16cid:durableId="1761483141">
    <w:abstractNumId w:val="6"/>
  </w:num>
  <w:num w:numId="13" w16cid:durableId="2088455610">
    <w:abstractNumId w:val="27"/>
  </w:num>
  <w:num w:numId="14" w16cid:durableId="1925065939">
    <w:abstractNumId w:val="12"/>
  </w:num>
  <w:num w:numId="15" w16cid:durableId="898328240">
    <w:abstractNumId w:val="12"/>
  </w:num>
  <w:num w:numId="16" w16cid:durableId="207307725">
    <w:abstractNumId w:val="12"/>
  </w:num>
  <w:num w:numId="17" w16cid:durableId="1837187643">
    <w:abstractNumId w:val="24"/>
  </w:num>
  <w:num w:numId="18" w16cid:durableId="497768242">
    <w:abstractNumId w:val="21"/>
  </w:num>
  <w:num w:numId="19" w16cid:durableId="1262567976">
    <w:abstractNumId w:val="12"/>
  </w:num>
  <w:num w:numId="20" w16cid:durableId="1451049225">
    <w:abstractNumId w:val="12"/>
  </w:num>
  <w:num w:numId="21" w16cid:durableId="1676761519">
    <w:abstractNumId w:val="5"/>
  </w:num>
  <w:num w:numId="22" w16cid:durableId="1318220676">
    <w:abstractNumId w:val="12"/>
  </w:num>
  <w:num w:numId="23" w16cid:durableId="794178286">
    <w:abstractNumId w:val="11"/>
  </w:num>
  <w:num w:numId="24" w16cid:durableId="1677147095">
    <w:abstractNumId w:val="12"/>
  </w:num>
  <w:num w:numId="25" w16cid:durableId="880675672">
    <w:abstractNumId w:val="9"/>
  </w:num>
  <w:num w:numId="26" w16cid:durableId="1755542938">
    <w:abstractNumId w:val="10"/>
  </w:num>
  <w:num w:numId="27" w16cid:durableId="961111863">
    <w:abstractNumId w:val="22"/>
    <w:lvlOverride w:ilvl="0">
      <w:startOverride w:val="1"/>
    </w:lvlOverride>
    <w:lvlOverride w:ilvl="1"/>
    <w:lvlOverride w:ilvl="2"/>
    <w:lvlOverride w:ilvl="3"/>
    <w:lvlOverride w:ilvl="4"/>
    <w:lvlOverride w:ilvl="5"/>
    <w:lvlOverride w:ilvl="6"/>
    <w:lvlOverride w:ilvl="7"/>
    <w:lvlOverride w:ilvl="8"/>
  </w:num>
  <w:num w:numId="28" w16cid:durableId="1509637743">
    <w:abstractNumId w:val="22"/>
  </w:num>
  <w:num w:numId="29" w16cid:durableId="862983535">
    <w:abstractNumId w:val="13"/>
  </w:num>
  <w:num w:numId="30" w16cid:durableId="1089812564">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8140638">
    <w:abstractNumId w:val="7"/>
  </w:num>
  <w:num w:numId="32" w16cid:durableId="585071249">
    <w:abstractNumId w:val="28"/>
  </w:num>
  <w:num w:numId="33" w16cid:durableId="921376725">
    <w:abstractNumId w:val="4"/>
  </w:num>
  <w:num w:numId="34" w16cid:durableId="610432503">
    <w:abstractNumId w:val="30"/>
  </w:num>
  <w:num w:numId="35" w16cid:durableId="2139956896">
    <w:abstractNumId w:val="12"/>
  </w:num>
  <w:num w:numId="36" w16cid:durableId="59179731">
    <w:abstractNumId w:val="12"/>
  </w:num>
  <w:num w:numId="37" w16cid:durableId="2056731568">
    <w:abstractNumId w:val="12"/>
  </w:num>
  <w:num w:numId="38" w16cid:durableId="572278283">
    <w:abstractNumId w:val="12"/>
  </w:num>
  <w:num w:numId="39" w16cid:durableId="607857978">
    <w:abstractNumId w:val="12"/>
  </w:num>
  <w:num w:numId="40" w16cid:durableId="1928998783">
    <w:abstractNumId w:val="12"/>
  </w:num>
  <w:num w:numId="41" w16cid:durableId="679089861">
    <w:abstractNumId w:val="12"/>
  </w:num>
  <w:num w:numId="42" w16cid:durableId="257980360">
    <w:abstractNumId w:val="17"/>
  </w:num>
  <w:num w:numId="43" w16cid:durableId="1055930030">
    <w:abstractNumId w:val="14"/>
  </w:num>
  <w:num w:numId="44" w16cid:durableId="1486967246">
    <w:abstractNumId w:val="14"/>
  </w:num>
  <w:num w:numId="45" w16cid:durableId="863790371">
    <w:abstractNumId w:val="14"/>
  </w:num>
  <w:num w:numId="46" w16cid:durableId="1382368658">
    <w:abstractNumId w:val="14"/>
  </w:num>
  <w:num w:numId="47" w16cid:durableId="1609194759">
    <w:abstractNumId w:val="14"/>
  </w:num>
  <w:num w:numId="48" w16cid:durableId="260991729">
    <w:abstractNumId w:val="14"/>
  </w:num>
  <w:num w:numId="49" w16cid:durableId="1330526379">
    <w:abstractNumId w:val="14"/>
  </w:num>
  <w:num w:numId="50" w16cid:durableId="1815412739">
    <w:abstractNumId w:val="14"/>
  </w:num>
  <w:num w:numId="51" w16cid:durableId="500317803">
    <w:abstractNumId w:val="14"/>
  </w:num>
  <w:num w:numId="52" w16cid:durableId="1799450609">
    <w:abstractNumId w:val="14"/>
  </w:num>
  <w:num w:numId="53" w16cid:durableId="538395138">
    <w:abstractNumId w:val="14"/>
  </w:num>
  <w:num w:numId="54" w16cid:durableId="1577857655">
    <w:abstractNumId w:val="14"/>
  </w:num>
  <w:num w:numId="55" w16cid:durableId="178735982">
    <w:abstractNumId w:val="14"/>
  </w:num>
  <w:num w:numId="56" w16cid:durableId="167596783">
    <w:abstractNumId w:val="14"/>
  </w:num>
  <w:num w:numId="57" w16cid:durableId="583882967">
    <w:abstractNumId w:val="14"/>
  </w:num>
  <w:num w:numId="58" w16cid:durableId="1754667156">
    <w:abstractNumId w:val="14"/>
  </w:num>
  <w:num w:numId="59" w16cid:durableId="1790120766">
    <w:abstractNumId w:val="25"/>
  </w:num>
  <w:num w:numId="60" w16cid:durableId="553126767">
    <w:abstractNumId w:val="14"/>
  </w:num>
  <w:num w:numId="61" w16cid:durableId="20132665">
    <w:abstractNumId w:val="14"/>
  </w:num>
  <w:num w:numId="62" w16cid:durableId="1850368552">
    <w:abstractNumId w:val="14"/>
  </w:num>
  <w:num w:numId="63" w16cid:durableId="2044863924">
    <w:abstractNumId w:val="12"/>
  </w:num>
  <w:num w:numId="64" w16cid:durableId="21982378">
    <w:abstractNumId w:val="12"/>
  </w:num>
  <w:num w:numId="65" w16cid:durableId="1624193466">
    <w:abstractNumId w:val="12"/>
  </w:num>
  <w:num w:numId="66" w16cid:durableId="1445266775">
    <w:abstractNumId w:val="12"/>
  </w:num>
  <w:num w:numId="67" w16cid:durableId="1925331713">
    <w:abstractNumId w:val="12"/>
  </w:num>
  <w:num w:numId="68" w16cid:durableId="1868129884">
    <w:abstractNumId w:val="12"/>
  </w:num>
  <w:num w:numId="69" w16cid:durableId="481510987">
    <w:abstractNumId w:val="12"/>
  </w:num>
  <w:num w:numId="70" w16cid:durableId="2058553928">
    <w:abstractNumId w:val="12"/>
  </w:num>
  <w:num w:numId="71" w16cid:durableId="1648437781">
    <w:abstractNumId w:val="12"/>
  </w:num>
  <w:num w:numId="72" w16cid:durableId="786462223">
    <w:abstractNumId w:val="12"/>
  </w:num>
  <w:num w:numId="73" w16cid:durableId="1431853847">
    <w:abstractNumId w:val="12"/>
  </w:num>
  <w:num w:numId="74" w16cid:durableId="1781753162">
    <w:abstractNumId w:val="0"/>
  </w:num>
  <w:num w:numId="75" w16cid:durableId="1565068007">
    <w:abstractNumId w:val="12"/>
  </w:num>
  <w:num w:numId="76" w16cid:durableId="491524389">
    <w:abstractNumId w:val="12"/>
  </w:num>
  <w:num w:numId="77" w16cid:durableId="847914575">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64"/>
    <w:rsid w:val="00002DF8"/>
    <w:rsid w:val="00002E17"/>
    <w:rsid w:val="000055EE"/>
    <w:rsid w:val="000067E1"/>
    <w:rsid w:val="00007BAD"/>
    <w:rsid w:val="000165CD"/>
    <w:rsid w:val="00016CAD"/>
    <w:rsid w:val="000257AD"/>
    <w:rsid w:val="000267DE"/>
    <w:rsid w:val="000338C9"/>
    <w:rsid w:val="00043606"/>
    <w:rsid w:val="00045FC9"/>
    <w:rsid w:val="000502EA"/>
    <w:rsid w:val="000544FE"/>
    <w:rsid w:val="000569BB"/>
    <w:rsid w:val="000605BE"/>
    <w:rsid w:val="00061A13"/>
    <w:rsid w:val="000640F0"/>
    <w:rsid w:val="00065E20"/>
    <w:rsid w:val="00066A44"/>
    <w:rsid w:val="000755A5"/>
    <w:rsid w:val="00076CFB"/>
    <w:rsid w:val="00082EAE"/>
    <w:rsid w:val="0008470F"/>
    <w:rsid w:val="0009081C"/>
    <w:rsid w:val="00093A48"/>
    <w:rsid w:val="000A03FA"/>
    <w:rsid w:val="000A3304"/>
    <w:rsid w:val="000A5495"/>
    <w:rsid w:val="000B3141"/>
    <w:rsid w:val="000B5AF9"/>
    <w:rsid w:val="000B603B"/>
    <w:rsid w:val="000B6702"/>
    <w:rsid w:val="000B7FEA"/>
    <w:rsid w:val="000C49BB"/>
    <w:rsid w:val="000D0FA3"/>
    <w:rsid w:val="000D246C"/>
    <w:rsid w:val="000D3567"/>
    <w:rsid w:val="000D6C29"/>
    <w:rsid w:val="000E00BE"/>
    <w:rsid w:val="000E1384"/>
    <w:rsid w:val="000E13AB"/>
    <w:rsid w:val="000E176F"/>
    <w:rsid w:val="000E25D5"/>
    <w:rsid w:val="000E27C7"/>
    <w:rsid w:val="000E2CD7"/>
    <w:rsid w:val="000E423D"/>
    <w:rsid w:val="000E53D3"/>
    <w:rsid w:val="000F33B1"/>
    <w:rsid w:val="000F5533"/>
    <w:rsid w:val="000F5F7A"/>
    <w:rsid w:val="000F6A2A"/>
    <w:rsid w:val="0010439E"/>
    <w:rsid w:val="001054D1"/>
    <w:rsid w:val="00105685"/>
    <w:rsid w:val="00111D34"/>
    <w:rsid w:val="0011296A"/>
    <w:rsid w:val="00113D2A"/>
    <w:rsid w:val="00114851"/>
    <w:rsid w:val="00115EE8"/>
    <w:rsid w:val="00117811"/>
    <w:rsid w:val="0012402D"/>
    <w:rsid w:val="001241E7"/>
    <w:rsid w:val="00125FBF"/>
    <w:rsid w:val="00127BBD"/>
    <w:rsid w:val="00130E11"/>
    <w:rsid w:val="0013372D"/>
    <w:rsid w:val="00133B12"/>
    <w:rsid w:val="00134042"/>
    <w:rsid w:val="0013640B"/>
    <w:rsid w:val="00137894"/>
    <w:rsid w:val="00140049"/>
    <w:rsid w:val="00140901"/>
    <w:rsid w:val="0014218A"/>
    <w:rsid w:val="00142C56"/>
    <w:rsid w:val="00146C0D"/>
    <w:rsid w:val="001475A2"/>
    <w:rsid w:val="0015332A"/>
    <w:rsid w:val="00153A66"/>
    <w:rsid w:val="00153A79"/>
    <w:rsid w:val="00156FF4"/>
    <w:rsid w:val="001577BA"/>
    <w:rsid w:val="001600CB"/>
    <w:rsid w:val="001607E1"/>
    <w:rsid w:val="00160E94"/>
    <w:rsid w:val="001623F2"/>
    <w:rsid w:val="00170D8A"/>
    <w:rsid w:val="0017291E"/>
    <w:rsid w:val="001731B4"/>
    <w:rsid w:val="0017499F"/>
    <w:rsid w:val="00176456"/>
    <w:rsid w:val="00176704"/>
    <w:rsid w:val="00177968"/>
    <w:rsid w:val="00181D64"/>
    <w:rsid w:val="00186A46"/>
    <w:rsid w:val="00191561"/>
    <w:rsid w:val="00192F32"/>
    <w:rsid w:val="001935DC"/>
    <w:rsid w:val="0019380A"/>
    <w:rsid w:val="00193AFD"/>
    <w:rsid w:val="001968AC"/>
    <w:rsid w:val="001969F7"/>
    <w:rsid w:val="00197C23"/>
    <w:rsid w:val="001A1440"/>
    <w:rsid w:val="001A1DF7"/>
    <w:rsid w:val="001A2A85"/>
    <w:rsid w:val="001A465C"/>
    <w:rsid w:val="001A539A"/>
    <w:rsid w:val="001A6BB6"/>
    <w:rsid w:val="001A7CBE"/>
    <w:rsid w:val="001B3493"/>
    <w:rsid w:val="001B78DC"/>
    <w:rsid w:val="001B7EB0"/>
    <w:rsid w:val="001C12D1"/>
    <w:rsid w:val="001C1606"/>
    <w:rsid w:val="001C1AE2"/>
    <w:rsid w:val="001C28ED"/>
    <w:rsid w:val="001C2B08"/>
    <w:rsid w:val="001C39B2"/>
    <w:rsid w:val="001C4929"/>
    <w:rsid w:val="001C7A5F"/>
    <w:rsid w:val="001C7D3E"/>
    <w:rsid w:val="001D031F"/>
    <w:rsid w:val="001D1F0C"/>
    <w:rsid w:val="001D2570"/>
    <w:rsid w:val="001D2749"/>
    <w:rsid w:val="001D6894"/>
    <w:rsid w:val="001D7720"/>
    <w:rsid w:val="001E055B"/>
    <w:rsid w:val="001E5604"/>
    <w:rsid w:val="001E5761"/>
    <w:rsid w:val="001E7D32"/>
    <w:rsid w:val="001F06FA"/>
    <w:rsid w:val="001F160D"/>
    <w:rsid w:val="001F2BB2"/>
    <w:rsid w:val="001F342D"/>
    <w:rsid w:val="001F4340"/>
    <w:rsid w:val="001F7A20"/>
    <w:rsid w:val="00203043"/>
    <w:rsid w:val="00203615"/>
    <w:rsid w:val="00204529"/>
    <w:rsid w:val="00206731"/>
    <w:rsid w:val="002106D8"/>
    <w:rsid w:val="00214767"/>
    <w:rsid w:val="00220A8D"/>
    <w:rsid w:val="002214B3"/>
    <w:rsid w:val="00223E57"/>
    <w:rsid w:val="00226471"/>
    <w:rsid w:val="002326AB"/>
    <w:rsid w:val="00232C08"/>
    <w:rsid w:val="00234D90"/>
    <w:rsid w:val="0023739A"/>
    <w:rsid w:val="00241E2E"/>
    <w:rsid w:val="002428B4"/>
    <w:rsid w:val="0024461A"/>
    <w:rsid w:val="00244935"/>
    <w:rsid w:val="00245945"/>
    <w:rsid w:val="002544F8"/>
    <w:rsid w:val="00255223"/>
    <w:rsid w:val="0026106C"/>
    <w:rsid w:val="002637D1"/>
    <w:rsid w:val="0026384F"/>
    <w:rsid w:val="0026392D"/>
    <w:rsid w:val="00263C41"/>
    <w:rsid w:val="00264F20"/>
    <w:rsid w:val="00265444"/>
    <w:rsid w:val="0026670D"/>
    <w:rsid w:val="00272183"/>
    <w:rsid w:val="00274F70"/>
    <w:rsid w:val="00280293"/>
    <w:rsid w:val="00283A1D"/>
    <w:rsid w:val="00290D69"/>
    <w:rsid w:val="00296094"/>
    <w:rsid w:val="002A323F"/>
    <w:rsid w:val="002B1367"/>
    <w:rsid w:val="002B4F9A"/>
    <w:rsid w:val="002C5A42"/>
    <w:rsid w:val="002D2D64"/>
    <w:rsid w:val="002D33A0"/>
    <w:rsid w:val="002D4B62"/>
    <w:rsid w:val="002D6F27"/>
    <w:rsid w:val="002E0068"/>
    <w:rsid w:val="002E2D8D"/>
    <w:rsid w:val="002E4BC0"/>
    <w:rsid w:val="002E6D14"/>
    <w:rsid w:val="002F2049"/>
    <w:rsid w:val="002F3CE1"/>
    <w:rsid w:val="002F3E55"/>
    <w:rsid w:val="002F6771"/>
    <w:rsid w:val="00300E50"/>
    <w:rsid w:val="0030504A"/>
    <w:rsid w:val="00305BE3"/>
    <w:rsid w:val="003060C6"/>
    <w:rsid w:val="00306276"/>
    <w:rsid w:val="0031133A"/>
    <w:rsid w:val="00312DD0"/>
    <w:rsid w:val="003135E0"/>
    <w:rsid w:val="003144AF"/>
    <w:rsid w:val="003149EF"/>
    <w:rsid w:val="00314CCE"/>
    <w:rsid w:val="00320314"/>
    <w:rsid w:val="00321117"/>
    <w:rsid w:val="00323C89"/>
    <w:rsid w:val="00324783"/>
    <w:rsid w:val="0033168B"/>
    <w:rsid w:val="003346C2"/>
    <w:rsid w:val="00337CB4"/>
    <w:rsid w:val="00340942"/>
    <w:rsid w:val="003417E8"/>
    <w:rsid w:val="00343BB4"/>
    <w:rsid w:val="00346083"/>
    <w:rsid w:val="0034613F"/>
    <w:rsid w:val="00350496"/>
    <w:rsid w:val="00351B9D"/>
    <w:rsid w:val="00354BF8"/>
    <w:rsid w:val="00355986"/>
    <w:rsid w:val="00355D9C"/>
    <w:rsid w:val="00357A58"/>
    <w:rsid w:val="003634D6"/>
    <w:rsid w:val="00364A08"/>
    <w:rsid w:val="003664D9"/>
    <w:rsid w:val="00367812"/>
    <w:rsid w:val="00383D10"/>
    <w:rsid w:val="0038404F"/>
    <w:rsid w:val="00390A8E"/>
    <w:rsid w:val="00391129"/>
    <w:rsid w:val="003979E2"/>
    <w:rsid w:val="00397FBE"/>
    <w:rsid w:val="003A4FBC"/>
    <w:rsid w:val="003A7348"/>
    <w:rsid w:val="003A7B33"/>
    <w:rsid w:val="003B08B3"/>
    <w:rsid w:val="003B2F53"/>
    <w:rsid w:val="003B493A"/>
    <w:rsid w:val="003C57DA"/>
    <w:rsid w:val="003C6E6B"/>
    <w:rsid w:val="003D3A12"/>
    <w:rsid w:val="003D653A"/>
    <w:rsid w:val="003D7036"/>
    <w:rsid w:val="003D7D68"/>
    <w:rsid w:val="003E1A15"/>
    <w:rsid w:val="003E4B1E"/>
    <w:rsid w:val="003E5AB8"/>
    <w:rsid w:val="003E5E39"/>
    <w:rsid w:val="003E7F86"/>
    <w:rsid w:val="003F06E6"/>
    <w:rsid w:val="003F1A33"/>
    <w:rsid w:val="003F4C02"/>
    <w:rsid w:val="0040723C"/>
    <w:rsid w:val="00410106"/>
    <w:rsid w:val="00410775"/>
    <w:rsid w:val="00410DD1"/>
    <w:rsid w:val="00411019"/>
    <w:rsid w:val="0041117B"/>
    <w:rsid w:val="00411ED4"/>
    <w:rsid w:val="0041709C"/>
    <w:rsid w:val="004229AF"/>
    <w:rsid w:val="00422AE7"/>
    <w:rsid w:val="00425173"/>
    <w:rsid w:val="00425FD3"/>
    <w:rsid w:val="00426486"/>
    <w:rsid w:val="00431680"/>
    <w:rsid w:val="00431AA8"/>
    <w:rsid w:val="00435C22"/>
    <w:rsid w:val="00437916"/>
    <w:rsid w:val="00443561"/>
    <w:rsid w:val="00445F54"/>
    <w:rsid w:val="00451002"/>
    <w:rsid w:val="0045340E"/>
    <w:rsid w:val="004534E4"/>
    <w:rsid w:val="0045689B"/>
    <w:rsid w:val="0046052B"/>
    <w:rsid w:val="00460B93"/>
    <w:rsid w:val="00461418"/>
    <w:rsid w:val="00461FFD"/>
    <w:rsid w:val="00463891"/>
    <w:rsid w:val="00463E8D"/>
    <w:rsid w:val="0046444A"/>
    <w:rsid w:val="00465F54"/>
    <w:rsid w:val="0046688C"/>
    <w:rsid w:val="004676C5"/>
    <w:rsid w:val="00471470"/>
    <w:rsid w:val="0047510D"/>
    <w:rsid w:val="004826F1"/>
    <w:rsid w:val="00483DD4"/>
    <w:rsid w:val="00484696"/>
    <w:rsid w:val="00484837"/>
    <w:rsid w:val="00486ACB"/>
    <w:rsid w:val="0048711F"/>
    <w:rsid w:val="00490189"/>
    <w:rsid w:val="004906A5"/>
    <w:rsid w:val="00490EE3"/>
    <w:rsid w:val="00491CC5"/>
    <w:rsid w:val="00493288"/>
    <w:rsid w:val="004948AE"/>
    <w:rsid w:val="00496E8A"/>
    <w:rsid w:val="004A17D7"/>
    <w:rsid w:val="004A3E90"/>
    <w:rsid w:val="004A4DD6"/>
    <w:rsid w:val="004B2533"/>
    <w:rsid w:val="004C7657"/>
    <w:rsid w:val="004D17E0"/>
    <w:rsid w:val="004D2F45"/>
    <w:rsid w:val="004D3F53"/>
    <w:rsid w:val="004D472B"/>
    <w:rsid w:val="004D740B"/>
    <w:rsid w:val="004D7857"/>
    <w:rsid w:val="004E04E1"/>
    <w:rsid w:val="004E0925"/>
    <w:rsid w:val="004E2A82"/>
    <w:rsid w:val="004E2ED5"/>
    <w:rsid w:val="004E3A71"/>
    <w:rsid w:val="004E3A87"/>
    <w:rsid w:val="004E45D2"/>
    <w:rsid w:val="004E4CCC"/>
    <w:rsid w:val="004E5B76"/>
    <w:rsid w:val="004E5D84"/>
    <w:rsid w:val="004F09C0"/>
    <w:rsid w:val="004F421C"/>
    <w:rsid w:val="0050124A"/>
    <w:rsid w:val="00501D33"/>
    <w:rsid w:val="00501E4B"/>
    <w:rsid w:val="005035D6"/>
    <w:rsid w:val="00504355"/>
    <w:rsid w:val="005058B5"/>
    <w:rsid w:val="00506B69"/>
    <w:rsid w:val="0051002A"/>
    <w:rsid w:val="00510FBE"/>
    <w:rsid w:val="00514009"/>
    <w:rsid w:val="005144B5"/>
    <w:rsid w:val="00515BD5"/>
    <w:rsid w:val="00516293"/>
    <w:rsid w:val="00523310"/>
    <w:rsid w:val="00524F3B"/>
    <w:rsid w:val="00527036"/>
    <w:rsid w:val="005328A3"/>
    <w:rsid w:val="0053413C"/>
    <w:rsid w:val="005342B1"/>
    <w:rsid w:val="00537526"/>
    <w:rsid w:val="00540427"/>
    <w:rsid w:val="00543ED4"/>
    <w:rsid w:val="00544E74"/>
    <w:rsid w:val="00547206"/>
    <w:rsid w:val="00547644"/>
    <w:rsid w:val="00547732"/>
    <w:rsid w:val="005514E4"/>
    <w:rsid w:val="0055473B"/>
    <w:rsid w:val="00562282"/>
    <w:rsid w:val="005674F5"/>
    <w:rsid w:val="005732E2"/>
    <w:rsid w:val="0057696C"/>
    <w:rsid w:val="005819BB"/>
    <w:rsid w:val="005820A3"/>
    <w:rsid w:val="00582FFD"/>
    <w:rsid w:val="00583787"/>
    <w:rsid w:val="0058496B"/>
    <w:rsid w:val="00585213"/>
    <w:rsid w:val="00590920"/>
    <w:rsid w:val="00594B21"/>
    <w:rsid w:val="00594F05"/>
    <w:rsid w:val="005977CE"/>
    <w:rsid w:val="00597DC0"/>
    <w:rsid w:val="005A0094"/>
    <w:rsid w:val="005A1D36"/>
    <w:rsid w:val="005A3D59"/>
    <w:rsid w:val="005A67C7"/>
    <w:rsid w:val="005A7336"/>
    <w:rsid w:val="005B04D7"/>
    <w:rsid w:val="005B2D5F"/>
    <w:rsid w:val="005B6A5F"/>
    <w:rsid w:val="005C247C"/>
    <w:rsid w:val="005C283C"/>
    <w:rsid w:val="005C2960"/>
    <w:rsid w:val="005C7A03"/>
    <w:rsid w:val="005D00CC"/>
    <w:rsid w:val="005D0416"/>
    <w:rsid w:val="005D0916"/>
    <w:rsid w:val="005D133B"/>
    <w:rsid w:val="005D768E"/>
    <w:rsid w:val="005E2860"/>
    <w:rsid w:val="005E6325"/>
    <w:rsid w:val="005E7AB2"/>
    <w:rsid w:val="005E7AC2"/>
    <w:rsid w:val="005E7F89"/>
    <w:rsid w:val="005F00B2"/>
    <w:rsid w:val="005F1AB4"/>
    <w:rsid w:val="005F1E10"/>
    <w:rsid w:val="005F2E7E"/>
    <w:rsid w:val="005F59BA"/>
    <w:rsid w:val="005F6AA1"/>
    <w:rsid w:val="005F7A9A"/>
    <w:rsid w:val="00600401"/>
    <w:rsid w:val="00600627"/>
    <w:rsid w:val="0060091D"/>
    <w:rsid w:val="00601427"/>
    <w:rsid w:val="00601B06"/>
    <w:rsid w:val="0060308A"/>
    <w:rsid w:val="0061093A"/>
    <w:rsid w:val="00611C6C"/>
    <w:rsid w:val="00613AEC"/>
    <w:rsid w:val="00613C1A"/>
    <w:rsid w:val="00615DC6"/>
    <w:rsid w:val="00616235"/>
    <w:rsid w:val="00620889"/>
    <w:rsid w:val="00620FE4"/>
    <w:rsid w:val="0062216B"/>
    <w:rsid w:val="006231C5"/>
    <w:rsid w:val="00625143"/>
    <w:rsid w:val="00625A09"/>
    <w:rsid w:val="00632FDF"/>
    <w:rsid w:val="006335FD"/>
    <w:rsid w:val="0063470F"/>
    <w:rsid w:val="00640978"/>
    <w:rsid w:val="00640C24"/>
    <w:rsid w:val="006416FF"/>
    <w:rsid w:val="00641E49"/>
    <w:rsid w:val="0065051E"/>
    <w:rsid w:val="00652865"/>
    <w:rsid w:val="00652C1E"/>
    <w:rsid w:val="00655F14"/>
    <w:rsid w:val="00657235"/>
    <w:rsid w:val="0066248B"/>
    <w:rsid w:val="00663701"/>
    <w:rsid w:val="00664388"/>
    <w:rsid w:val="00666054"/>
    <w:rsid w:val="0067290D"/>
    <w:rsid w:val="00680D10"/>
    <w:rsid w:val="00681CED"/>
    <w:rsid w:val="00682FCC"/>
    <w:rsid w:val="006842E7"/>
    <w:rsid w:val="006861C6"/>
    <w:rsid w:val="00687151"/>
    <w:rsid w:val="006915F9"/>
    <w:rsid w:val="00691B64"/>
    <w:rsid w:val="006942D7"/>
    <w:rsid w:val="00695405"/>
    <w:rsid w:val="0069597F"/>
    <w:rsid w:val="00696F4D"/>
    <w:rsid w:val="006A04BB"/>
    <w:rsid w:val="006A3A95"/>
    <w:rsid w:val="006A3DCD"/>
    <w:rsid w:val="006A47BA"/>
    <w:rsid w:val="006B05F5"/>
    <w:rsid w:val="006B090F"/>
    <w:rsid w:val="006B0C4A"/>
    <w:rsid w:val="006B2D4F"/>
    <w:rsid w:val="006B3D9F"/>
    <w:rsid w:val="006B4626"/>
    <w:rsid w:val="006B53CD"/>
    <w:rsid w:val="006B746B"/>
    <w:rsid w:val="006C218B"/>
    <w:rsid w:val="006C3384"/>
    <w:rsid w:val="006C7816"/>
    <w:rsid w:val="006D08EF"/>
    <w:rsid w:val="006D0C85"/>
    <w:rsid w:val="006D1098"/>
    <w:rsid w:val="006D2A56"/>
    <w:rsid w:val="006D2B68"/>
    <w:rsid w:val="006E430E"/>
    <w:rsid w:val="006F1E2B"/>
    <w:rsid w:val="006F1F94"/>
    <w:rsid w:val="006F41F9"/>
    <w:rsid w:val="006F47F0"/>
    <w:rsid w:val="006F7450"/>
    <w:rsid w:val="006F7B5F"/>
    <w:rsid w:val="00700ABD"/>
    <w:rsid w:val="00701671"/>
    <w:rsid w:val="007077E1"/>
    <w:rsid w:val="00712EF1"/>
    <w:rsid w:val="00713EFD"/>
    <w:rsid w:val="00714D50"/>
    <w:rsid w:val="00715779"/>
    <w:rsid w:val="007157EB"/>
    <w:rsid w:val="00715C58"/>
    <w:rsid w:val="00715F42"/>
    <w:rsid w:val="00727201"/>
    <w:rsid w:val="0073415D"/>
    <w:rsid w:val="007348F2"/>
    <w:rsid w:val="007361EE"/>
    <w:rsid w:val="00737FB3"/>
    <w:rsid w:val="00740B71"/>
    <w:rsid w:val="007429AA"/>
    <w:rsid w:val="00742AFE"/>
    <w:rsid w:val="007443AB"/>
    <w:rsid w:val="007444DC"/>
    <w:rsid w:val="00745F15"/>
    <w:rsid w:val="00747D88"/>
    <w:rsid w:val="00750DF5"/>
    <w:rsid w:val="00753BA6"/>
    <w:rsid w:val="00757E77"/>
    <w:rsid w:val="00761FDD"/>
    <w:rsid w:val="00764288"/>
    <w:rsid w:val="00771FC7"/>
    <w:rsid w:val="00772593"/>
    <w:rsid w:val="00773A86"/>
    <w:rsid w:val="00773E81"/>
    <w:rsid w:val="00774635"/>
    <w:rsid w:val="007747E8"/>
    <w:rsid w:val="00780AA3"/>
    <w:rsid w:val="00783704"/>
    <w:rsid w:val="00784BEB"/>
    <w:rsid w:val="00785588"/>
    <w:rsid w:val="00787172"/>
    <w:rsid w:val="00792E5C"/>
    <w:rsid w:val="00793F68"/>
    <w:rsid w:val="007A009E"/>
    <w:rsid w:val="007A249F"/>
    <w:rsid w:val="007A409D"/>
    <w:rsid w:val="007A616E"/>
    <w:rsid w:val="007A6FD5"/>
    <w:rsid w:val="007B0E64"/>
    <w:rsid w:val="007B15D8"/>
    <w:rsid w:val="007B464C"/>
    <w:rsid w:val="007B4E66"/>
    <w:rsid w:val="007B5FCA"/>
    <w:rsid w:val="007C03C8"/>
    <w:rsid w:val="007C0948"/>
    <w:rsid w:val="007C14F1"/>
    <w:rsid w:val="007C3487"/>
    <w:rsid w:val="007C4200"/>
    <w:rsid w:val="007C4245"/>
    <w:rsid w:val="007C4739"/>
    <w:rsid w:val="007D2E15"/>
    <w:rsid w:val="007D450B"/>
    <w:rsid w:val="007D765F"/>
    <w:rsid w:val="007E06FC"/>
    <w:rsid w:val="007E213A"/>
    <w:rsid w:val="007E6125"/>
    <w:rsid w:val="007E7287"/>
    <w:rsid w:val="007E73A8"/>
    <w:rsid w:val="007E7A9F"/>
    <w:rsid w:val="007E7D82"/>
    <w:rsid w:val="007F239D"/>
    <w:rsid w:val="007F2B78"/>
    <w:rsid w:val="007F31A4"/>
    <w:rsid w:val="007F3A1F"/>
    <w:rsid w:val="008024A0"/>
    <w:rsid w:val="00802E23"/>
    <w:rsid w:val="00803FC1"/>
    <w:rsid w:val="008054A9"/>
    <w:rsid w:val="00806425"/>
    <w:rsid w:val="008073CC"/>
    <w:rsid w:val="00820AD9"/>
    <w:rsid w:val="00821F97"/>
    <w:rsid w:val="00822B41"/>
    <w:rsid w:val="008238CC"/>
    <w:rsid w:val="00830C97"/>
    <w:rsid w:val="0083417F"/>
    <w:rsid w:val="0084299F"/>
    <w:rsid w:val="00844C84"/>
    <w:rsid w:val="00845DE9"/>
    <w:rsid w:val="00857D0C"/>
    <w:rsid w:val="0086118C"/>
    <w:rsid w:val="00861462"/>
    <w:rsid w:val="00861A89"/>
    <w:rsid w:val="0086274E"/>
    <w:rsid w:val="00862BE1"/>
    <w:rsid w:val="00864051"/>
    <w:rsid w:val="00864B13"/>
    <w:rsid w:val="00864ECC"/>
    <w:rsid w:val="00866FE7"/>
    <w:rsid w:val="008671E6"/>
    <w:rsid w:val="00871B84"/>
    <w:rsid w:val="008722DA"/>
    <w:rsid w:val="00873989"/>
    <w:rsid w:val="008739DC"/>
    <w:rsid w:val="008761FC"/>
    <w:rsid w:val="008805C8"/>
    <w:rsid w:val="00880BC4"/>
    <w:rsid w:val="00880D2A"/>
    <w:rsid w:val="00883D72"/>
    <w:rsid w:val="00890E09"/>
    <w:rsid w:val="00891A59"/>
    <w:rsid w:val="00893BF7"/>
    <w:rsid w:val="00895EA8"/>
    <w:rsid w:val="00896B63"/>
    <w:rsid w:val="008A08D4"/>
    <w:rsid w:val="008A594B"/>
    <w:rsid w:val="008B066B"/>
    <w:rsid w:val="008B0D4C"/>
    <w:rsid w:val="008B43A4"/>
    <w:rsid w:val="008B5E04"/>
    <w:rsid w:val="008B6DAB"/>
    <w:rsid w:val="008C0220"/>
    <w:rsid w:val="008C4337"/>
    <w:rsid w:val="008C4801"/>
    <w:rsid w:val="008D1352"/>
    <w:rsid w:val="008D1A16"/>
    <w:rsid w:val="008D1DD8"/>
    <w:rsid w:val="008D4697"/>
    <w:rsid w:val="008D76E7"/>
    <w:rsid w:val="008D79EC"/>
    <w:rsid w:val="008E1A18"/>
    <w:rsid w:val="008E1E7A"/>
    <w:rsid w:val="008E2CBF"/>
    <w:rsid w:val="008F17A7"/>
    <w:rsid w:val="008F26C5"/>
    <w:rsid w:val="008F6A9A"/>
    <w:rsid w:val="008F78FC"/>
    <w:rsid w:val="00900559"/>
    <w:rsid w:val="00900C5D"/>
    <w:rsid w:val="00904B8C"/>
    <w:rsid w:val="00904BA0"/>
    <w:rsid w:val="00905422"/>
    <w:rsid w:val="009107E0"/>
    <w:rsid w:val="009108E0"/>
    <w:rsid w:val="00910CCD"/>
    <w:rsid w:val="00912727"/>
    <w:rsid w:val="00913B79"/>
    <w:rsid w:val="009149B7"/>
    <w:rsid w:val="0091709C"/>
    <w:rsid w:val="0092010C"/>
    <w:rsid w:val="00924414"/>
    <w:rsid w:val="009275B1"/>
    <w:rsid w:val="00935405"/>
    <w:rsid w:val="00936317"/>
    <w:rsid w:val="0093752F"/>
    <w:rsid w:val="0094018A"/>
    <w:rsid w:val="009410C5"/>
    <w:rsid w:val="009425B6"/>
    <w:rsid w:val="00952404"/>
    <w:rsid w:val="00954C21"/>
    <w:rsid w:val="00954F3F"/>
    <w:rsid w:val="00955030"/>
    <w:rsid w:val="00961D72"/>
    <w:rsid w:val="00962D58"/>
    <w:rsid w:val="00965EC2"/>
    <w:rsid w:val="00965F99"/>
    <w:rsid w:val="009706C4"/>
    <w:rsid w:val="00971228"/>
    <w:rsid w:val="0097199A"/>
    <w:rsid w:val="009721CA"/>
    <w:rsid w:val="00983B71"/>
    <w:rsid w:val="0098402F"/>
    <w:rsid w:val="00990F12"/>
    <w:rsid w:val="00993675"/>
    <w:rsid w:val="00994550"/>
    <w:rsid w:val="00997DAD"/>
    <w:rsid w:val="009A02E3"/>
    <w:rsid w:val="009A1A29"/>
    <w:rsid w:val="009A3CD8"/>
    <w:rsid w:val="009A4243"/>
    <w:rsid w:val="009A475E"/>
    <w:rsid w:val="009A7268"/>
    <w:rsid w:val="009B0ED5"/>
    <w:rsid w:val="009B3411"/>
    <w:rsid w:val="009B385D"/>
    <w:rsid w:val="009B4922"/>
    <w:rsid w:val="009B496E"/>
    <w:rsid w:val="009B6063"/>
    <w:rsid w:val="009B6275"/>
    <w:rsid w:val="009B685C"/>
    <w:rsid w:val="009B7026"/>
    <w:rsid w:val="009C369C"/>
    <w:rsid w:val="009C5468"/>
    <w:rsid w:val="009C762E"/>
    <w:rsid w:val="009D314E"/>
    <w:rsid w:val="009D618F"/>
    <w:rsid w:val="009D6D50"/>
    <w:rsid w:val="009E017C"/>
    <w:rsid w:val="009E046C"/>
    <w:rsid w:val="009E0B9B"/>
    <w:rsid w:val="009F157E"/>
    <w:rsid w:val="009F2336"/>
    <w:rsid w:val="009F292B"/>
    <w:rsid w:val="009F3B5F"/>
    <w:rsid w:val="009F7D95"/>
    <w:rsid w:val="00A005A9"/>
    <w:rsid w:val="00A02ABE"/>
    <w:rsid w:val="00A06644"/>
    <w:rsid w:val="00A11FDB"/>
    <w:rsid w:val="00A16627"/>
    <w:rsid w:val="00A214CB"/>
    <w:rsid w:val="00A21C17"/>
    <w:rsid w:val="00A24735"/>
    <w:rsid w:val="00A2604F"/>
    <w:rsid w:val="00A31E96"/>
    <w:rsid w:val="00A3588E"/>
    <w:rsid w:val="00A3646E"/>
    <w:rsid w:val="00A3726E"/>
    <w:rsid w:val="00A41CC0"/>
    <w:rsid w:val="00A42A9B"/>
    <w:rsid w:val="00A43131"/>
    <w:rsid w:val="00A43212"/>
    <w:rsid w:val="00A438BC"/>
    <w:rsid w:val="00A444C8"/>
    <w:rsid w:val="00A452F2"/>
    <w:rsid w:val="00A509FB"/>
    <w:rsid w:val="00A51233"/>
    <w:rsid w:val="00A55E62"/>
    <w:rsid w:val="00A5653C"/>
    <w:rsid w:val="00A65CEF"/>
    <w:rsid w:val="00A675EC"/>
    <w:rsid w:val="00A707C6"/>
    <w:rsid w:val="00A710CE"/>
    <w:rsid w:val="00A71EB7"/>
    <w:rsid w:val="00A741C5"/>
    <w:rsid w:val="00A7471B"/>
    <w:rsid w:val="00A81613"/>
    <w:rsid w:val="00A829DD"/>
    <w:rsid w:val="00A8310E"/>
    <w:rsid w:val="00A840EB"/>
    <w:rsid w:val="00A847B1"/>
    <w:rsid w:val="00A85C6C"/>
    <w:rsid w:val="00A90752"/>
    <w:rsid w:val="00A91206"/>
    <w:rsid w:val="00A9239D"/>
    <w:rsid w:val="00A968D0"/>
    <w:rsid w:val="00A96D37"/>
    <w:rsid w:val="00AA21D2"/>
    <w:rsid w:val="00AA4BF2"/>
    <w:rsid w:val="00AA5E75"/>
    <w:rsid w:val="00AA723E"/>
    <w:rsid w:val="00AB2179"/>
    <w:rsid w:val="00AB309D"/>
    <w:rsid w:val="00AB460A"/>
    <w:rsid w:val="00AB577D"/>
    <w:rsid w:val="00AB755A"/>
    <w:rsid w:val="00AB79EB"/>
    <w:rsid w:val="00AB7E69"/>
    <w:rsid w:val="00AC7695"/>
    <w:rsid w:val="00AD3E6C"/>
    <w:rsid w:val="00AD46DC"/>
    <w:rsid w:val="00AD70FE"/>
    <w:rsid w:val="00AD7FDE"/>
    <w:rsid w:val="00AE083A"/>
    <w:rsid w:val="00AE0C97"/>
    <w:rsid w:val="00AE32C1"/>
    <w:rsid w:val="00AE4559"/>
    <w:rsid w:val="00AE5017"/>
    <w:rsid w:val="00AE638F"/>
    <w:rsid w:val="00AF6035"/>
    <w:rsid w:val="00B0057F"/>
    <w:rsid w:val="00B00AFF"/>
    <w:rsid w:val="00B00F4D"/>
    <w:rsid w:val="00B01A64"/>
    <w:rsid w:val="00B01F2A"/>
    <w:rsid w:val="00B04EAC"/>
    <w:rsid w:val="00B1426E"/>
    <w:rsid w:val="00B16017"/>
    <w:rsid w:val="00B16EAB"/>
    <w:rsid w:val="00B20B37"/>
    <w:rsid w:val="00B20F49"/>
    <w:rsid w:val="00B22AC0"/>
    <w:rsid w:val="00B22EAD"/>
    <w:rsid w:val="00B236DE"/>
    <w:rsid w:val="00B240BB"/>
    <w:rsid w:val="00B243BD"/>
    <w:rsid w:val="00B30501"/>
    <w:rsid w:val="00B30E82"/>
    <w:rsid w:val="00B30F42"/>
    <w:rsid w:val="00B311A2"/>
    <w:rsid w:val="00B3143B"/>
    <w:rsid w:val="00B34BB0"/>
    <w:rsid w:val="00B34E81"/>
    <w:rsid w:val="00B3793D"/>
    <w:rsid w:val="00B37AB7"/>
    <w:rsid w:val="00B43795"/>
    <w:rsid w:val="00B439FE"/>
    <w:rsid w:val="00B45546"/>
    <w:rsid w:val="00B45C0C"/>
    <w:rsid w:val="00B46AF6"/>
    <w:rsid w:val="00B477B1"/>
    <w:rsid w:val="00B5231A"/>
    <w:rsid w:val="00B54C4F"/>
    <w:rsid w:val="00B621AB"/>
    <w:rsid w:val="00B62E8A"/>
    <w:rsid w:val="00B632AD"/>
    <w:rsid w:val="00B637E2"/>
    <w:rsid w:val="00B64F29"/>
    <w:rsid w:val="00B66EB4"/>
    <w:rsid w:val="00B67B7F"/>
    <w:rsid w:val="00B67B83"/>
    <w:rsid w:val="00B70AA3"/>
    <w:rsid w:val="00B77821"/>
    <w:rsid w:val="00B86529"/>
    <w:rsid w:val="00B86A67"/>
    <w:rsid w:val="00B87B20"/>
    <w:rsid w:val="00B87E25"/>
    <w:rsid w:val="00B908B0"/>
    <w:rsid w:val="00B94810"/>
    <w:rsid w:val="00BA20E7"/>
    <w:rsid w:val="00BA3977"/>
    <w:rsid w:val="00BA3BBB"/>
    <w:rsid w:val="00BA3EAC"/>
    <w:rsid w:val="00BA5E06"/>
    <w:rsid w:val="00BB22B6"/>
    <w:rsid w:val="00BB4A84"/>
    <w:rsid w:val="00BB5901"/>
    <w:rsid w:val="00BB674B"/>
    <w:rsid w:val="00BC2021"/>
    <w:rsid w:val="00BC42A1"/>
    <w:rsid w:val="00BC5730"/>
    <w:rsid w:val="00BC7E62"/>
    <w:rsid w:val="00BD2055"/>
    <w:rsid w:val="00BD25A9"/>
    <w:rsid w:val="00BD3A9D"/>
    <w:rsid w:val="00BD52D7"/>
    <w:rsid w:val="00BD5DB6"/>
    <w:rsid w:val="00BD7288"/>
    <w:rsid w:val="00BE2E0F"/>
    <w:rsid w:val="00BE66BD"/>
    <w:rsid w:val="00BF1726"/>
    <w:rsid w:val="00BF241E"/>
    <w:rsid w:val="00BF49C2"/>
    <w:rsid w:val="00BF75BA"/>
    <w:rsid w:val="00C0256E"/>
    <w:rsid w:val="00C07513"/>
    <w:rsid w:val="00C152D8"/>
    <w:rsid w:val="00C15994"/>
    <w:rsid w:val="00C15FA0"/>
    <w:rsid w:val="00C16330"/>
    <w:rsid w:val="00C17653"/>
    <w:rsid w:val="00C17FA4"/>
    <w:rsid w:val="00C20908"/>
    <w:rsid w:val="00C213C2"/>
    <w:rsid w:val="00C22ABF"/>
    <w:rsid w:val="00C256D3"/>
    <w:rsid w:val="00C25FB0"/>
    <w:rsid w:val="00C30661"/>
    <w:rsid w:val="00C30AD1"/>
    <w:rsid w:val="00C348CB"/>
    <w:rsid w:val="00C34FF9"/>
    <w:rsid w:val="00C35939"/>
    <w:rsid w:val="00C46B69"/>
    <w:rsid w:val="00C526FA"/>
    <w:rsid w:val="00C53454"/>
    <w:rsid w:val="00C542B0"/>
    <w:rsid w:val="00C60978"/>
    <w:rsid w:val="00C6352F"/>
    <w:rsid w:val="00C67B89"/>
    <w:rsid w:val="00C70282"/>
    <w:rsid w:val="00C715B1"/>
    <w:rsid w:val="00C721B1"/>
    <w:rsid w:val="00C74E9A"/>
    <w:rsid w:val="00C752AC"/>
    <w:rsid w:val="00C7553E"/>
    <w:rsid w:val="00C7749F"/>
    <w:rsid w:val="00C77919"/>
    <w:rsid w:val="00C80836"/>
    <w:rsid w:val="00C8291D"/>
    <w:rsid w:val="00C83E13"/>
    <w:rsid w:val="00C91169"/>
    <w:rsid w:val="00C9373B"/>
    <w:rsid w:val="00C95223"/>
    <w:rsid w:val="00C96700"/>
    <w:rsid w:val="00CA0FAA"/>
    <w:rsid w:val="00CA2F00"/>
    <w:rsid w:val="00CA5BFA"/>
    <w:rsid w:val="00CA73A1"/>
    <w:rsid w:val="00CB0A81"/>
    <w:rsid w:val="00CB1423"/>
    <w:rsid w:val="00CB319B"/>
    <w:rsid w:val="00CB361E"/>
    <w:rsid w:val="00CB6FE4"/>
    <w:rsid w:val="00CC44E4"/>
    <w:rsid w:val="00CC68AD"/>
    <w:rsid w:val="00CC7684"/>
    <w:rsid w:val="00CC7F1C"/>
    <w:rsid w:val="00CD1926"/>
    <w:rsid w:val="00CD2911"/>
    <w:rsid w:val="00CD32B3"/>
    <w:rsid w:val="00CD5224"/>
    <w:rsid w:val="00CE0FCE"/>
    <w:rsid w:val="00CE3B73"/>
    <w:rsid w:val="00CE4C3A"/>
    <w:rsid w:val="00CE578C"/>
    <w:rsid w:val="00CE5B24"/>
    <w:rsid w:val="00CF12A5"/>
    <w:rsid w:val="00CF2D51"/>
    <w:rsid w:val="00CF3DA9"/>
    <w:rsid w:val="00D00D1D"/>
    <w:rsid w:val="00D03447"/>
    <w:rsid w:val="00D079C1"/>
    <w:rsid w:val="00D1102E"/>
    <w:rsid w:val="00D122B1"/>
    <w:rsid w:val="00D13AA6"/>
    <w:rsid w:val="00D13D2D"/>
    <w:rsid w:val="00D158C3"/>
    <w:rsid w:val="00D17DFA"/>
    <w:rsid w:val="00D200B4"/>
    <w:rsid w:val="00D21DF9"/>
    <w:rsid w:val="00D2293F"/>
    <w:rsid w:val="00D22DDC"/>
    <w:rsid w:val="00D23344"/>
    <w:rsid w:val="00D23636"/>
    <w:rsid w:val="00D31F24"/>
    <w:rsid w:val="00D3228C"/>
    <w:rsid w:val="00D3387A"/>
    <w:rsid w:val="00D359E3"/>
    <w:rsid w:val="00D36C61"/>
    <w:rsid w:val="00D376C0"/>
    <w:rsid w:val="00D415B3"/>
    <w:rsid w:val="00D4237F"/>
    <w:rsid w:val="00D42A2E"/>
    <w:rsid w:val="00D4482A"/>
    <w:rsid w:val="00D50503"/>
    <w:rsid w:val="00D5693A"/>
    <w:rsid w:val="00D611F1"/>
    <w:rsid w:val="00D62584"/>
    <w:rsid w:val="00D665A2"/>
    <w:rsid w:val="00D71F30"/>
    <w:rsid w:val="00D7312A"/>
    <w:rsid w:val="00D73D7E"/>
    <w:rsid w:val="00D80084"/>
    <w:rsid w:val="00D80EAC"/>
    <w:rsid w:val="00D85945"/>
    <w:rsid w:val="00D86765"/>
    <w:rsid w:val="00D90394"/>
    <w:rsid w:val="00D936A4"/>
    <w:rsid w:val="00D95EB1"/>
    <w:rsid w:val="00D9612B"/>
    <w:rsid w:val="00D96380"/>
    <w:rsid w:val="00DA011E"/>
    <w:rsid w:val="00DA061C"/>
    <w:rsid w:val="00DA0D26"/>
    <w:rsid w:val="00DA2950"/>
    <w:rsid w:val="00DA38FC"/>
    <w:rsid w:val="00DB3AC6"/>
    <w:rsid w:val="00DB3ACC"/>
    <w:rsid w:val="00DB4B31"/>
    <w:rsid w:val="00DB5643"/>
    <w:rsid w:val="00DC04F9"/>
    <w:rsid w:val="00DC13EB"/>
    <w:rsid w:val="00DC158E"/>
    <w:rsid w:val="00DC4151"/>
    <w:rsid w:val="00DC5087"/>
    <w:rsid w:val="00DC6066"/>
    <w:rsid w:val="00DC6B9C"/>
    <w:rsid w:val="00DD1604"/>
    <w:rsid w:val="00DD191C"/>
    <w:rsid w:val="00DD2593"/>
    <w:rsid w:val="00DD7B6E"/>
    <w:rsid w:val="00DE0DBD"/>
    <w:rsid w:val="00DE184B"/>
    <w:rsid w:val="00DE30C0"/>
    <w:rsid w:val="00DE37D5"/>
    <w:rsid w:val="00DE3F99"/>
    <w:rsid w:val="00DE4514"/>
    <w:rsid w:val="00DE7685"/>
    <w:rsid w:val="00DF2289"/>
    <w:rsid w:val="00DF3A95"/>
    <w:rsid w:val="00DF75EB"/>
    <w:rsid w:val="00DF7C8F"/>
    <w:rsid w:val="00E01D62"/>
    <w:rsid w:val="00E1085C"/>
    <w:rsid w:val="00E13369"/>
    <w:rsid w:val="00E1433B"/>
    <w:rsid w:val="00E154BD"/>
    <w:rsid w:val="00E20432"/>
    <w:rsid w:val="00E210C6"/>
    <w:rsid w:val="00E2230B"/>
    <w:rsid w:val="00E331F8"/>
    <w:rsid w:val="00E33C8A"/>
    <w:rsid w:val="00E33E00"/>
    <w:rsid w:val="00E35905"/>
    <w:rsid w:val="00E41304"/>
    <w:rsid w:val="00E44373"/>
    <w:rsid w:val="00E44FCF"/>
    <w:rsid w:val="00E470D5"/>
    <w:rsid w:val="00E47725"/>
    <w:rsid w:val="00E54CE9"/>
    <w:rsid w:val="00E57FB3"/>
    <w:rsid w:val="00E601A4"/>
    <w:rsid w:val="00E60D14"/>
    <w:rsid w:val="00E6389D"/>
    <w:rsid w:val="00E64182"/>
    <w:rsid w:val="00E65BF5"/>
    <w:rsid w:val="00E65E1F"/>
    <w:rsid w:val="00E65FAD"/>
    <w:rsid w:val="00E6603B"/>
    <w:rsid w:val="00E66793"/>
    <w:rsid w:val="00E67F7D"/>
    <w:rsid w:val="00E748C2"/>
    <w:rsid w:val="00E74F7A"/>
    <w:rsid w:val="00E7758A"/>
    <w:rsid w:val="00E80881"/>
    <w:rsid w:val="00E81D56"/>
    <w:rsid w:val="00E830BC"/>
    <w:rsid w:val="00E83C1F"/>
    <w:rsid w:val="00E83C4E"/>
    <w:rsid w:val="00E84011"/>
    <w:rsid w:val="00E85A6D"/>
    <w:rsid w:val="00E85AB8"/>
    <w:rsid w:val="00E866C0"/>
    <w:rsid w:val="00E87AEB"/>
    <w:rsid w:val="00E91902"/>
    <w:rsid w:val="00E920E0"/>
    <w:rsid w:val="00E9275D"/>
    <w:rsid w:val="00E96565"/>
    <w:rsid w:val="00E96B91"/>
    <w:rsid w:val="00EA04E9"/>
    <w:rsid w:val="00EA3713"/>
    <w:rsid w:val="00EA3EF1"/>
    <w:rsid w:val="00EA7164"/>
    <w:rsid w:val="00EB2764"/>
    <w:rsid w:val="00EB2DD3"/>
    <w:rsid w:val="00EB76D8"/>
    <w:rsid w:val="00EB775D"/>
    <w:rsid w:val="00EB7BF8"/>
    <w:rsid w:val="00EC5479"/>
    <w:rsid w:val="00EC568F"/>
    <w:rsid w:val="00ED171E"/>
    <w:rsid w:val="00ED19A7"/>
    <w:rsid w:val="00ED37CE"/>
    <w:rsid w:val="00EE3A33"/>
    <w:rsid w:val="00EE3D21"/>
    <w:rsid w:val="00EF36CF"/>
    <w:rsid w:val="00EF4BA3"/>
    <w:rsid w:val="00EF6297"/>
    <w:rsid w:val="00EF6827"/>
    <w:rsid w:val="00EF7DBB"/>
    <w:rsid w:val="00EF7E81"/>
    <w:rsid w:val="00F00A80"/>
    <w:rsid w:val="00F01357"/>
    <w:rsid w:val="00F019B4"/>
    <w:rsid w:val="00F02970"/>
    <w:rsid w:val="00F052D4"/>
    <w:rsid w:val="00F114D2"/>
    <w:rsid w:val="00F12A08"/>
    <w:rsid w:val="00F13F37"/>
    <w:rsid w:val="00F147BF"/>
    <w:rsid w:val="00F14F99"/>
    <w:rsid w:val="00F167B6"/>
    <w:rsid w:val="00F20137"/>
    <w:rsid w:val="00F24FA9"/>
    <w:rsid w:val="00F251F8"/>
    <w:rsid w:val="00F25D6B"/>
    <w:rsid w:val="00F25F1C"/>
    <w:rsid w:val="00F26E24"/>
    <w:rsid w:val="00F26FE3"/>
    <w:rsid w:val="00F27234"/>
    <w:rsid w:val="00F27B62"/>
    <w:rsid w:val="00F30912"/>
    <w:rsid w:val="00F311E7"/>
    <w:rsid w:val="00F312E9"/>
    <w:rsid w:val="00F33F0F"/>
    <w:rsid w:val="00F34A81"/>
    <w:rsid w:val="00F35705"/>
    <w:rsid w:val="00F35B3E"/>
    <w:rsid w:val="00F36CF7"/>
    <w:rsid w:val="00F4061D"/>
    <w:rsid w:val="00F408C1"/>
    <w:rsid w:val="00F44E11"/>
    <w:rsid w:val="00F46A98"/>
    <w:rsid w:val="00F47ED0"/>
    <w:rsid w:val="00F53AC7"/>
    <w:rsid w:val="00F5401A"/>
    <w:rsid w:val="00F547CB"/>
    <w:rsid w:val="00F55D41"/>
    <w:rsid w:val="00F56028"/>
    <w:rsid w:val="00F56871"/>
    <w:rsid w:val="00F577F7"/>
    <w:rsid w:val="00F628D0"/>
    <w:rsid w:val="00F64017"/>
    <w:rsid w:val="00F651CA"/>
    <w:rsid w:val="00F7003A"/>
    <w:rsid w:val="00F70528"/>
    <w:rsid w:val="00F73877"/>
    <w:rsid w:val="00F74A49"/>
    <w:rsid w:val="00F77B1A"/>
    <w:rsid w:val="00F8004C"/>
    <w:rsid w:val="00F80A27"/>
    <w:rsid w:val="00F81B37"/>
    <w:rsid w:val="00F83047"/>
    <w:rsid w:val="00F83F45"/>
    <w:rsid w:val="00F8476A"/>
    <w:rsid w:val="00F87AB1"/>
    <w:rsid w:val="00F922BA"/>
    <w:rsid w:val="00F934B9"/>
    <w:rsid w:val="00F96E66"/>
    <w:rsid w:val="00FA0067"/>
    <w:rsid w:val="00FA0267"/>
    <w:rsid w:val="00FA1C79"/>
    <w:rsid w:val="00FA2CE9"/>
    <w:rsid w:val="00FA5597"/>
    <w:rsid w:val="00FA7D96"/>
    <w:rsid w:val="00FB1329"/>
    <w:rsid w:val="00FB2330"/>
    <w:rsid w:val="00FB5AEE"/>
    <w:rsid w:val="00FB6A0A"/>
    <w:rsid w:val="00FB700D"/>
    <w:rsid w:val="00FB70D3"/>
    <w:rsid w:val="00FB7D1F"/>
    <w:rsid w:val="00FC0B14"/>
    <w:rsid w:val="00FC5D4B"/>
    <w:rsid w:val="00FD033D"/>
    <w:rsid w:val="00FD4649"/>
    <w:rsid w:val="00FD6FB6"/>
    <w:rsid w:val="00FE161E"/>
    <w:rsid w:val="00FE4136"/>
    <w:rsid w:val="00FE7598"/>
    <w:rsid w:val="00FF18C9"/>
    <w:rsid w:val="00FF221E"/>
    <w:rsid w:val="00FF65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26D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D64"/>
  </w:style>
  <w:style w:type="paragraph" w:styleId="Ttulo1">
    <w:name w:val="heading 1"/>
    <w:basedOn w:val="Normal"/>
    <w:next w:val="Normal"/>
    <w:link w:val="Ttulo1Car"/>
    <w:uiPriority w:val="9"/>
    <w:qFormat/>
    <w:rsid w:val="00181D64"/>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181D64"/>
    <w:pPr>
      <w:keepNext/>
      <w:keepLines/>
      <w:numPr>
        <w:ilvl w:val="1"/>
        <w:numId w:val="8"/>
      </w:numPr>
      <w:spacing w:before="360" w:after="240" w:line="288" w:lineRule="auto"/>
      <w:jc w:val="both"/>
      <w:outlineLvl w:val="1"/>
    </w:pPr>
    <w:rPr>
      <w:rFonts w:ascii="Arial" w:eastAsiaTheme="majorEastAsia" w:hAnsi="Arial" w:cs="Arial"/>
      <w:b/>
      <w:bCs/>
      <w:color w:val="000000" w:themeColor="text1"/>
      <w:sz w:val="24"/>
      <w:szCs w:val="24"/>
      <w:lang w:val="en-GB"/>
    </w:rPr>
  </w:style>
  <w:style w:type="paragraph" w:styleId="Ttulo3">
    <w:name w:val="heading 3"/>
    <w:basedOn w:val="Normal"/>
    <w:next w:val="Normal"/>
    <w:link w:val="Ttulo3Car"/>
    <w:unhideWhenUsed/>
    <w:qFormat/>
    <w:rsid w:val="00181D64"/>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81D64"/>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181D64"/>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181D64"/>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181D64"/>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181D6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81D6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1D6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181D64"/>
    <w:rPr>
      <w:rFonts w:ascii="Arial" w:eastAsiaTheme="majorEastAsia" w:hAnsi="Arial" w:cs="Arial"/>
      <w:b/>
      <w:bCs/>
      <w:color w:val="000000" w:themeColor="text1"/>
      <w:sz w:val="24"/>
      <w:szCs w:val="24"/>
      <w:lang w:val="en-GB"/>
    </w:rPr>
  </w:style>
  <w:style w:type="character" w:customStyle="1" w:styleId="Ttulo3Car">
    <w:name w:val="Título 3 Car"/>
    <w:basedOn w:val="Fuentedeprrafopredeter"/>
    <w:link w:val="Ttulo3"/>
    <w:rsid w:val="00181D64"/>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181D64"/>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181D64"/>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181D64"/>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181D64"/>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181D64"/>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81D64"/>
    <w:rPr>
      <w:rFonts w:asciiTheme="majorHAnsi" w:eastAsiaTheme="majorEastAsia" w:hAnsiTheme="majorHAnsi" w:cstheme="majorBidi"/>
      <w:i/>
      <w:iCs/>
      <w:color w:val="272727" w:themeColor="text1" w:themeTint="D8"/>
      <w:sz w:val="21"/>
      <w:szCs w:val="21"/>
    </w:rPr>
  </w:style>
  <w:style w:type="paragraph" w:customStyle="1" w:styleId="IFTnormal">
    <w:name w:val="IFT normal"/>
    <w:basedOn w:val="Normal"/>
    <w:link w:val="IFTnormalCar"/>
    <w:qFormat/>
    <w:rsid w:val="00181D64"/>
    <w:pPr>
      <w:spacing w:after="200" w:line="276" w:lineRule="auto"/>
      <w:jc w:val="both"/>
    </w:pPr>
    <w:rPr>
      <w:rFonts w:ascii="ITC Avant Garde" w:eastAsia="MS Mincho" w:hAnsi="ITC Avant Garde" w:cs="Calibri"/>
      <w:bCs/>
    </w:rPr>
  </w:style>
  <w:style w:type="character" w:customStyle="1" w:styleId="IFTnormalCar">
    <w:name w:val="IFT normal Car"/>
    <w:basedOn w:val="Fuentedeprrafopredeter"/>
    <w:link w:val="IFTnormal"/>
    <w:qFormat/>
    <w:rsid w:val="00181D64"/>
    <w:rPr>
      <w:rFonts w:ascii="ITC Avant Garde" w:eastAsia="MS Mincho" w:hAnsi="ITC Avant Garde" w:cs="Calibri"/>
      <w:bCs/>
    </w:rPr>
  </w:style>
  <w:style w:type="character" w:styleId="Refdenotaalpie">
    <w:name w:val="footnote reference"/>
    <w:aliases w:val="Ref,de nota al pie,(NECG) Footnote Reference,o,fr,Style 3,Appel note de bas de p,Style 12,Style 124,Ref. de nota al pie 2,Style 6,Footnote Reference Superscript,Style 13,FR,Style 17,Footnote Reference/,Texto de nota al pie,註腳內容,11 pt"/>
    <w:uiPriority w:val="99"/>
    <w:unhideWhenUsed/>
    <w:qFormat/>
    <w:rsid w:val="00181D64"/>
    <w:rPr>
      <w:vertAlign w:val="superscript"/>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unhideWhenUsed/>
    <w:qFormat/>
    <w:rsid w:val="00181D64"/>
    <w:pPr>
      <w:spacing w:after="0" w:line="240" w:lineRule="auto"/>
    </w:pPr>
    <w:rPr>
      <w:rFonts w:ascii="Calibri" w:eastAsia="Calibri" w:hAnsi="Calibri" w:cs="Times New Roman"/>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181D64"/>
    <w:rPr>
      <w:rFonts w:ascii="Calibri" w:eastAsia="Calibri" w:hAnsi="Calibri" w:cs="Times New Roman"/>
      <w:sz w:val="20"/>
      <w:szCs w:val="20"/>
    </w:rPr>
  </w:style>
  <w:style w:type="character" w:styleId="Hipervnculo">
    <w:name w:val="Hyperlink"/>
    <w:basedOn w:val="Fuentedeprrafopredeter"/>
    <w:uiPriority w:val="99"/>
    <w:unhideWhenUsed/>
    <w:rsid w:val="00181D64"/>
    <w:rPr>
      <w:color w:val="0563C1" w:themeColor="hyperlink"/>
      <w:u w:val="single"/>
    </w:rPr>
  </w:style>
  <w:style w:type="paragraph" w:styleId="Prrafodelista">
    <w:name w:val="List Paragraph"/>
    <w:aliases w:val="prueba1"/>
    <w:basedOn w:val="Normal"/>
    <w:link w:val="PrrafodelistaCar"/>
    <w:uiPriority w:val="34"/>
    <w:qFormat/>
    <w:rsid w:val="00181D64"/>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prueba1 Car"/>
    <w:link w:val="Prrafodelista"/>
    <w:uiPriority w:val="34"/>
    <w:qFormat/>
    <w:rsid w:val="00181D64"/>
    <w:rPr>
      <w:rFonts w:ascii="Calibri" w:eastAsia="Calibri" w:hAnsi="Calibri" w:cs="Times New Roman"/>
    </w:rPr>
  </w:style>
  <w:style w:type="paragraph" w:customStyle="1" w:styleId="Tablecells">
    <w:name w:val="Table: cells"/>
    <w:qFormat/>
    <w:rsid w:val="00181D64"/>
    <w:pPr>
      <w:spacing w:before="40" w:after="40" w:line="240" w:lineRule="exact"/>
      <w:ind w:right="113"/>
    </w:pPr>
    <w:rPr>
      <w:rFonts w:ascii="Arial" w:hAnsi="Arial"/>
      <w:sz w:val="18"/>
      <w:lang w:val="en-GB"/>
    </w:rPr>
  </w:style>
  <w:style w:type="paragraph" w:customStyle="1" w:styleId="Tableheading">
    <w:name w:val="Table: heading"/>
    <w:basedOn w:val="Tablecells"/>
    <w:next w:val="Tablecells"/>
    <w:qFormat/>
    <w:rsid w:val="00181D64"/>
    <w:pPr>
      <w:keepNext/>
    </w:pPr>
    <w:rPr>
      <w:b/>
      <w:color w:val="FFFFFF"/>
    </w:rPr>
  </w:style>
  <w:style w:type="paragraph" w:styleId="Ttulo">
    <w:name w:val="Title"/>
    <w:basedOn w:val="Normal"/>
    <w:next w:val="Normal"/>
    <w:link w:val="TtuloCar"/>
    <w:uiPriority w:val="10"/>
    <w:rsid w:val="00181D64"/>
    <w:pPr>
      <w:spacing w:after="0" w:line="240" w:lineRule="auto"/>
      <w:contextualSpacing/>
      <w:jc w:val="both"/>
    </w:pPr>
    <w:rPr>
      <w:rFonts w:ascii="Arial" w:eastAsiaTheme="majorEastAsia" w:hAnsi="Arial" w:cs="Arial"/>
      <w:b/>
      <w:bCs/>
      <w:spacing w:val="-10"/>
      <w:kern w:val="28"/>
      <w:sz w:val="56"/>
      <w:szCs w:val="56"/>
      <w:lang w:val="en-GB"/>
    </w:rPr>
  </w:style>
  <w:style w:type="character" w:customStyle="1" w:styleId="TtuloCar">
    <w:name w:val="Título Car"/>
    <w:basedOn w:val="Fuentedeprrafopredeter"/>
    <w:link w:val="Ttulo"/>
    <w:uiPriority w:val="10"/>
    <w:rsid w:val="00181D64"/>
    <w:rPr>
      <w:rFonts w:ascii="Arial" w:eastAsiaTheme="majorEastAsia" w:hAnsi="Arial" w:cs="Arial"/>
      <w:b/>
      <w:bCs/>
      <w:spacing w:val="-10"/>
      <w:kern w:val="28"/>
      <w:sz w:val="56"/>
      <w:szCs w:val="56"/>
      <w:lang w:val="en-GB"/>
    </w:rPr>
  </w:style>
  <w:style w:type="paragraph" w:styleId="Piedepgina">
    <w:name w:val="footer"/>
    <w:basedOn w:val="Normal"/>
    <w:link w:val="PiedepginaCar"/>
    <w:uiPriority w:val="99"/>
    <w:unhideWhenUsed/>
    <w:rsid w:val="00181D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1D64"/>
  </w:style>
  <w:style w:type="paragraph" w:styleId="TtuloTDC">
    <w:name w:val="TOC Heading"/>
    <w:basedOn w:val="Ttulo1"/>
    <w:next w:val="Normal"/>
    <w:uiPriority w:val="39"/>
    <w:unhideWhenUsed/>
    <w:qFormat/>
    <w:rsid w:val="00181D64"/>
    <w:pPr>
      <w:outlineLvl w:val="9"/>
    </w:pPr>
    <w:rPr>
      <w:lang w:eastAsia="es-MX"/>
    </w:rPr>
  </w:style>
  <w:style w:type="paragraph" w:styleId="TDC2">
    <w:name w:val="toc 2"/>
    <w:basedOn w:val="Normal"/>
    <w:next w:val="Normal"/>
    <w:autoRedefine/>
    <w:uiPriority w:val="39"/>
    <w:unhideWhenUsed/>
    <w:rsid w:val="0053413C"/>
    <w:pPr>
      <w:tabs>
        <w:tab w:val="left" w:pos="660"/>
        <w:tab w:val="right" w:leader="dot" w:pos="8828"/>
      </w:tabs>
      <w:spacing w:after="100"/>
    </w:pPr>
    <w:rPr>
      <w:rFonts w:eastAsiaTheme="minorEastAsia" w:cs="Times New Roman"/>
      <w:lang w:eastAsia="es-MX"/>
    </w:rPr>
  </w:style>
  <w:style w:type="paragraph" w:styleId="TDC1">
    <w:name w:val="toc 1"/>
    <w:basedOn w:val="Normal"/>
    <w:next w:val="Normal"/>
    <w:autoRedefine/>
    <w:uiPriority w:val="39"/>
    <w:unhideWhenUsed/>
    <w:rsid w:val="00F83F45"/>
    <w:pPr>
      <w:tabs>
        <w:tab w:val="left" w:pos="660"/>
        <w:tab w:val="right" w:leader="dot" w:pos="8828"/>
      </w:tabs>
      <w:spacing w:after="100"/>
    </w:pPr>
    <w:rPr>
      <w:rFonts w:eastAsiaTheme="minorEastAsia" w:cs="Times New Roman"/>
      <w:lang w:eastAsia="es-MX"/>
    </w:rPr>
  </w:style>
  <w:style w:type="paragraph" w:styleId="TDC3">
    <w:name w:val="toc 3"/>
    <w:basedOn w:val="Normal"/>
    <w:next w:val="Normal"/>
    <w:autoRedefine/>
    <w:uiPriority w:val="39"/>
    <w:unhideWhenUsed/>
    <w:rsid w:val="00181D64"/>
    <w:pPr>
      <w:tabs>
        <w:tab w:val="left" w:pos="709"/>
        <w:tab w:val="right" w:leader="dot" w:pos="8828"/>
      </w:tabs>
      <w:spacing w:after="100"/>
    </w:pPr>
    <w:rPr>
      <w:rFonts w:eastAsiaTheme="minorEastAsia" w:cs="Times New Roman"/>
      <w:lang w:eastAsia="es-MX"/>
    </w:rPr>
  </w:style>
  <w:style w:type="table" w:styleId="Tablaconcuadrcula1clara">
    <w:name w:val="Grid Table 1 Light"/>
    <w:basedOn w:val="Tablanormal"/>
    <w:uiPriority w:val="99"/>
    <w:rsid w:val="00181D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aaIFTNormalArial">
    <w:name w:val="aaa IFT Normal Arial"/>
    <w:basedOn w:val="IFTnormal"/>
    <w:rsid w:val="00181D64"/>
    <w:pPr>
      <w:spacing w:after="0"/>
    </w:pPr>
    <w:rPr>
      <w:rFonts w:ascii="Arial" w:eastAsia="Calibri" w:hAnsi="Arial" w:cs="Arial"/>
      <w:bCs w:val="0"/>
      <w:color w:val="000000"/>
      <w:lang w:val="es-ES_tradnl" w:eastAsia="es-ES"/>
    </w:rPr>
  </w:style>
  <w:style w:type="paragraph" w:customStyle="1" w:styleId="aaaIFTnormal">
    <w:name w:val="aaa IFT normal"/>
    <w:basedOn w:val="Normal"/>
    <w:link w:val="aaaIFTnormalCar"/>
    <w:qFormat/>
    <w:rsid w:val="00181D64"/>
    <w:pPr>
      <w:spacing w:after="240" w:line="276" w:lineRule="auto"/>
      <w:jc w:val="both"/>
    </w:pPr>
    <w:rPr>
      <w:rFonts w:ascii="Arial" w:eastAsia="MS Mincho" w:hAnsi="Arial" w:cs="Calibri"/>
      <w:bCs/>
    </w:rPr>
  </w:style>
  <w:style w:type="character" w:customStyle="1" w:styleId="aaaIFTnormalCar">
    <w:name w:val="aaa IFT normal Car"/>
    <w:link w:val="aaaIFTnormal"/>
    <w:qFormat/>
    <w:rsid w:val="00181D64"/>
    <w:rPr>
      <w:rFonts w:ascii="Arial" w:eastAsia="MS Mincho" w:hAnsi="Arial" w:cs="Calibri"/>
      <w:bCs/>
    </w:rPr>
  </w:style>
  <w:style w:type="paragraph" w:customStyle="1" w:styleId="aaaNOTAalpie">
    <w:name w:val="aaa NOTA al pie"/>
    <w:basedOn w:val="Textonotapie"/>
    <w:qFormat/>
    <w:rsid w:val="00181D64"/>
    <w:pPr>
      <w:tabs>
        <w:tab w:val="left" w:pos="284"/>
      </w:tabs>
      <w:spacing w:after="60"/>
      <w:ind w:left="284" w:hanging="284"/>
      <w:jc w:val="both"/>
    </w:pPr>
    <w:rPr>
      <w:rFonts w:ascii="Arial" w:hAnsi="Arial"/>
      <w:sz w:val="18"/>
      <w:szCs w:val="18"/>
      <w:lang w:val="es-ES_tradnl" w:eastAsia="es-ES"/>
    </w:rPr>
  </w:style>
  <w:style w:type="numbering" w:customStyle="1" w:styleId="Estilo3">
    <w:name w:val="Estilo3"/>
    <w:rsid w:val="00181D64"/>
    <w:pPr>
      <w:numPr>
        <w:numId w:val="6"/>
      </w:numPr>
    </w:pPr>
  </w:style>
  <w:style w:type="paragraph" w:customStyle="1" w:styleId="aaaFiguras">
    <w:name w:val="aaa Figuras"/>
    <w:basedOn w:val="Normal"/>
    <w:rsid w:val="00181D64"/>
    <w:pPr>
      <w:adjustRightInd w:val="0"/>
      <w:spacing w:after="200" w:line="240" w:lineRule="auto"/>
      <w:ind w:left="1276" w:right="1325"/>
      <w:jc w:val="both"/>
    </w:pPr>
    <w:rPr>
      <w:rFonts w:ascii="Arial" w:eastAsia="Times New Roman" w:hAnsi="Arial" w:cs="Arial"/>
      <w:color w:val="000000"/>
      <w:sz w:val="18"/>
      <w:szCs w:val="18"/>
      <w:lang w:eastAsia="es-ES"/>
    </w:rPr>
  </w:style>
  <w:style w:type="numbering" w:customStyle="1" w:styleId="Estilo1">
    <w:name w:val="Estilo1"/>
    <w:rsid w:val="007444DC"/>
    <w:pPr>
      <w:numPr>
        <w:numId w:val="21"/>
      </w:numPr>
    </w:pPr>
  </w:style>
  <w:style w:type="character" w:styleId="Mencinsinresolver">
    <w:name w:val="Unresolved Mention"/>
    <w:basedOn w:val="Fuentedeprrafopredeter"/>
    <w:uiPriority w:val="99"/>
    <w:semiHidden/>
    <w:unhideWhenUsed/>
    <w:rsid w:val="00111D34"/>
    <w:rPr>
      <w:color w:val="605E5C"/>
      <w:shd w:val="clear" w:color="auto" w:fill="E1DFDD"/>
    </w:rPr>
  </w:style>
  <w:style w:type="character" w:styleId="Hipervnculovisitado">
    <w:name w:val="FollowedHyperlink"/>
    <w:basedOn w:val="Fuentedeprrafopredeter"/>
    <w:uiPriority w:val="99"/>
    <w:semiHidden/>
    <w:unhideWhenUsed/>
    <w:rsid w:val="00DC5087"/>
    <w:rPr>
      <w:color w:val="954F72" w:themeColor="followedHyperlink"/>
      <w:u w:val="single"/>
    </w:rPr>
  </w:style>
  <w:style w:type="paragraph" w:styleId="Revisin">
    <w:name w:val="Revision"/>
    <w:hidden/>
    <w:uiPriority w:val="99"/>
    <w:semiHidden/>
    <w:rsid w:val="00AB460A"/>
    <w:pPr>
      <w:spacing w:after="0" w:line="240" w:lineRule="auto"/>
    </w:pPr>
  </w:style>
  <w:style w:type="character" w:styleId="Refdecomentario">
    <w:name w:val="annotation reference"/>
    <w:uiPriority w:val="99"/>
    <w:unhideWhenUsed/>
    <w:rsid w:val="00214767"/>
    <w:rPr>
      <w:sz w:val="16"/>
      <w:szCs w:val="16"/>
    </w:rPr>
  </w:style>
  <w:style w:type="table" w:styleId="Tablaconcuadrcula">
    <w:name w:val="Table Grid"/>
    <w:basedOn w:val="Tablanormal"/>
    <w:uiPriority w:val="59"/>
    <w:rsid w:val="002147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Listado">
    <w:name w:val="TxtListado"/>
    <w:basedOn w:val="Normal"/>
    <w:qFormat/>
    <w:rsid w:val="00214767"/>
    <w:pPr>
      <w:spacing w:after="200" w:line="276" w:lineRule="auto"/>
    </w:pPr>
    <w:rPr>
      <w:rFonts w:ascii="ITC Avant Garde" w:eastAsia="Calibri" w:hAnsi="ITC Avant Garde" w:cs="Times New Roman"/>
      <w:sz w:val="20"/>
      <w:szCs w:val="20"/>
      <w:lang w:eastAsia="es-ES"/>
    </w:rPr>
  </w:style>
  <w:style w:type="paragraph" w:styleId="Textocomentario">
    <w:name w:val="annotation text"/>
    <w:basedOn w:val="Normal"/>
    <w:link w:val="TextocomentarioCar"/>
    <w:uiPriority w:val="99"/>
    <w:unhideWhenUsed/>
    <w:rsid w:val="00EC5479"/>
    <w:pPr>
      <w:spacing w:line="240" w:lineRule="auto"/>
    </w:pPr>
    <w:rPr>
      <w:sz w:val="20"/>
      <w:szCs w:val="20"/>
    </w:rPr>
  </w:style>
  <w:style w:type="character" w:customStyle="1" w:styleId="TextocomentarioCar">
    <w:name w:val="Texto comentario Car"/>
    <w:basedOn w:val="Fuentedeprrafopredeter"/>
    <w:link w:val="Textocomentario"/>
    <w:uiPriority w:val="99"/>
    <w:rsid w:val="00EC5479"/>
    <w:rPr>
      <w:sz w:val="20"/>
      <w:szCs w:val="20"/>
    </w:rPr>
  </w:style>
  <w:style w:type="paragraph" w:styleId="Asuntodelcomentario">
    <w:name w:val="annotation subject"/>
    <w:basedOn w:val="Textocomentario"/>
    <w:next w:val="Textocomentario"/>
    <w:link w:val="AsuntodelcomentarioCar"/>
    <w:uiPriority w:val="99"/>
    <w:semiHidden/>
    <w:unhideWhenUsed/>
    <w:rsid w:val="00EC5479"/>
    <w:rPr>
      <w:b/>
      <w:bCs/>
    </w:rPr>
  </w:style>
  <w:style w:type="character" w:customStyle="1" w:styleId="AsuntodelcomentarioCar">
    <w:name w:val="Asunto del comentario Car"/>
    <w:basedOn w:val="TextocomentarioCar"/>
    <w:link w:val="Asuntodelcomentario"/>
    <w:uiPriority w:val="99"/>
    <w:semiHidden/>
    <w:rsid w:val="00EC5479"/>
    <w:rPr>
      <w:b/>
      <w:bCs/>
      <w:sz w:val="20"/>
      <w:szCs w:val="20"/>
    </w:rPr>
  </w:style>
  <w:style w:type="paragraph" w:styleId="Encabezado">
    <w:name w:val="header"/>
    <w:basedOn w:val="Normal"/>
    <w:link w:val="EncabezadoCar"/>
    <w:uiPriority w:val="99"/>
    <w:unhideWhenUsed/>
    <w:rsid w:val="00E83C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3C1F"/>
  </w:style>
  <w:style w:type="paragraph" w:styleId="Textodeglobo">
    <w:name w:val="Balloon Text"/>
    <w:basedOn w:val="Normal"/>
    <w:link w:val="TextodegloboCar"/>
    <w:uiPriority w:val="99"/>
    <w:semiHidden/>
    <w:unhideWhenUsed/>
    <w:rsid w:val="002721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183"/>
    <w:rPr>
      <w:rFonts w:ascii="Segoe UI" w:hAnsi="Segoe UI" w:cs="Segoe UI"/>
      <w:sz w:val="18"/>
      <w:szCs w:val="18"/>
    </w:rPr>
  </w:style>
  <w:style w:type="character" w:customStyle="1" w:styleId="CitaiftCar">
    <w:name w:val="Cita ift Car"/>
    <w:link w:val="Citaift"/>
    <w:locked/>
    <w:rsid w:val="00DD1604"/>
    <w:rPr>
      <w:rFonts w:ascii="ITC Avant Garde" w:eastAsia="Times New Roman" w:hAnsi="ITC Avant Garde" w:cs="Arial"/>
      <w:i/>
      <w:color w:val="000000"/>
      <w:sz w:val="18"/>
      <w:szCs w:val="18"/>
      <w:lang w:eastAsia="es-ES"/>
    </w:rPr>
  </w:style>
  <w:style w:type="paragraph" w:customStyle="1" w:styleId="Citaift">
    <w:name w:val="Cita ift"/>
    <w:basedOn w:val="Normal"/>
    <w:link w:val="CitaiftCar"/>
    <w:qFormat/>
    <w:rsid w:val="00DD1604"/>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styleId="Textodelmarcadordeposicin">
    <w:name w:val="Placeholder Text"/>
    <w:basedOn w:val="Fuentedeprrafopredeter"/>
    <w:uiPriority w:val="99"/>
    <w:semiHidden/>
    <w:rsid w:val="00265444"/>
    <w:rPr>
      <w:color w:val="808080"/>
    </w:rPr>
  </w:style>
  <w:style w:type="paragraph" w:styleId="NormalWeb">
    <w:name w:val="Normal (Web)"/>
    <w:basedOn w:val="Normal"/>
    <w:uiPriority w:val="99"/>
    <w:semiHidden/>
    <w:unhideWhenUsed/>
    <w:rsid w:val="004D740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igura">
    <w:name w:val="Figura"/>
    <w:basedOn w:val="Normal"/>
    <w:link w:val="FiguraCar"/>
    <w:qFormat/>
    <w:rsid w:val="00FA1C79"/>
    <w:pPr>
      <w:keepNext/>
      <w:numPr>
        <w:numId w:val="43"/>
      </w:numPr>
      <w:spacing w:before="120" w:after="120" w:line="276" w:lineRule="auto"/>
      <w:jc w:val="center"/>
    </w:pPr>
    <w:rPr>
      <w:rFonts w:ascii="ITC Avant Garde" w:hAnsi="ITC Avant Garde"/>
      <w:sz w:val="20"/>
    </w:rPr>
  </w:style>
  <w:style w:type="character" w:customStyle="1" w:styleId="FiguraCar">
    <w:name w:val="Figura Car"/>
    <w:basedOn w:val="Fuentedeprrafopredeter"/>
    <w:link w:val="Figura"/>
    <w:rsid w:val="00FA1C79"/>
    <w:rPr>
      <w:rFonts w:ascii="ITC Avant Garde" w:hAnsi="ITC Avant Garde"/>
      <w:sz w:val="20"/>
    </w:rPr>
  </w:style>
  <w:style w:type="paragraph" w:styleId="Cita">
    <w:name w:val="Quote"/>
    <w:basedOn w:val="Normal"/>
    <w:next w:val="Normal"/>
    <w:link w:val="CitaCar"/>
    <w:uiPriority w:val="29"/>
    <w:qFormat/>
    <w:rsid w:val="00461FFD"/>
    <w:pPr>
      <w:spacing w:before="200" w:line="276" w:lineRule="auto"/>
      <w:ind w:left="864" w:right="864"/>
      <w:jc w:val="center"/>
    </w:pPr>
    <w:rPr>
      <w:i/>
      <w:iCs/>
      <w:color w:val="404040" w:themeColor="text1" w:themeTint="BF"/>
    </w:rPr>
  </w:style>
  <w:style w:type="character" w:customStyle="1" w:styleId="CitaCar">
    <w:name w:val="Cita Car"/>
    <w:basedOn w:val="Fuentedeprrafopredeter"/>
    <w:link w:val="Cita"/>
    <w:uiPriority w:val="29"/>
    <w:rsid w:val="00461FF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87231">
      <w:bodyDiv w:val="1"/>
      <w:marLeft w:val="0"/>
      <w:marRight w:val="0"/>
      <w:marTop w:val="0"/>
      <w:marBottom w:val="0"/>
      <w:divBdr>
        <w:top w:val="none" w:sz="0" w:space="0" w:color="auto"/>
        <w:left w:val="none" w:sz="0" w:space="0" w:color="auto"/>
        <w:bottom w:val="none" w:sz="0" w:space="0" w:color="auto"/>
        <w:right w:val="none" w:sz="0" w:space="0" w:color="auto"/>
      </w:divBdr>
    </w:div>
    <w:div w:id="133135261">
      <w:bodyDiv w:val="1"/>
      <w:marLeft w:val="0"/>
      <w:marRight w:val="0"/>
      <w:marTop w:val="0"/>
      <w:marBottom w:val="0"/>
      <w:divBdr>
        <w:top w:val="none" w:sz="0" w:space="0" w:color="auto"/>
        <w:left w:val="none" w:sz="0" w:space="0" w:color="auto"/>
        <w:bottom w:val="none" w:sz="0" w:space="0" w:color="auto"/>
        <w:right w:val="none" w:sz="0" w:space="0" w:color="auto"/>
      </w:divBdr>
    </w:div>
    <w:div w:id="168444987">
      <w:bodyDiv w:val="1"/>
      <w:marLeft w:val="0"/>
      <w:marRight w:val="0"/>
      <w:marTop w:val="0"/>
      <w:marBottom w:val="0"/>
      <w:divBdr>
        <w:top w:val="none" w:sz="0" w:space="0" w:color="auto"/>
        <w:left w:val="none" w:sz="0" w:space="0" w:color="auto"/>
        <w:bottom w:val="none" w:sz="0" w:space="0" w:color="auto"/>
        <w:right w:val="none" w:sz="0" w:space="0" w:color="auto"/>
      </w:divBdr>
    </w:div>
    <w:div w:id="232547311">
      <w:bodyDiv w:val="1"/>
      <w:marLeft w:val="0"/>
      <w:marRight w:val="0"/>
      <w:marTop w:val="0"/>
      <w:marBottom w:val="0"/>
      <w:divBdr>
        <w:top w:val="none" w:sz="0" w:space="0" w:color="auto"/>
        <w:left w:val="none" w:sz="0" w:space="0" w:color="auto"/>
        <w:bottom w:val="none" w:sz="0" w:space="0" w:color="auto"/>
        <w:right w:val="none" w:sz="0" w:space="0" w:color="auto"/>
      </w:divBdr>
    </w:div>
    <w:div w:id="371464206">
      <w:bodyDiv w:val="1"/>
      <w:marLeft w:val="0"/>
      <w:marRight w:val="0"/>
      <w:marTop w:val="0"/>
      <w:marBottom w:val="0"/>
      <w:divBdr>
        <w:top w:val="none" w:sz="0" w:space="0" w:color="auto"/>
        <w:left w:val="none" w:sz="0" w:space="0" w:color="auto"/>
        <w:bottom w:val="none" w:sz="0" w:space="0" w:color="auto"/>
        <w:right w:val="none" w:sz="0" w:space="0" w:color="auto"/>
      </w:divBdr>
    </w:div>
    <w:div w:id="559948031">
      <w:bodyDiv w:val="1"/>
      <w:marLeft w:val="0"/>
      <w:marRight w:val="0"/>
      <w:marTop w:val="0"/>
      <w:marBottom w:val="0"/>
      <w:divBdr>
        <w:top w:val="none" w:sz="0" w:space="0" w:color="auto"/>
        <w:left w:val="none" w:sz="0" w:space="0" w:color="auto"/>
        <w:bottom w:val="none" w:sz="0" w:space="0" w:color="auto"/>
        <w:right w:val="none" w:sz="0" w:space="0" w:color="auto"/>
      </w:divBdr>
    </w:div>
    <w:div w:id="643705562">
      <w:bodyDiv w:val="1"/>
      <w:marLeft w:val="0"/>
      <w:marRight w:val="0"/>
      <w:marTop w:val="0"/>
      <w:marBottom w:val="0"/>
      <w:divBdr>
        <w:top w:val="none" w:sz="0" w:space="0" w:color="auto"/>
        <w:left w:val="none" w:sz="0" w:space="0" w:color="auto"/>
        <w:bottom w:val="none" w:sz="0" w:space="0" w:color="auto"/>
        <w:right w:val="none" w:sz="0" w:space="0" w:color="auto"/>
      </w:divBdr>
    </w:div>
    <w:div w:id="702826814">
      <w:bodyDiv w:val="1"/>
      <w:marLeft w:val="0"/>
      <w:marRight w:val="0"/>
      <w:marTop w:val="0"/>
      <w:marBottom w:val="0"/>
      <w:divBdr>
        <w:top w:val="none" w:sz="0" w:space="0" w:color="auto"/>
        <w:left w:val="none" w:sz="0" w:space="0" w:color="auto"/>
        <w:bottom w:val="none" w:sz="0" w:space="0" w:color="auto"/>
        <w:right w:val="none" w:sz="0" w:space="0" w:color="auto"/>
      </w:divBdr>
    </w:div>
    <w:div w:id="1110392743">
      <w:bodyDiv w:val="1"/>
      <w:marLeft w:val="0"/>
      <w:marRight w:val="0"/>
      <w:marTop w:val="0"/>
      <w:marBottom w:val="0"/>
      <w:divBdr>
        <w:top w:val="none" w:sz="0" w:space="0" w:color="auto"/>
        <w:left w:val="none" w:sz="0" w:space="0" w:color="auto"/>
        <w:bottom w:val="none" w:sz="0" w:space="0" w:color="auto"/>
        <w:right w:val="none" w:sz="0" w:space="0" w:color="auto"/>
      </w:divBdr>
    </w:div>
    <w:div w:id="1150824541">
      <w:bodyDiv w:val="1"/>
      <w:marLeft w:val="0"/>
      <w:marRight w:val="0"/>
      <w:marTop w:val="0"/>
      <w:marBottom w:val="0"/>
      <w:divBdr>
        <w:top w:val="none" w:sz="0" w:space="0" w:color="auto"/>
        <w:left w:val="none" w:sz="0" w:space="0" w:color="auto"/>
        <w:bottom w:val="none" w:sz="0" w:space="0" w:color="auto"/>
        <w:right w:val="none" w:sz="0" w:space="0" w:color="auto"/>
      </w:divBdr>
    </w:div>
    <w:div w:id="1193759649">
      <w:bodyDiv w:val="1"/>
      <w:marLeft w:val="0"/>
      <w:marRight w:val="0"/>
      <w:marTop w:val="0"/>
      <w:marBottom w:val="0"/>
      <w:divBdr>
        <w:top w:val="none" w:sz="0" w:space="0" w:color="auto"/>
        <w:left w:val="none" w:sz="0" w:space="0" w:color="auto"/>
        <w:bottom w:val="none" w:sz="0" w:space="0" w:color="auto"/>
        <w:right w:val="none" w:sz="0" w:space="0" w:color="auto"/>
      </w:divBdr>
    </w:div>
    <w:div w:id="1268267398">
      <w:bodyDiv w:val="1"/>
      <w:marLeft w:val="0"/>
      <w:marRight w:val="0"/>
      <w:marTop w:val="0"/>
      <w:marBottom w:val="0"/>
      <w:divBdr>
        <w:top w:val="none" w:sz="0" w:space="0" w:color="auto"/>
        <w:left w:val="none" w:sz="0" w:space="0" w:color="auto"/>
        <w:bottom w:val="none" w:sz="0" w:space="0" w:color="auto"/>
        <w:right w:val="none" w:sz="0" w:space="0" w:color="auto"/>
      </w:divBdr>
    </w:div>
    <w:div w:id="1673990184">
      <w:bodyDiv w:val="1"/>
      <w:marLeft w:val="0"/>
      <w:marRight w:val="0"/>
      <w:marTop w:val="0"/>
      <w:marBottom w:val="0"/>
      <w:divBdr>
        <w:top w:val="none" w:sz="0" w:space="0" w:color="auto"/>
        <w:left w:val="none" w:sz="0" w:space="0" w:color="auto"/>
        <w:bottom w:val="none" w:sz="0" w:space="0" w:color="auto"/>
        <w:right w:val="none" w:sz="0" w:space="0" w:color="auto"/>
      </w:divBdr>
    </w:div>
    <w:div w:id="201591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2.tmp"/><Relationship Id="rId3" Type="http://schemas.openxmlformats.org/officeDocument/2006/relationships/customXml" Target="../customXml/item3.xml"/><Relationship Id="rId21" Type="http://schemas.openxmlformats.org/officeDocument/2006/relationships/image" Target="media/image5.tmp"/><Relationship Id="rId7" Type="http://schemas.openxmlformats.org/officeDocument/2006/relationships/settings" Target="settings.xml"/><Relationship Id="rId12" Type="http://schemas.microsoft.com/office/2014/relationships/chartEx" Target="charts/chartEx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image" Target="media/image4.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tmp"/><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ft.org.mx/sites/default/files/contenidogeneral/politica-regulatoria/metodologiaycalculodelccpp2024-2026.pdf" TargetMode="External"/><Relationship Id="rId1" Type="http://schemas.openxmlformats.org/officeDocument/2006/relationships/hyperlink" Target="https://www.ift.org.mx/industria/consultas-publicas/consulta-publica-sobre-el-modelo-de-costos-evitados-para-los-servicios-de-reventa-provistos-por-e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Hoja1!$A$2:$A$4</cx:f>
        <cx:lvl ptCount="3">
          <cx:pt idx="0">Precio minorista</cx:pt>
          <cx:pt idx="1">Precio implícito del 
STAR</cx:pt>
          <cx:pt idx="2">Precio implícito 
Otros servicios</cx:pt>
        </cx:lvl>
      </cx:strDim>
      <cx:numDim type="val">
        <cx:f>Hoja1!$B$2:$B$4</cx:f>
        <cx:lvl ptCount="3" formatCode="Estándar">
          <cx:pt idx="0">120</cx:pt>
          <cx:pt idx="1">-65</cx:pt>
          <cx:pt idx="2">-55</cx:pt>
        </cx:lvl>
      </cx:numDim>
    </cx:data>
  </cx:chartData>
  <cx:chart>
    <cx:title pos="t" align="ctr" overlay="0">
      <cx:tx>
        <cx:txData>
          <cx:v/>
        </cx:txData>
      </cx:tx>
      <cx:txPr>
        <a:bodyPr spcFirstLastPara="1" vertOverflow="ellipsis" wrap="square" lIns="0" tIns="0" rIns="0" bIns="0" anchor="ctr" anchorCtr="1"/>
        <a:lstStyle/>
        <a:p>
          <a:pPr algn="ctr">
            <a:defRPr/>
          </a:pPr>
          <a:endParaRPr lang="es-MX" dirty="0"/>
        </a:p>
      </cx:txPr>
    </cx:title>
    <cx:plotArea>
      <cx:plotAreaRegion>
        <cx:series layoutId="waterfall" uniqueId="{319A90F0-D75C-48CA-B6D3-DC5C29089F63}">
          <cx:tx>
            <cx:txData>
              <cx:f>Hoja1!$B$1</cx:f>
              <cx:v>Serie1</cx:v>
            </cx:txData>
          </cx:tx>
          <cx:spPr>
            <a:pattFill prst="pct5">
              <a:fgClr>
                <a:schemeClr val="tx1"/>
              </a:fgClr>
              <a:bgClr>
                <a:schemeClr val="bg1"/>
              </a:bgClr>
            </a:pattFill>
          </cx:spPr>
          <cx:dataPt idx="0">
            <cx:spPr>
              <a:noFill/>
              <a:ln w="19050">
                <a:solidFill>
                  <a:schemeClr val="tx1"/>
                </a:solidFill>
              </a:ln>
            </cx:spPr>
          </cx:dataPt>
          <cx:dataPt idx="2">
            <cx:spPr>
              <a:pattFill prst="pct75"/>
            </cx:spPr>
          </cx:dataPt>
          <cx:dataId val="0"/>
          <cx:layoutPr>
            <cx:subtotals/>
          </cx:layoutPr>
        </cx:series>
      </cx:plotAreaRegion>
      <cx:axis id="0">
        <cx:catScaling gapWidth="0.5"/>
        <cx:tickLabels/>
        <cx:numFmt formatCode="#,##0;-#,##0" sourceLinked="0"/>
        <cx:txPr>
          <a:bodyPr spcFirstLastPara="1" vertOverflow="ellipsis" wrap="square" lIns="0" tIns="0" rIns="0" bIns="0" anchor="ctr" anchorCtr="1"/>
          <a:lstStyle/>
          <a:p>
            <a:pPr>
              <a:defRPr sz="700" b="1" i="0" baseline="0">
                <a:latin typeface="ITC Avant Garde" panose="020B0402020203020304" pitchFamily="34" charset="0"/>
              </a:defRPr>
            </a:pPr>
            <a:endParaRPr lang="es-MX" sz="700" b="1" i="0" baseline="0">
              <a:latin typeface="ITC Avant Garde" panose="020B0402020203020304" pitchFamily="34" charset="0"/>
            </a:endParaRPr>
          </a:p>
        </cx:txPr>
      </cx:axis>
      <cx:axis id="1" hidden="1">
        <cx:valScaling max="120"/>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6">
  <cs:axisTitle>
    <cs:lnRef idx="0"/>
    <cs:fillRef idx="0"/>
    <cs:effectRef idx="0"/>
    <cs:fontRef idx="minor">
      <a:schemeClr val="tx1">
        <a:lumMod val="65000"/>
        <a:lumOff val="35000"/>
      </a:schemeClr>
    </cs:fontRef>
    <cs:defRPr sz="900" b="1" kern="1200"/>
    <cs:bodyPr/>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bodyPr lIns="38100" tIns="19050" rIns="38100" bIns="19050">
      <a:spAutoFit/>
    </cs:bodyPr>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solidFill>
        <a:schemeClr val="phClr"/>
      </a:solid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25000"/>
            <a:lumOff val="7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dropLine>
  <cs:errorBar>
    <cs:lnRef idx="0"/>
    <cs:fillRef idx="0"/>
    <cs:effectRef idx="0"/>
    <cs:fontRef idx="minor">
      <a:schemeClr val="dk1"/>
    </cs:fontRef>
  </cs:errorBar>
  <cs:floor>
    <cs:lnRef idx="0"/>
    <cs:fillRef idx="0"/>
    <cs:effectRef idx="0"/>
    <cs:fontRef idx="minor">
      <a:schemeClr val="dk1"/>
    </cs:fontRef>
  </cs:floor>
  <cs:gridlineMajor>
    <cs:lnRef idx="0"/>
    <cs:fillRef idx="0"/>
    <cs:effectRef idx="0"/>
    <cs:fontRef idx="minor">
      <a:schemeClr val="dk1"/>
    </cs:fontRef>
    <cs:spPr>
      <a:ln>
        <a:solidFill>
          <a:schemeClr val="tx1">
            <a:lumMod val="25000"/>
            <a:lumOff val="75000"/>
          </a:schemeClr>
        </a:solidFill>
      </a:ln>
    </cs:spPr>
  </cs:gridlineMajor>
  <cs:gridlineMinor>
    <cs:lnRef idx="0"/>
    <cs:fillRef idx="0"/>
    <cs:effectRef idx="0"/>
    <cs:fontRef idx="minor">
      <a:schemeClr val="dk1"/>
    </cs:fontRef>
    <cs:spPr>
      <a:ln>
        <a:solidFill>
          <a:schemeClr val="tx1">
            <a:lumMod val="25000"/>
            <a:lumOff val="75000"/>
            <a:lumOff val="10000"/>
          </a:schemeClr>
        </a:solidFill>
      </a:ln>
    </cs:spPr>
  </cs:gridlineMinor>
  <cs:hiLoLine>
    <cs:lnRef idx="0"/>
    <cs:fillRef idx="0"/>
    <cs:effectRef idx="0"/>
    <cs:fontRef idx="minor">
      <a:schemeClr val="dk1"/>
    </cs:fontRef>
  </cs:hiLoLine>
  <cs:leaderLine>
    <cs:lnRef idx="0"/>
    <cs:fillRef idx="0"/>
    <cs:effectRef idx="0"/>
    <cs:fontRef idx="minor">
      <a:schemeClr val="dk1"/>
    </cs:fontRef>
  </cs:leaderLine>
  <cs:legend>
    <cs:lnRef idx="0"/>
    <cs:fillRef idx="0"/>
    <cs:effectRef idx="0"/>
    <cs:fontRef idx="minor">
      <a:schemeClr val="tx1">
        <a:lumMod val="65000"/>
        <a:lumOff val="35000"/>
      </a:schemeClr>
    </cs:fontRef>
    <cs:defRPr sz="900" kern="1200"/>
    <cs:bodyPr/>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67967-330F-42AE-8044-95FDB383D5A5}">
  <ds:schemaRefs>
    <ds:schemaRef ds:uri="http://schemas.microsoft.com/office/2006/documentManagement/types"/>
    <ds:schemaRef ds:uri="c346aaa7-98e8-4feb-9325-8bd5c0fa89a4"/>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schemas.microsoft.com/sharepoint/v4"/>
    <ds:schemaRef ds:uri="http://schemas.microsoft.com/office/2006/metadata/properties"/>
  </ds:schemaRefs>
</ds:datastoreItem>
</file>

<file path=customXml/itemProps2.xml><?xml version="1.0" encoding="utf-8"?>
<ds:datastoreItem xmlns:ds="http://schemas.openxmlformats.org/officeDocument/2006/customXml" ds:itemID="{8D679FC0-19F4-42E5-B921-7D6257B54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14A8A-1764-4500-B3B3-5B8C52FEE845}">
  <ds:schemaRefs>
    <ds:schemaRef ds:uri="http://schemas.openxmlformats.org/officeDocument/2006/bibliography"/>
  </ds:schemaRefs>
</ds:datastoreItem>
</file>

<file path=customXml/itemProps4.xml><?xml version="1.0" encoding="utf-8"?>
<ds:datastoreItem xmlns:ds="http://schemas.openxmlformats.org/officeDocument/2006/customXml" ds:itemID="{E371E48D-5E6C-4567-8C4A-7B504B0E86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5588</Words>
  <Characters>30736</Characters>
  <Application>Microsoft Office Word</Application>
  <DocSecurity>0</DocSecurity>
  <Lines>256</Lines>
  <Paragraphs>72</Paragraphs>
  <ScaleCrop>false</ScaleCrop>
  <Company/>
  <LinksUpToDate>false</LinksUpToDate>
  <CharactersWithSpaces>36252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2024-10-22T18:11:00Z</dcterms:created>
  <dcterms:modified xsi:type="dcterms:W3CDTF">2024-10-22T18:32:00Z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