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228" w14:textId="069D44B8" w:rsidR="7751D6E4" w:rsidRPr="001903D9" w:rsidRDefault="007F5920" w:rsidP="7751D6E4">
      <w:pPr>
        <w:pStyle w:val="Texto"/>
        <w:spacing w:before="120" w:after="120" w:line="244" w:lineRule="exact"/>
        <w:ind w:firstLine="0"/>
        <w:jc w:val="center"/>
        <w:rPr>
          <w:rFonts w:ascii="ITC Avant Garde" w:hAnsi="ITC Avant Garde"/>
          <w:b/>
          <w:bCs/>
          <w:noProof/>
          <w:sz w:val="16"/>
          <w:szCs w:val="16"/>
        </w:rPr>
      </w:pPr>
      <w:r w:rsidRPr="001903D9">
        <w:rPr>
          <w:rFonts w:ascii="ITC Avant Garde" w:hAnsi="ITC Avant Garde"/>
          <w:b/>
          <w:bCs/>
          <w:noProof/>
          <w:sz w:val="21"/>
          <w:szCs w:val="21"/>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36C7831B" w14:textId="24B5B30F" w:rsidR="76E2BC66" w:rsidRPr="001903D9" w:rsidRDefault="00437B75" w:rsidP="7751D6E4">
      <w:pPr>
        <w:pStyle w:val="Texto"/>
        <w:spacing w:before="120" w:after="120" w:line="244" w:lineRule="exact"/>
        <w:ind w:firstLine="0"/>
        <w:jc w:val="center"/>
        <w:rPr>
          <w:rStyle w:val="Hipervnculo"/>
          <w:rFonts w:ascii="ITC Avant Garde" w:hAnsi="ITC Avant Garde"/>
        </w:rPr>
      </w:pPr>
      <w:r w:rsidRPr="00BF365F">
        <w:rPr>
          <w:rStyle w:val="Hipervnculo"/>
        </w:rPr>
        <w:fldChar w:fldCharType="begin"/>
      </w:r>
      <w:r w:rsidRPr="00BF365F">
        <w:rPr>
          <w:rStyle w:val="Hipervnculo"/>
        </w:rPr>
        <w:instrText xml:space="preserve"> HYPERLINK "https://www.dof.gob.mx/nota_detalle.php?codigo=5508430&amp;fecha=20/12/2017" \l "gsc.tab=0" </w:instrText>
      </w:r>
      <w:r w:rsidRPr="00BF365F">
        <w:rPr>
          <w:rStyle w:val="Hipervnculo"/>
        </w:rPr>
      </w:r>
      <w:r w:rsidRPr="00BF365F">
        <w:rPr>
          <w:rStyle w:val="Hipervnculo"/>
        </w:rPr>
        <w:fldChar w:fldCharType="separate"/>
      </w:r>
      <w:r w:rsidR="76E2BC66" w:rsidRPr="001903D9">
        <w:rPr>
          <w:rStyle w:val="Hipervnculo"/>
          <w:rFonts w:ascii="ITC Avant Garde" w:hAnsi="ITC Avant Garde"/>
        </w:rPr>
        <w:t>Publicado en el Diario Oficial de la Federación el 20 de diciembre de 2017</w:t>
      </w:r>
    </w:p>
    <w:p w14:paraId="44E4619D" w14:textId="77777777" w:rsidR="007E22AB" w:rsidRDefault="00437B75" w:rsidP="007E22AB">
      <w:pPr>
        <w:shd w:val="clear" w:color="auto" w:fill="FFFFFF"/>
        <w:jc w:val="center"/>
        <w:rPr>
          <w:rStyle w:val="Hipervnculo"/>
        </w:rPr>
      </w:pPr>
      <w:r w:rsidRPr="00BF365F">
        <w:rPr>
          <w:rStyle w:val="Hipervnculo"/>
        </w:rPr>
        <w:fldChar w:fldCharType="end"/>
      </w:r>
    </w:p>
    <w:p w14:paraId="36639C2D" w14:textId="1F84CE20" w:rsidR="007E22AB" w:rsidRDefault="007E22AB" w:rsidP="007E22AB">
      <w:pPr>
        <w:shd w:val="clear" w:color="auto" w:fill="FFFFFF"/>
        <w:spacing w:line="246" w:lineRule="exact"/>
        <w:ind w:firstLine="289"/>
        <w:jc w:val="center"/>
        <w:rPr>
          <w:rFonts w:ascii="ITC Avant Garde Std Bk" w:eastAsia="Times New Roman" w:hAnsi="ITC Avant Garde Std Bk"/>
          <w:b/>
          <w:bCs/>
          <w:color w:val="2F2F2F"/>
          <w:sz w:val="18"/>
          <w:szCs w:val="18"/>
          <w:lang w:val="es-MX" w:eastAsia="es-MX"/>
        </w:rPr>
      </w:pPr>
      <w:r w:rsidRPr="007E22AB">
        <w:rPr>
          <w:rFonts w:ascii="ITC Avant Garde Std Bk" w:eastAsia="Times New Roman" w:hAnsi="ITC Avant Garde Std Bk"/>
          <w:b/>
          <w:bCs/>
          <w:color w:val="2F2F2F"/>
          <w:sz w:val="18"/>
          <w:szCs w:val="18"/>
          <w:lang w:val="es-MX" w:eastAsia="es-MX"/>
        </w:rPr>
        <w:t>ANTECEDENTES</w:t>
      </w:r>
    </w:p>
    <w:p w14:paraId="23B66D21" w14:textId="77777777" w:rsidR="007E22AB" w:rsidRPr="007E22AB" w:rsidRDefault="007E22AB" w:rsidP="007E22AB">
      <w:pPr>
        <w:shd w:val="clear" w:color="auto" w:fill="FFFFFF"/>
        <w:spacing w:line="246" w:lineRule="exact"/>
        <w:ind w:firstLine="289"/>
        <w:jc w:val="center"/>
        <w:rPr>
          <w:rFonts w:ascii="ITC Avant Garde Std Bk" w:eastAsia="Times New Roman" w:hAnsi="ITC Avant Garde Std Bk"/>
          <w:b/>
          <w:bCs/>
          <w:color w:val="2F2F2F"/>
          <w:sz w:val="18"/>
          <w:szCs w:val="18"/>
          <w:lang w:val="es-MX" w:eastAsia="es-MX"/>
        </w:rPr>
      </w:pPr>
    </w:p>
    <w:p w14:paraId="266B417E" w14:textId="52A0C2AE"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7E22AB">
        <w:rPr>
          <w:rFonts w:ascii="ITC Avant Garde Std Bk" w:eastAsia="Times New Roman" w:hAnsi="ITC Avant Garde Std Bk" w:cs="Arial"/>
          <w:b/>
          <w:bCs/>
          <w:color w:val="2F2F2F"/>
          <w:sz w:val="18"/>
          <w:szCs w:val="18"/>
          <w:lang w:val="es-MX" w:eastAsia="es-MX"/>
        </w:rPr>
        <w:t>PRIMERO.-</w:t>
      </w:r>
      <w:proofErr w:type="gramEnd"/>
      <w:r w:rsidRPr="007E22AB">
        <w:rPr>
          <w:rFonts w:ascii="ITC Avant Garde Std Bk" w:eastAsia="Times New Roman" w:hAnsi="ITC Avant Garde Std Bk" w:cs="Arial"/>
          <w:color w:val="2F2F2F"/>
          <w:sz w:val="18"/>
          <w:szCs w:val="18"/>
          <w:lang w:val="es-MX" w:eastAsia="es-MX"/>
        </w:rPr>
        <w:t> El 11 de junio de 2013, fue publicado en el Diario Oficial de la Federación (DOF) el </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i/>
          <w:iCs/>
          <w:color w:val="2F2F2F"/>
          <w:sz w:val="18"/>
          <w:szCs w:val="18"/>
          <w:lang w:val="es-MX" w:eastAsia="es-MX"/>
        </w:rPr>
        <w:t>Decreto por el que se reforman y adicionan diversas disposiciones de los artículos 6</w:t>
      </w:r>
      <w:r>
        <w:rPr>
          <w:rFonts w:ascii="ITC Avant Garde Std Bk" w:eastAsia="Times New Roman" w:hAnsi="ITC Avant Garde Std Bk" w:cs="Arial"/>
          <w:i/>
          <w:iCs/>
          <w:color w:val="2F2F2F"/>
          <w:sz w:val="18"/>
          <w:szCs w:val="18"/>
          <w:lang w:val="es-MX" w:eastAsia="es-MX"/>
        </w:rPr>
        <w:t>º</w:t>
      </w:r>
      <w:r w:rsidRPr="007E22AB">
        <w:rPr>
          <w:rFonts w:ascii="ITC Avant Garde Std Bk" w:eastAsia="Times New Roman" w:hAnsi="ITC Avant Garde Std Bk" w:cs="Arial"/>
          <w:i/>
          <w:iCs/>
          <w:color w:val="2F2F2F"/>
          <w:sz w:val="18"/>
          <w:szCs w:val="18"/>
          <w:lang w:val="es-MX" w:eastAsia="es-MX"/>
        </w:rPr>
        <w:t>., 7</w:t>
      </w:r>
      <w:r>
        <w:rPr>
          <w:rFonts w:ascii="ITC Avant Garde Std Bk" w:eastAsia="Times New Roman" w:hAnsi="ITC Avant Garde Std Bk" w:cs="Arial"/>
          <w:i/>
          <w:iCs/>
          <w:color w:val="2F2F2F"/>
          <w:sz w:val="18"/>
          <w:szCs w:val="18"/>
          <w:lang w:val="es-MX" w:eastAsia="es-MX"/>
        </w:rPr>
        <w:t>º</w:t>
      </w:r>
      <w:r w:rsidRPr="007E22AB">
        <w:rPr>
          <w:rFonts w:ascii="ITC Avant Garde Std Bk" w:eastAsia="Times New Roman" w:hAnsi="ITC Avant Garde Std Bk" w:cs="Arial"/>
          <w:i/>
          <w:iCs/>
          <w:color w:val="2F2F2F"/>
          <w:sz w:val="18"/>
          <w:szCs w:val="18"/>
          <w:lang w:val="es-MX" w:eastAsia="es-MX"/>
        </w:rPr>
        <w:t>., 27, 28, 73, 78, 94 y 105 de la Constitución Política de los Estados Unidos Mexicanos, en materia de telecomunicaciones</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color w:val="2F2F2F"/>
          <w:sz w:val="18"/>
          <w:szCs w:val="18"/>
          <w:lang w:val="es-MX" w:eastAsia="es-MX"/>
        </w:rPr>
        <w:t> (Decreto de Reforma Constitucional);</w:t>
      </w:r>
    </w:p>
    <w:p w14:paraId="3BEB8C06"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7BBC3BC3" w14:textId="05498224"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b/>
          <w:bCs/>
          <w:color w:val="2F2F2F"/>
          <w:sz w:val="18"/>
          <w:szCs w:val="18"/>
          <w:lang w:val="es-MX" w:eastAsia="es-MX"/>
        </w:rPr>
        <w:t>SEGUNDO.-</w:t>
      </w:r>
      <w:r w:rsidRPr="007E22AB">
        <w:rPr>
          <w:rFonts w:ascii="ITC Avant Garde Std Bk" w:eastAsia="Times New Roman" w:hAnsi="ITC Avant Garde Std Bk" w:cs="Arial"/>
          <w:color w:val="2F2F2F"/>
          <w:sz w:val="18"/>
          <w:szCs w:val="18"/>
          <w:lang w:val="es-MX" w:eastAsia="es-MX"/>
        </w:rPr>
        <w:t> El 27 de febrero de 2014, se publicaron en el DOF los </w:t>
      </w:r>
      <w:r w:rsidRPr="007E22AB">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i/>
          <w:iCs/>
          <w:color w:val="2F2F2F"/>
          <w:sz w:val="18"/>
          <w:szCs w:val="18"/>
          <w:lang w:val="es-MX" w:eastAsia="es-MX"/>
        </w:rPr>
        <w:t>Lineamientos Generales en relación con lo dispuesto por la fracción I del artículo octavo transitorio del Decreto por el que se reforman y adicionan diversas disposiciones de los artículos 6</w:t>
      </w:r>
      <w:r w:rsidRPr="007E22AB">
        <w:rPr>
          <w:rFonts w:ascii="ITC Avant Garde Std Bk" w:eastAsia="Times New Roman" w:hAnsi="ITC Avant Garde Std Bk" w:cs="Arial"/>
          <w:i/>
          <w:iCs/>
          <w:color w:val="2F2F2F"/>
          <w:sz w:val="18"/>
          <w:szCs w:val="18"/>
          <w:lang w:val="es-MX" w:eastAsia="es-MX"/>
        </w:rPr>
        <w:t>º</w:t>
      </w:r>
      <w:r w:rsidRPr="007E22AB">
        <w:rPr>
          <w:rFonts w:ascii="ITC Avant Garde Std Bk" w:eastAsia="Times New Roman" w:hAnsi="ITC Avant Garde Std Bk" w:cs="Arial"/>
          <w:i/>
          <w:iCs/>
          <w:color w:val="2F2F2F"/>
          <w:sz w:val="18"/>
          <w:szCs w:val="18"/>
          <w:lang w:val="es-MX" w:eastAsia="es-MX"/>
        </w:rPr>
        <w:t>., 7</w:t>
      </w:r>
      <w:r w:rsidRPr="007E22AB">
        <w:rPr>
          <w:rFonts w:ascii="ITC Avant Garde Std Bk" w:eastAsia="Times New Roman" w:hAnsi="ITC Avant Garde Std Bk" w:cs="Arial"/>
          <w:i/>
          <w:iCs/>
          <w:color w:val="2F2F2F"/>
          <w:sz w:val="18"/>
          <w:szCs w:val="18"/>
          <w:lang w:val="es-MX" w:eastAsia="es-MX"/>
        </w:rPr>
        <w:t>º</w:t>
      </w:r>
      <w:r w:rsidRPr="007E22AB">
        <w:rPr>
          <w:rFonts w:ascii="ITC Avant Garde Std Bk" w:eastAsia="Times New Roman" w:hAnsi="ITC Avant Garde Std Bk" w:cs="Arial"/>
          <w:i/>
          <w:iCs/>
          <w:color w:val="2F2F2F"/>
          <w:sz w:val="18"/>
          <w:szCs w:val="18"/>
          <w:lang w:val="es-MX" w:eastAsia="es-MX"/>
        </w:rPr>
        <w:t>., 27, 28, 73, 78, 94 y 105 de la Constitución Política de los Estados Unidos Mexicanos, en Materia de Telecomunicaciones</w:t>
      </w:r>
      <w:r w:rsidRPr="007E22AB">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color w:val="2F2F2F"/>
          <w:sz w:val="18"/>
          <w:szCs w:val="18"/>
          <w:lang w:val="es-MX" w:eastAsia="es-MX"/>
        </w:rPr>
        <w:t> (Lineamientos), los cuales fueron modificados mediante publicaciones en el DOF los días 6 de febrero de 2015, 29 de diciembre de 2015 y 21 de diciembre de 2016;</w:t>
      </w:r>
    </w:p>
    <w:p w14:paraId="297C8729"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7F4DA27E" w14:textId="1CD7ADA4"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7E22AB">
        <w:rPr>
          <w:rFonts w:ascii="ITC Avant Garde Std Bk" w:eastAsia="Times New Roman" w:hAnsi="ITC Avant Garde Std Bk" w:cs="Arial"/>
          <w:b/>
          <w:bCs/>
          <w:color w:val="2F2F2F"/>
          <w:sz w:val="18"/>
          <w:szCs w:val="18"/>
          <w:lang w:val="es-MX" w:eastAsia="es-MX"/>
        </w:rPr>
        <w:t>TERCERO</w:t>
      </w:r>
      <w:r w:rsidRPr="007E22AB">
        <w:rPr>
          <w:rFonts w:ascii="ITC Avant Garde Std Bk" w:eastAsia="Times New Roman" w:hAnsi="ITC Avant Garde Std Bk" w:cs="Arial"/>
          <w:b/>
          <w:bCs/>
          <w:color w:val="000000"/>
          <w:sz w:val="18"/>
          <w:szCs w:val="18"/>
          <w:lang w:val="es-MX" w:eastAsia="es-MX"/>
        </w:rPr>
        <w:t>.-</w:t>
      </w:r>
      <w:proofErr w:type="gramEnd"/>
      <w:r w:rsidRPr="007E22AB">
        <w:rPr>
          <w:rFonts w:ascii="ITC Avant Garde Std Bk" w:eastAsia="Times New Roman" w:hAnsi="ITC Avant Garde Std Bk" w:cs="Arial"/>
          <w:color w:val="000000"/>
          <w:sz w:val="18"/>
          <w:szCs w:val="18"/>
          <w:lang w:val="es-MX" w:eastAsia="es-MX"/>
        </w:rPr>
        <w:t> </w:t>
      </w:r>
      <w:r w:rsidRPr="007E22AB">
        <w:rPr>
          <w:rFonts w:ascii="ITC Avant Garde Std Bk" w:eastAsia="Times New Roman" w:hAnsi="ITC Avant Garde Std Bk" w:cs="Arial"/>
          <w:color w:val="2F2F2F"/>
          <w:sz w:val="18"/>
          <w:szCs w:val="18"/>
          <w:lang w:val="es-MX" w:eastAsia="es-MX"/>
        </w:rPr>
        <w:t>El 14 de julio de 2014, se publicó en el DOF el </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color w:val="2F2F2F"/>
          <w:sz w:val="18"/>
          <w:szCs w:val="18"/>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color w:val="2F2F2F"/>
          <w:sz w:val="18"/>
          <w:szCs w:val="18"/>
          <w:lang w:val="es-MX" w:eastAsia="es-MX"/>
        </w:rPr>
        <w:t>, mismo que de conformidad con el artículo Primero Transitorio del mismo, entraría en vigor 30 días naturales siguientes a su publicación, es decir, el 13 de agosto de 2014;</w:t>
      </w:r>
    </w:p>
    <w:p w14:paraId="7F4A72F8"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605FC950" w14:textId="249FB690"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7E22AB">
        <w:rPr>
          <w:rFonts w:ascii="ITC Avant Garde Std Bk" w:eastAsia="Times New Roman" w:hAnsi="ITC Avant Garde Std Bk" w:cs="Arial"/>
          <w:b/>
          <w:bCs/>
          <w:color w:val="2F2F2F"/>
          <w:sz w:val="18"/>
          <w:szCs w:val="18"/>
          <w:lang w:val="es-MX" w:eastAsia="es-MX"/>
        </w:rPr>
        <w:t>CUARTO.-</w:t>
      </w:r>
      <w:proofErr w:type="gramEnd"/>
      <w:r w:rsidRPr="007E22AB">
        <w:rPr>
          <w:rFonts w:ascii="ITC Avant Garde Std Bk" w:eastAsia="Times New Roman" w:hAnsi="ITC Avant Garde Std Bk" w:cs="Arial"/>
          <w:color w:val="2F2F2F"/>
          <w:sz w:val="18"/>
          <w:szCs w:val="18"/>
          <w:lang w:val="es-MX" w:eastAsia="es-MX"/>
        </w:rPr>
        <w:t> El 30 de diciembre de 2016, se publicó en el DOF el </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i/>
          <w:iCs/>
          <w:color w:val="2F2F2F"/>
          <w:sz w:val="18"/>
          <w:szCs w:val="18"/>
          <w:lang w:val="es-MX" w:eastAsia="es-MX"/>
        </w:rPr>
        <w:t>ACUERDO mediante el cual el Pleno del Instituto Federal de Telecomunicaciones expide la Disposición Técnica IFT-013-2016: </w:t>
      </w:r>
      <w:r>
        <w:rPr>
          <w:rFonts w:ascii="ITC Avant Garde Std Bk" w:eastAsia="Times New Roman" w:hAnsi="ITC Avant Garde Std Bk" w:cs="Arial"/>
          <w:i/>
          <w:iCs/>
          <w:color w:val="2F2F2F"/>
          <w:sz w:val="18"/>
          <w:szCs w:val="18"/>
          <w:lang w:val="es-MX" w:eastAsia="es-MX"/>
        </w:rPr>
        <w:t>“</w:t>
      </w:r>
      <w:r w:rsidRPr="007E22AB">
        <w:rPr>
          <w:rFonts w:ascii="ITC Avant Garde Std Bk" w:eastAsia="Times New Roman" w:hAnsi="ITC Avant Garde Std Bk" w:cs="Arial"/>
          <w:i/>
          <w:iCs/>
          <w:color w:val="2F2F2F"/>
          <w:sz w:val="18"/>
          <w:szCs w:val="18"/>
          <w:lang w:val="es-MX" w:eastAsia="es-MX"/>
        </w:rPr>
        <w:t>Especificaciones y requerimientos mínimos para la instalación y operación de estaciones de televisión, equipos auxiliares y equipos complementarios</w:t>
      </w:r>
      <w:r>
        <w:rPr>
          <w:rFonts w:ascii="ITC Avant Garde Std Bk" w:eastAsia="Times New Roman" w:hAnsi="ITC Avant Garde Std Bk" w:cs="Arial"/>
          <w:color w:val="2F2F2F"/>
          <w:sz w:val="18"/>
          <w:szCs w:val="18"/>
          <w:lang w:val="es-MX" w:eastAsia="es-MX"/>
        </w:rPr>
        <w:t>”</w:t>
      </w:r>
      <w:r w:rsidRPr="007E22AB">
        <w:rPr>
          <w:rFonts w:ascii="ITC Avant Garde Std Bk" w:eastAsia="Times New Roman" w:hAnsi="ITC Avant Garde Std Bk" w:cs="Arial"/>
          <w:color w:val="2F2F2F"/>
          <w:sz w:val="18"/>
          <w:szCs w:val="18"/>
          <w:lang w:val="es-MX" w:eastAsia="es-MX"/>
        </w:rPr>
        <w:t> (Disposición Técnica), y</w:t>
      </w:r>
    </w:p>
    <w:p w14:paraId="402C6379"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55BAE08C"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7E22AB">
        <w:rPr>
          <w:rFonts w:ascii="ITC Avant Garde Std Bk" w:eastAsia="Times New Roman" w:hAnsi="ITC Avant Garde Std Bk" w:cs="Arial"/>
          <w:b/>
          <w:bCs/>
          <w:color w:val="2F2F2F"/>
          <w:sz w:val="18"/>
          <w:szCs w:val="18"/>
          <w:lang w:val="es-MX" w:eastAsia="es-MX"/>
        </w:rPr>
        <w:t>QUINTO.-</w:t>
      </w:r>
      <w:proofErr w:type="gramEnd"/>
      <w:r w:rsidRPr="007E22AB">
        <w:rPr>
          <w:rFonts w:ascii="ITC Avant Garde Std Bk" w:eastAsia="Times New Roman" w:hAnsi="ITC Avant Garde Std Bk" w:cs="Arial"/>
          <w:b/>
          <w:bCs/>
          <w:color w:val="2F2F2F"/>
          <w:sz w:val="18"/>
          <w:szCs w:val="18"/>
          <w:lang w:val="es-MX" w:eastAsia="es-MX"/>
        </w:rPr>
        <w:t> </w:t>
      </w:r>
      <w:r w:rsidRPr="007E22AB">
        <w:rPr>
          <w:rFonts w:ascii="ITC Avant Garde Std Bk" w:eastAsia="Times New Roman" w:hAnsi="ITC Avant Garde Std Bk" w:cs="Arial"/>
          <w:color w:val="2F2F2F"/>
          <w:sz w:val="18"/>
          <w:szCs w:val="18"/>
          <w:lang w:val="es-MX" w:eastAsia="es-MX"/>
        </w:rPr>
        <w:t>El 11 de diciembre de 2017, en términos del artículo 39, fracción XVI del Estatuto Orgánico del Instituto Federal de Telecomunicaciones (Estatuto) la Unidad de Medios y Contenidos Audiovisuales (UMCA) remitió a la Secretaría Técnica del Pleno (STP) el Informe de Cobertura de Señales de Televisión Radiodifundida (Informe) de esa misma fecha.</w:t>
      </w:r>
    </w:p>
    <w:p w14:paraId="7D453691"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En virtud de los Antecedentes, y</w:t>
      </w:r>
    </w:p>
    <w:p w14:paraId="79B588A6" w14:textId="77777777" w:rsidR="007E22AB" w:rsidRDefault="007E22AB" w:rsidP="007E22AB">
      <w:pPr>
        <w:shd w:val="clear" w:color="auto" w:fill="FFFFFF"/>
        <w:spacing w:line="246" w:lineRule="exact"/>
        <w:ind w:firstLine="289"/>
        <w:jc w:val="center"/>
        <w:rPr>
          <w:rFonts w:ascii="ITC Avant Garde Std Bk" w:eastAsia="Times New Roman" w:hAnsi="ITC Avant Garde Std Bk"/>
          <w:b/>
          <w:bCs/>
          <w:color w:val="2F2F2F"/>
          <w:sz w:val="18"/>
          <w:szCs w:val="18"/>
          <w:lang w:val="es-MX" w:eastAsia="es-MX"/>
        </w:rPr>
      </w:pPr>
    </w:p>
    <w:p w14:paraId="634B6577" w14:textId="5C27B0C6" w:rsidR="007E22AB" w:rsidRDefault="007E22AB" w:rsidP="007E22AB">
      <w:pPr>
        <w:shd w:val="clear" w:color="auto" w:fill="FFFFFF"/>
        <w:spacing w:line="246" w:lineRule="exact"/>
        <w:ind w:firstLine="289"/>
        <w:jc w:val="center"/>
        <w:rPr>
          <w:rFonts w:ascii="ITC Avant Garde Std Bk" w:eastAsia="Times New Roman" w:hAnsi="ITC Avant Garde Std Bk"/>
          <w:b/>
          <w:bCs/>
          <w:color w:val="2F2F2F"/>
          <w:sz w:val="18"/>
          <w:szCs w:val="18"/>
          <w:lang w:val="es-MX" w:eastAsia="es-MX"/>
        </w:rPr>
      </w:pPr>
      <w:r w:rsidRPr="007E22AB">
        <w:rPr>
          <w:rFonts w:ascii="ITC Avant Garde Std Bk" w:eastAsia="Times New Roman" w:hAnsi="ITC Avant Garde Std Bk"/>
          <w:b/>
          <w:bCs/>
          <w:color w:val="2F2F2F"/>
          <w:sz w:val="18"/>
          <w:szCs w:val="18"/>
          <w:lang w:val="es-MX" w:eastAsia="es-MX"/>
        </w:rPr>
        <w:t>CONSIDERANDO</w:t>
      </w:r>
    </w:p>
    <w:p w14:paraId="30E7F9D0" w14:textId="77777777" w:rsidR="007E22AB" w:rsidRPr="007E22AB" w:rsidRDefault="007E22AB" w:rsidP="007E22AB">
      <w:pPr>
        <w:shd w:val="clear" w:color="auto" w:fill="FFFFFF"/>
        <w:spacing w:line="246" w:lineRule="exact"/>
        <w:ind w:firstLine="289"/>
        <w:jc w:val="center"/>
        <w:rPr>
          <w:rFonts w:ascii="ITC Avant Garde Std Bk" w:eastAsia="Times New Roman" w:hAnsi="ITC Avant Garde Std Bk"/>
          <w:b/>
          <w:bCs/>
          <w:color w:val="2F2F2F"/>
          <w:sz w:val="18"/>
          <w:szCs w:val="18"/>
          <w:lang w:val="es-MX" w:eastAsia="es-MX"/>
        </w:rPr>
      </w:pPr>
    </w:p>
    <w:p w14:paraId="5E806BC2"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roofErr w:type="gramStart"/>
      <w:r w:rsidRPr="007E22AB">
        <w:rPr>
          <w:rFonts w:ascii="ITC Avant Garde Std Bk" w:eastAsia="Times New Roman" w:hAnsi="ITC Avant Garde Std Bk" w:cs="Arial"/>
          <w:b/>
          <w:bCs/>
          <w:color w:val="2F2F2F"/>
          <w:sz w:val="18"/>
          <w:szCs w:val="18"/>
          <w:lang w:val="es-MX" w:eastAsia="es-MX"/>
        </w:rPr>
        <w:t>PRIMERO.-</w:t>
      </w:r>
      <w:proofErr w:type="gramEnd"/>
      <w:r w:rsidRPr="007E22AB">
        <w:rPr>
          <w:rFonts w:ascii="ITC Avant Garde Std Bk" w:eastAsia="Times New Roman" w:hAnsi="ITC Avant Garde Std Bk" w:cs="Arial"/>
          <w:b/>
          <w:bCs/>
          <w:color w:val="2F2F2F"/>
          <w:sz w:val="18"/>
          <w:szCs w:val="18"/>
          <w:lang w:val="es-MX" w:eastAsia="es-MX"/>
        </w:rPr>
        <w:t xml:space="preserve"> Competencia.-</w:t>
      </w:r>
      <w:r w:rsidRPr="007E22AB">
        <w:rPr>
          <w:rFonts w:ascii="ITC Avant Garde Std Bk" w:eastAsia="Times New Roman" w:hAnsi="ITC Avant Garde Std Bk" w:cs="Arial"/>
          <w:color w:val="2F2F2F"/>
          <w:sz w:val="18"/>
          <w:szCs w:val="18"/>
          <w:lang w:val="es-MX" w:eastAsia="es-MX"/>
        </w:rPr>
        <w:t xml:space="preserve"> De conformidad con lo establecido en los párrafos décimo quinto y décimo sexto del artículo 28 de la Constitución Política de los Estados Unidos Mexicanos (Constitución), el Instituto Federal de Telecomunicaciones (Instituto) es un órgano autónomo, con </w:t>
      </w:r>
      <w:r w:rsidRPr="007E22AB">
        <w:rPr>
          <w:rFonts w:ascii="ITC Avant Garde Std Bk" w:eastAsia="Times New Roman" w:hAnsi="ITC Avant Garde Std Bk" w:cs="Arial"/>
          <w:color w:val="2F2F2F"/>
          <w:sz w:val="18"/>
          <w:szCs w:val="18"/>
          <w:lang w:val="es-MX" w:eastAsia="es-MX"/>
        </w:rPr>
        <w:lastRenderedPageBreak/>
        <w:t>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w:t>
      </w:r>
    </w:p>
    <w:p w14:paraId="7FB2D008" w14:textId="77777777" w:rsid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acceso a infraestructura activa, pasiva y otros insumos esenciales.</w:t>
      </w:r>
    </w:p>
    <w:p w14:paraId="27FB90EA"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09E3CBF4"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Asimismo, el Instituto es la autoridad en materia de competencia económica en los sectores de telecomunicaciones y radiodifusión, por lo que en éstos ejerce de forma exclusiva las facultades que el artículo 28 de la Constitución y las leyes establecen para la Comisión Federal de Competencia Económica.</w:t>
      </w:r>
    </w:p>
    <w:p w14:paraId="2B0E8127"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03140BAA"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En términos de lo establecido en los artículos 2, 7, 15, fracción LXIII, 16 y 17, penúltimo párrafo de la Ley Federal de Telecomunicaciones y Radiodifusión (Ley), 1, 2, fracción X, 4, fracción l, 6, fracción XXXVIII, 3, fracción XVIII de los Lineamientos y 39, fracción XVI del Estatuto, el Pleno del Instituto resulta competente para conocer del presente asunto, al contar con atribuciones para actualizar las señales radiodifundidas de 50% o más del territorio nacional.</w:t>
      </w:r>
    </w:p>
    <w:p w14:paraId="083DC7AB"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331018D4"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b/>
          <w:bCs/>
          <w:color w:val="2F2F2F"/>
          <w:sz w:val="18"/>
          <w:szCs w:val="18"/>
          <w:lang w:val="es-MX" w:eastAsia="es-MX"/>
        </w:rPr>
        <w:t>SEGUNDO.- Actualización de las señales radiodifundidas con cobertura del 50% o más del territorio nacional.- </w:t>
      </w:r>
      <w:r w:rsidRPr="007E22AB">
        <w:rPr>
          <w:rFonts w:ascii="ITC Avant Garde Std Bk" w:eastAsia="Times New Roman" w:hAnsi="ITC Avant Garde Std Bk" w:cs="Arial"/>
          <w:color w:val="2F2F2F"/>
          <w:sz w:val="18"/>
          <w:szCs w:val="18"/>
          <w:lang w:val="es-MX" w:eastAsia="es-MX"/>
        </w:rPr>
        <w:t>En ejercicio de las atribuciones de este Instituto, para efectos de la actualización de las señales radiodifundidas con cobertura de 50% o más del territorio nacional</w:t>
      </w:r>
      <w:r w:rsidRPr="007E22AB">
        <w:rPr>
          <w:rFonts w:ascii="ITC Avant Garde Std Bk" w:eastAsia="Times New Roman" w:hAnsi="ITC Avant Garde Std Bk" w:cs="Arial"/>
          <w:i/>
          <w:iCs/>
          <w:color w:val="2F2F2F"/>
          <w:sz w:val="18"/>
          <w:szCs w:val="18"/>
          <w:lang w:val="es-MX" w:eastAsia="es-MX"/>
        </w:rPr>
        <w:t>, </w:t>
      </w:r>
      <w:r w:rsidRPr="007E22AB">
        <w:rPr>
          <w:rFonts w:ascii="ITC Avant Garde Std Bk" w:eastAsia="Times New Roman" w:hAnsi="ITC Avant Garde Std Bk" w:cs="Arial"/>
          <w:color w:val="2F2F2F"/>
          <w:sz w:val="18"/>
          <w:szCs w:val="18"/>
          <w:lang w:val="es-MX" w:eastAsia="es-MX"/>
        </w:rPr>
        <w:t>deben considerarse las zonas de cobertura y las áreas de servicio de las estaciones de televisión radiodifundida, así como de los respectivos equipos complementarios, dentro de la extensión geográfica señalada en el artículo 42 de la Constitución, de acuerdo al universo de títulos de concesión y autorizaciones vigentes.</w:t>
      </w:r>
    </w:p>
    <w:p w14:paraId="73FF6A92"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0B954CF8"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 xml:space="preserve">Por lo anterior, con base en i) información programática contenida en la Información Técnica, Legal y Programática (ITLP) que los concesionarios de radiodifusión tuvieron obligación de presentar en junio de 2016; </w:t>
      </w:r>
      <w:proofErr w:type="spellStart"/>
      <w:r w:rsidRPr="007E22AB">
        <w:rPr>
          <w:rFonts w:ascii="ITC Avant Garde Std Bk" w:eastAsia="Times New Roman" w:hAnsi="ITC Avant Garde Std Bk" w:cs="Arial"/>
          <w:color w:val="2F2F2F"/>
          <w:sz w:val="18"/>
          <w:szCs w:val="18"/>
          <w:lang w:val="es-MX" w:eastAsia="es-MX"/>
        </w:rPr>
        <w:t>ii</w:t>
      </w:r>
      <w:proofErr w:type="spellEnd"/>
      <w:r w:rsidRPr="007E22AB">
        <w:rPr>
          <w:rFonts w:ascii="ITC Avant Garde Std Bk" w:eastAsia="Times New Roman" w:hAnsi="ITC Avant Garde Std Bk" w:cs="Arial"/>
          <w:color w:val="2F2F2F"/>
          <w:sz w:val="18"/>
          <w:szCs w:val="18"/>
          <w:lang w:val="es-MX" w:eastAsia="es-MX"/>
        </w:rPr>
        <w:t xml:space="preserve">) información programática presentada por concesionarios al presentar trámites relacionados con el acceso a la multiprogramación; </w:t>
      </w:r>
      <w:proofErr w:type="spellStart"/>
      <w:r w:rsidRPr="007E22AB">
        <w:rPr>
          <w:rFonts w:ascii="ITC Avant Garde Std Bk" w:eastAsia="Times New Roman" w:hAnsi="ITC Avant Garde Std Bk" w:cs="Arial"/>
          <w:color w:val="2F2F2F"/>
          <w:sz w:val="18"/>
          <w:szCs w:val="18"/>
          <w:lang w:val="es-MX" w:eastAsia="es-MX"/>
        </w:rPr>
        <w:t>iii</w:t>
      </w:r>
      <w:proofErr w:type="spellEnd"/>
      <w:r w:rsidRPr="007E22AB">
        <w:rPr>
          <w:rFonts w:ascii="ITC Avant Garde Std Bk" w:eastAsia="Times New Roman" w:hAnsi="ITC Avant Garde Std Bk" w:cs="Arial"/>
          <w:color w:val="2F2F2F"/>
          <w:sz w:val="18"/>
          <w:szCs w:val="18"/>
          <w:lang w:val="es-MX" w:eastAsia="es-MX"/>
        </w:rPr>
        <w:t xml:space="preserve">) información programática obtenida o proporcionada por concesionarios al asignarles canales virtuales; y </w:t>
      </w:r>
      <w:proofErr w:type="spellStart"/>
      <w:r w:rsidRPr="007E22AB">
        <w:rPr>
          <w:rFonts w:ascii="ITC Avant Garde Std Bk" w:eastAsia="Times New Roman" w:hAnsi="ITC Avant Garde Std Bk" w:cs="Arial"/>
          <w:color w:val="2F2F2F"/>
          <w:sz w:val="18"/>
          <w:szCs w:val="18"/>
          <w:lang w:val="es-MX" w:eastAsia="es-MX"/>
        </w:rPr>
        <w:t>iv</w:t>
      </w:r>
      <w:proofErr w:type="spellEnd"/>
      <w:r w:rsidRPr="007E22AB">
        <w:rPr>
          <w:rFonts w:ascii="ITC Avant Garde Std Bk" w:eastAsia="Times New Roman" w:hAnsi="ITC Avant Garde Std Bk" w:cs="Arial"/>
          <w:color w:val="2F2F2F"/>
          <w:sz w:val="18"/>
          <w:szCs w:val="18"/>
          <w:lang w:val="es-MX" w:eastAsia="es-MX"/>
        </w:rPr>
        <w:t>) monitoreos a contenidos realizados por la UMCA, la cual agrupó las estaciones de televisión que, en términos de los Lineamientos, tuvieran una identidad programática de al menos el 75%, lo cual fue plasmado en el Informe, mismo que para los efectos que interesan, señala a la letra:</w:t>
      </w:r>
    </w:p>
    <w:p w14:paraId="373784FA"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79B6894D"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w:t>
      </w:r>
      <w:r w:rsidRPr="007E22AB">
        <w:rPr>
          <w:rFonts w:ascii="ITC Avant Garde Std Bk" w:eastAsia="Times New Roman" w:hAnsi="ITC Avant Garde Std Bk" w:cs="Arial"/>
          <w:b/>
          <w:bCs/>
          <w:i/>
          <w:iCs/>
          <w:color w:val="2F2F2F"/>
          <w:sz w:val="18"/>
          <w:szCs w:val="18"/>
          <w:lang w:val="es-MX" w:eastAsia="es-MX"/>
        </w:rPr>
        <w:t>...</w:t>
      </w:r>
    </w:p>
    <w:p w14:paraId="6ABE4C8D" w14:textId="77777777" w:rsidR="007E22AB" w:rsidRDefault="007E22AB" w:rsidP="007E22AB">
      <w:pPr>
        <w:shd w:val="clear" w:color="auto" w:fill="FFFFFF"/>
        <w:spacing w:line="246" w:lineRule="exact"/>
        <w:ind w:firstLine="289"/>
        <w:jc w:val="both"/>
        <w:rPr>
          <w:rFonts w:ascii="ITC Avant Garde Std Bk" w:eastAsia="Times New Roman" w:hAnsi="ITC Avant Garde Std Bk" w:cs="Arial"/>
          <w:i/>
          <w:iCs/>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La Disposición Técnica IFT-013-2016: Especificaciones y requerimientos mínimos para la instalación y operación de estaciones de televisión, equipos auxiliares y equipos complementarios, define con claridad cómo se establecen las zonas de cobertura y las áreas de servicio de las estaciones de televisión, así como de los respectivos equipos complementarios, que quedan registradas en los títulos de concesión y autorizaciones, respectivamente.</w:t>
      </w:r>
    </w:p>
    <w:p w14:paraId="7FB7000F"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218BA78C"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 xml:space="preserve">El presente ejercicio toma en cuenta las zonas de cobertura y las áreas de servicio de estaciones de </w:t>
      </w:r>
      <w:proofErr w:type="gramStart"/>
      <w:r w:rsidRPr="007E22AB">
        <w:rPr>
          <w:rFonts w:ascii="ITC Avant Garde Std Bk" w:eastAsia="Times New Roman" w:hAnsi="ITC Avant Garde Std Bk" w:cs="Arial"/>
          <w:i/>
          <w:iCs/>
          <w:color w:val="2F2F2F"/>
          <w:sz w:val="18"/>
          <w:szCs w:val="18"/>
          <w:lang w:val="es-MX" w:eastAsia="es-MX"/>
        </w:rPr>
        <w:t>televisión</w:t>
      </w:r>
      <w:proofErr w:type="gramEnd"/>
      <w:r w:rsidRPr="007E22AB">
        <w:rPr>
          <w:rFonts w:ascii="ITC Avant Garde Std Bk" w:eastAsia="Times New Roman" w:hAnsi="ITC Avant Garde Std Bk" w:cs="Arial"/>
          <w:i/>
          <w:iCs/>
          <w:color w:val="2F2F2F"/>
          <w:sz w:val="18"/>
          <w:szCs w:val="18"/>
          <w:lang w:val="es-MX" w:eastAsia="es-MX"/>
        </w:rPr>
        <w:t xml:space="preserve"> así como de los respectivos equipos complementarios, ello en virtud de ser concordante con el concepto "Misma Zona de Cobertura Geográfica". Dicho concepto establece que es el área geográfica en que coinciden las áreas donde tienen autorizado prestar sus servicios los concesionarios de radiodifusión y de televisión restringida. En ese sentido, tanto las zonas de cobertura consignadas en los títulos de concesión como las áreas de servicios </w:t>
      </w:r>
      <w:proofErr w:type="gramStart"/>
      <w:r w:rsidRPr="007E22AB">
        <w:rPr>
          <w:rFonts w:ascii="ITC Avant Garde Std Bk" w:eastAsia="Times New Roman" w:hAnsi="ITC Avant Garde Std Bk" w:cs="Arial"/>
          <w:i/>
          <w:iCs/>
          <w:color w:val="2F2F2F"/>
          <w:sz w:val="18"/>
          <w:szCs w:val="18"/>
          <w:lang w:val="es-MX" w:eastAsia="es-MX"/>
        </w:rPr>
        <w:t>aprobadas,</w:t>
      </w:r>
      <w:proofErr w:type="gramEnd"/>
      <w:r w:rsidRPr="007E22AB">
        <w:rPr>
          <w:rFonts w:ascii="ITC Avant Garde Std Bk" w:eastAsia="Times New Roman" w:hAnsi="ITC Avant Garde Std Bk" w:cs="Arial"/>
          <w:i/>
          <w:iCs/>
          <w:color w:val="2F2F2F"/>
          <w:sz w:val="18"/>
          <w:szCs w:val="18"/>
          <w:lang w:val="es-MX" w:eastAsia="es-MX"/>
        </w:rPr>
        <w:t xml:space="preserve"> se </w:t>
      </w:r>
      <w:r w:rsidRPr="007E22AB">
        <w:rPr>
          <w:rFonts w:ascii="ITC Avant Garde Std Bk" w:eastAsia="Times New Roman" w:hAnsi="ITC Avant Garde Std Bk" w:cs="Arial"/>
          <w:i/>
          <w:iCs/>
          <w:color w:val="2F2F2F"/>
          <w:sz w:val="18"/>
          <w:szCs w:val="18"/>
          <w:lang w:val="es-MX" w:eastAsia="es-MX"/>
        </w:rPr>
        <w:lastRenderedPageBreak/>
        <w:t>constituyen como medios de autorización para la prestación del servicio de televisión radiodifundida y en consecuencia, pueden ser utilizados para los fines del presente informe.</w:t>
      </w:r>
    </w:p>
    <w:p w14:paraId="05A77609"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La cobertura geográfica continental contenida dentro de la región conformada por las zonas de cobertura y áreas de servicio de las estaciones de televisión radiodifundida, así como de los equipos complementarios correspondientes es igual a 1'510,710.142 km2 y en ella habitan 110'927,134 habitantes, de un total de 112'336,538 registrados por el Instituto Nacional de Geografía y Estadística (INEGI) en el censo general de población y</w:t>
      </w:r>
    </w:p>
    <w:p w14:paraId="0467F863"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vivienda 2010. Así, dentro de dichas zonas de cobertura y áreas de servicio, se encontraría el 98.74% de la población total del país.</w:t>
      </w:r>
    </w:p>
    <w:p w14:paraId="23B09B86"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La Figura 1 siguiente muestra gráficamente estas zonas de cobertura y áreas de servicio del país.</w:t>
      </w:r>
    </w:p>
    <w:p w14:paraId="494B27F0" w14:textId="0396A018"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noProof/>
          <w:color w:val="2F2F2F"/>
          <w:sz w:val="18"/>
          <w:szCs w:val="18"/>
          <w:lang w:val="es-MX" w:eastAsia="es-MX"/>
        </w:rPr>
        <w:drawing>
          <wp:inline distT="0" distB="0" distL="0" distR="0" wp14:anchorId="4657EE73" wp14:editId="1EC4EBCB">
            <wp:extent cx="4603750" cy="2711450"/>
            <wp:effectExtent l="0" t="0" r="6350" b="0"/>
            <wp:docPr id="556966003"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66003" name="Imagen 1"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750" cy="2711450"/>
                    </a:xfrm>
                    <a:prstGeom prst="rect">
                      <a:avLst/>
                    </a:prstGeom>
                    <a:noFill/>
                    <a:ln>
                      <a:noFill/>
                    </a:ln>
                  </pic:spPr>
                </pic:pic>
              </a:graphicData>
            </a:graphic>
          </wp:inline>
        </w:drawing>
      </w:r>
    </w:p>
    <w:p w14:paraId="63480E3B"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Figura 1. Gráfico de las zonas de cobertura y áreas de servicio de las estaciones de televisión radiodifundida y equipos complementarios respectivos autorizados en México. Fuente: Unidad de Medios y Contenidos Audiovisuales, Instituto.</w:t>
      </w:r>
    </w:p>
    <w:p w14:paraId="5E56EAC9"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La Figura 1 muestra gráficamente las zonas de cobertura y áreas de servicio de todas las estaciones de televisión radiodifundida y respectivos equipos complementarios del país, lo cual se encuentra definido en los títulos de concesión y autorizaciones correspondientes.</w:t>
      </w:r>
    </w:p>
    <w:p w14:paraId="477A1CCD"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El cálculo del área del territorio nacional radiodifundido se computó con información del Instituto Nacional de Geografía y Estadística (INEGI) utilizando los programas de cómputo ICS Telecom, versión 14.1.0 de ATDI y MAPA DIGITAL. Para ello, se descartó el espacio de las zonas de cobertura y áreas de servicio fuera del territorio continental.</w:t>
      </w:r>
    </w:p>
    <w:p w14:paraId="32AFC103"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b/>
          <w:bCs/>
          <w:i/>
          <w:iCs/>
          <w:color w:val="2F2F2F"/>
          <w:sz w:val="18"/>
          <w:szCs w:val="18"/>
          <w:lang w:val="es-MX" w:eastAsia="es-MX"/>
        </w:rPr>
        <w:t>...</w:t>
      </w:r>
    </w:p>
    <w:p w14:paraId="1B8C5015"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Con base en lo anterior, las señales radiodifundidas que tienen 50% o más de cobertura geográfica radiodifundida total estimada en el territorio nacional son aquéllas que se identifican con los siguientes nombres comerciales:</w:t>
      </w:r>
    </w:p>
    <w:p w14:paraId="70E8EDBF"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"Las Estrellas"</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78.15%</w:t>
      </w:r>
    </w:p>
    <w:p w14:paraId="32F5BA77"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"Azteca 7"</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77.13%</w:t>
      </w:r>
    </w:p>
    <w:p w14:paraId="17FF274C"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"Azteca 13"</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76.63%"</w:t>
      </w:r>
    </w:p>
    <w:p w14:paraId="32934DB3"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"Canal 5"</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73.21%</w:t>
      </w:r>
    </w:p>
    <w:p w14:paraId="5818A39E"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"adn40"</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67.33%</w:t>
      </w:r>
    </w:p>
    <w:p w14:paraId="4449CB33"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i/>
          <w:iCs/>
          <w:color w:val="2F2F2F"/>
          <w:sz w:val="18"/>
          <w:szCs w:val="18"/>
          <w:lang w:val="es-MX" w:eastAsia="es-MX"/>
        </w:rPr>
        <w:t>"a+"</w:t>
      </w:r>
      <w:r w:rsidRPr="007E22AB">
        <w:rPr>
          <w:rFonts w:ascii="ITC Avant Garde Std Bk" w:eastAsia="Times New Roman" w:hAnsi="ITC Avant Garde Std Bk" w:cs="Arial"/>
          <w:color w:val="2F2F2F"/>
          <w:sz w:val="18"/>
          <w:szCs w:val="18"/>
          <w:lang w:val="es-MX" w:eastAsia="es-MX"/>
        </w:rPr>
        <w:t> </w:t>
      </w:r>
      <w:r w:rsidRPr="007E22AB">
        <w:rPr>
          <w:rFonts w:ascii="ITC Avant Garde Std Bk" w:eastAsia="Times New Roman" w:hAnsi="ITC Avant Garde Std Bk" w:cs="Arial"/>
          <w:i/>
          <w:iCs/>
          <w:color w:val="2F2F2F"/>
          <w:sz w:val="18"/>
          <w:szCs w:val="18"/>
          <w:lang w:val="es-MX" w:eastAsia="es-MX"/>
        </w:rPr>
        <w:t>60.22%"</w:t>
      </w:r>
    </w:p>
    <w:p w14:paraId="5E054575"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 </w:t>
      </w:r>
    </w:p>
    <w:p w14:paraId="0B4682DB"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Por lo anterior, se actualizan las señales de televisión radiodifundida que tienen cobertura del 50% o más del territorio nacional, siendo aquéllas identificadas con los nombres "Las Estrellas", "Azteca 7", "Azteca 13", "Canal 5", "adn40" y "a+".</w:t>
      </w:r>
    </w:p>
    <w:p w14:paraId="1CA0D90B"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2B16CDDF"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Los concesionarios de televisión restringida vía satélite deben realizar la retransmisión de dichas señales en términos de los artículos 159 y 164 a 169 de la Ley y podrán tomar cualquiera en el país que cumpla las características de identidad programática, en virtud de ser esencialmente, para los efectos precisados en este Acuerdo, las mismas.</w:t>
      </w:r>
    </w:p>
    <w:p w14:paraId="1BD1EEFF" w14:textId="77777777"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p>
    <w:p w14:paraId="24E4B456" w14:textId="76184312" w:rsidR="007E22AB" w:rsidRPr="007E22AB" w:rsidRDefault="007E22AB" w:rsidP="007E22AB">
      <w:pPr>
        <w:shd w:val="clear" w:color="auto" w:fill="FFFFFF"/>
        <w:spacing w:line="246" w:lineRule="exact"/>
        <w:ind w:firstLine="289"/>
        <w:jc w:val="both"/>
        <w:rPr>
          <w:rFonts w:ascii="ITC Avant Garde Std Bk" w:eastAsia="Times New Roman" w:hAnsi="ITC Avant Garde Std Bk" w:cs="Arial"/>
          <w:color w:val="2F2F2F"/>
          <w:sz w:val="18"/>
          <w:szCs w:val="18"/>
          <w:lang w:val="es-MX" w:eastAsia="es-MX"/>
        </w:rPr>
      </w:pPr>
      <w:r w:rsidRPr="007E22AB">
        <w:rPr>
          <w:rFonts w:ascii="ITC Avant Garde Std Bk" w:eastAsia="Times New Roman" w:hAnsi="ITC Avant Garde Std Bk" w:cs="Arial"/>
          <w:color w:val="2F2F2F"/>
          <w:sz w:val="18"/>
          <w:szCs w:val="18"/>
          <w:lang w:val="es-MX" w:eastAsia="es-MX"/>
        </w:rPr>
        <w:t xml:space="preserve">En tales condiciones, con fundamento en lo dispuesto por los artículos 28 de la Constitución Política de los Estados Unidos Mexicanos; Octavo Transitorio, fracción I del Decreto por el que se reforman y adicionan diversas disposiciones de los artículos 6o., 7o., 27, 28, 73, 78, 94 y 105 de la Constitución Política de los Estados Unidos Mexicanos, en materia de telecomunicaciones; 2, 7, 15, fracción LXIII, 16 y 17, penúltimo párrafo de la Ley Federal de Telecomunicaciones y Radiodifusión; 3, fracción XVIII de los Lineamientos Generales en relación con lo Dispuesto por la Fracción I del artículo octavo transitorio del Decreto por el que se reforman y adicionan diversas disposiciones de los </w:t>
      </w:r>
      <w:r w:rsidRPr="007E22AB">
        <w:rPr>
          <w:rFonts w:ascii="ITC Avant Garde Std Bk" w:eastAsia="Times New Roman" w:hAnsi="ITC Avant Garde Std Bk" w:cs="Arial"/>
          <w:color w:val="2F2F2F"/>
          <w:sz w:val="18"/>
          <w:szCs w:val="18"/>
          <w:lang w:val="es-MX" w:eastAsia="es-MX"/>
        </w:rPr>
        <w:lastRenderedPageBreak/>
        <w:t>artículos 6o., 7o., 27, 28, 73, 78, 94 y 105 de la Constitución de los Estados Unidos Mexicanos, en Materia de Telecomunicaciones, y 1, 2, fracción X, 4, fracción l, 6, fracción XXXVIII y 39, fracción XVI del Estatuto Orgánico del Instituto Federal de Telecomunicaciones, se emite el siguiente:</w:t>
      </w:r>
    </w:p>
    <w:p w14:paraId="6750B1B7" w14:textId="1F2D14E2" w:rsidR="007E22AB" w:rsidRDefault="007E22AB" w:rsidP="007E22AB">
      <w:pPr>
        <w:pStyle w:val="Texto"/>
        <w:spacing w:before="120" w:after="120" w:line="244" w:lineRule="exact"/>
        <w:ind w:firstLine="0"/>
        <w:jc w:val="center"/>
        <w:rPr>
          <w:rFonts w:ascii="ITC Avant Garde" w:hAnsi="ITC Avant Garde"/>
          <w:b/>
          <w:bCs/>
          <w:color w:val="2F2F2F"/>
          <w:sz w:val="21"/>
          <w:szCs w:val="21"/>
          <w:shd w:val="clear" w:color="auto" w:fill="FFFFFF"/>
        </w:rPr>
      </w:pPr>
      <w:r w:rsidDel="007E22AB">
        <w:t xml:space="preserve"> </w:t>
      </w:r>
    </w:p>
    <w:p w14:paraId="1CC9F737" w14:textId="521E1677" w:rsidR="00833307" w:rsidRPr="001903D9" w:rsidRDefault="00833307" w:rsidP="007E22AB">
      <w:pPr>
        <w:pStyle w:val="Texto"/>
        <w:spacing w:before="120" w:after="120" w:line="244" w:lineRule="exact"/>
        <w:ind w:firstLine="0"/>
        <w:jc w:val="center"/>
        <w:rPr>
          <w:rStyle w:val="Hipervnculo"/>
          <w:rFonts w:ascii="ITC Avant Garde" w:eastAsia="Arial" w:hAnsi="ITC Avant Garde"/>
          <w:noProof/>
          <w:sz w:val="21"/>
          <w:szCs w:val="21"/>
        </w:rPr>
      </w:pPr>
      <w:r w:rsidRPr="001903D9">
        <w:rPr>
          <w:rFonts w:ascii="ITC Avant Garde" w:hAnsi="ITC Avant Garde"/>
          <w:b/>
          <w:bCs/>
          <w:color w:val="2F2F2F"/>
          <w:sz w:val="21"/>
          <w:szCs w:val="21"/>
          <w:shd w:val="clear" w:color="auto" w:fill="FFFFFF"/>
        </w:rPr>
        <w:t>ACUERDO</w:t>
      </w:r>
    </w:p>
    <w:p w14:paraId="1DD07CB1" w14:textId="77777777" w:rsidR="007F5920" w:rsidRPr="001903D9" w:rsidRDefault="007F5920" w:rsidP="007F5920">
      <w:pPr>
        <w:pStyle w:val="Texto"/>
        <w:spacing w:before="120" w:after="120" w:line="246" w:lineRule="exact"/>
        <w:rPr>
          <w:rFonts w:ascii="ITC Avant Garde" w:hAnsi="ITC Avant Garde"/>
          <w:noProof/>
          <w:szCs w:val="18"/>
        </w:rPr>
      </w:pPr>
      <w:r w:rsidRPr="001903D9">
        <w:rPr>
          <w:rFonts w:ascii="ITC Avant Garde" w:hAnsi="ITC Avant Garde"/>
          <w:b/>
          <w:noProof/>
          <w:szCs w:val="18"/>
        </w:rPr>
        <w:t xml:space="preserve">PRIMERO.- </w:t>
      </w:r>
      <w:r w:rsidRPr="001903D9">
        <w:rPr>
          <w:rFonts w:ascii="ITC Avant Garde" w:hAnsi="ITC Avant Garde"/>
          <w:noProof/>
          <w:szCs w:val="18"/>
        </w:rPr>
        <w:t>Se actualizan las señales de 50% o más de cobertura del territorio nacional en términos del considerando Segundo del presente Acuerdo.</w:t>
      </w:r>
    </w:p>
    <w:p w14:paraId="781564B8" w14:textId="172BCD5B" w:rsidR="007F5920" w:rsidRPr="001903D9" w:rsidRDefault="007F5920" w:rsidP="28BA956F">
      <w:pPr>
        <w:pStyle w:val="Texto"/>
        <w:spacing w:before="120" w:after="120" w:line="246" w:lineRule="exact"/>
        <w:rPr>
          <w:rFonts w:ascii="ITC Avant Garde" w:hAnsi="ITC Avant Garde"/>
          <w:noProof/>
        </w:rPr>
      </w:pPr>
      <w:r w:rsidRPr="001903D9">
        <w:rPr>
          <w:rFonts w:ascii="ITC Avant Garde" w:hAnsi="ITC Avant Garde"/>
          <w:b/>
          <w:bCs/>
          <w:noProof/>
        </w:rPr>
        <w:t xml:space="preserve">SEGUNDO.- </w:t>
      </w:r>
      <w:r w:rsidR="007E22AB" w:rsidRPr="007E22AB">
        <w:rPr>
          <w:rFonts w:ascii="ITC Avant Garde" w:hAnsi="ITC Avant Garde"/>
          <w:noProof/>
          <w:lang w:val="es-ES_tradnl"/>
        </w:rPr>
        <w:t>Se instruye a la UMCA actualice y publique en el sitio electrónico del Instituto los listados a que se refieren los artículos 4, párrafo segundo y 6, párrafo segundo de los Lineamientos.</w:t>
      </w:r>
    </w:p>
    <w:p w14:paraId="5A771061" w14:textId="5A66C795" w:rsidR="007F5920" w:rsidRPr="001903D9" w:rsidRDefault="007F5920" w:rsidP="28BA956F">
      <w:pPr>
        <w:pStyle w:val="Texto"/>
        <w:spacing w:before="120" w:after="120" w:line="245" w:lineRule="exact"/>
        <w:rPr>
          <w:rFonts w:ascii="ITC Avant Garde" w:hAnsi="ITC Avant Garde"/>
          <w:noProof/>
        </w:rPr>
      </w:pPr>
      <w:r w:rsidRPr="001903D9">
        <w:rPr>
          <w:rFonts w:ascii="ITC Avant Garde" w:hAnsi="ITC Avant Garde"/>
          <w:b/>
          <w:bCs/>
          <w:noProof/>
        </w:rPr>
        <w:t xml:space="preserve">TERCERO.- </w:t>
      </w:r>
      <w:r w:rsidR="007E22AB" w:rsidRPr="007E22AB">
        <w:rPr>
          <w:rFonts w:ascii="ITC Avant Garde" w:hAnsi="ITC Avant Garde"/>
          <w:noProof/>
          <w:lang w:val="es-ES_tradnl"/>
        </w:rPr>
        <w:t>Se instruye a la STP para que en términos del artículo 177, fracción XII, de la Ley, inscriba en el Registro Público de Telecomunicaciones el presente Acuerdo.</w:t>
      </w:r>
    </w:p>
    <w:p w14:paraId="035D3B3A" w14:textId="06699B11" w:rsidR="007F5920" w:rsidRPr="001903D9" w:rsidRDefault="007F5920" w:rsidP="28BA956F">
      <w:pPr>
        <w:pStyle w:val="Texto"/>
        <w:spacing w:before="120" w:after="120" w:line="245" w:lineRule="exact"/>
        <w:rPr>
          <w:rFonts w:ascii="ITC Avant Garde" w:hAnsi="ITC Avant Garde"/>
          <w:noProof/>
        </w:rPr>
      </w:pPr>
      <w:r w:rsidRPr="001903D9">
        <w:rPr>
          <w:rFonts w:ascii="ITC Avant Garde" w:hAnsi="ITC Avant Garde"/>
          <w:b/>
          <w:bCs/>
          <w:noProof/>
        </w:rPr>
        <w:t>CUARTO.-</w:t>
      </w:r>
      <w:r w:rsidRPr="001903D9">
        <w:rPr>
          <w:rFonts w:ascii="ITC Avant Garde" w:hAnsi="ITC Avant Garde"/>
          <w:noProof/>
        </w:rPr>
        <w:t xml:space="preserve"> </w:t>
      </w:r>
      <w:r w:rsidR="007E22AB" w:rsidRPr="007E22AB">
        <w:rPr>
          <w:rFonts w:ascii="ITC Avant Garde" w:hAnsi="ITC Avant Garde"/>
          <w:noProof/>
          <w:lang w:val="es-ES_tradnl"/>
        </w:rPr>
        <w:t>Se instruye a la STP para que en términos del artículo 46 de la Ley y 6, fracción XXV del Estatuto, ordene las diligencias necesarias para que el presente Acuerdo se publique en el DOF.</w:t>
      </w:r>
    </w:p>
    <w:p w14:paraId="39D27F3D" w14:textId="143DBB66" w:rsidR="00F46C17" w:rsidRPr="001903D9" w:rsidRDefault="007F5920" w:rsidP="007E22AB">
      <w:pPr>
        <w:pStyle w:val="Texto"/>
        <w:spacing w:before="120" w:after="120" w:line="245" w:lineRule="exact"/>
        <w:rPr>
          <w:rFonts w:ascii="ITC Avant Garde" w:hAnsi="ITC Avant Garde"/>
          <w:noProof/>
          <w:sz w:val="14"/>
          <w:szCs w:val="14"/>
          <w:lang w:val="es-ES_tradnl"/>
        </w:rPr>
      </w:pPr>
      <w:r w:rsidRPr="001903D9">
        <w:rPr>
          <w:rFonts w:ascii="ITC Avant Garde" w:hAnsi="ITC Avant Garde"/>
          <w:b/>
          <w:bCs/>
          <w:noProof/>
        </w:rPr>
        <w:t xml:space="preserve">QUINTO.- </w:t>
      </w:r>
      <w:r w:rsidR="007E22AB" w:rsidRPr="001903D9">
        <w:rPr>
          <w:rFonts w:ascii="ITC Avant Garde Std Bk" w:hAnsi="ITC Avant Garde Std Bk"/>
          <w:szCs w:val="23"/>
          <w:lang w:val="es-ES_tradnl"/>
        </w:rPr>
        <w:t>Para el caso de las señales radiodifundidas que deban ser retransmitidas en localidades nuevas, deberá tomarse en cuenta el plazo de 90 días a que se refiere el párrafo segundo del artículo 4 de los Lineamientos.</w:t>
      </w:r>
    </w:p>
    <w:p w14:paraId="710C8AE7" w14:textId="1BBCADFE" w:rsidR="007D4C1D" w:rsidRPr="001903D9" w:rsidRDefault="007F5920" w:rsidP="007F5920">
      <w:pPr>
        <w:pStyle w:val="Texto"/>
        <w:spacing w:before="120" w:after="120" w:line="245" w:lineRule="exact"/>
        <w:rPr>
          <w:rFonts w:ascii="ITC Avant Garde" w:hAnsi="ITC Avant Garde"/>
          <w:b/>
          <w:szCs w:val="18"/>
        </w:rPr>
      </w:pPr>
      <w:r w:rsidRPr="001903D9">
        <w:rPr>
          <w:rFonts w:ascii="ITC Avant Garde" w:hAnsi="ITC Avant Garde"/>
          <w:szCs w:val="18"/>
        </w:rPr>
        <w:t xml:space="preserve">El Comisionado Presidente, </w:t>
      </w:r>
      <w:r w:rsidRPr="001903D9">
        <w:rPr>
          <w:rFonts w:ascii="ITC Avant Garde" w:hAnsi="ITC Avant Garde"/>
          <w:b/>
          <w:szCs w:val="18"/>
        </w:rPr>
        <w:t xml:space="preserve">Gabriel Oswaldo Contreras </w:t>
      </w:r>
      <w:proofErr w:type="gramStart"/>
      <w:r w:rsidRPr="001903D9">
        <w:rPr>
          <w:rFonts w:ascii="ITC Avant Garde" w:hAnsi="ITC Avant Garde"/>
          <w:b/>
          <w:szCs w:val="18"/>
        </w:rPr>
        <w:t>Saldívar</w:t>
      </w:r>
      <w:r w:rsidRPr="001903D9">
        <w:rPr>
          <w:rFonts w:ascii="ITC Avant Garde" w:hAnsi="ITC Avant Garde"/>
          <w:noProof/>
          <w:szCs w:val="18"/>
        </w:rPr>
        <w:t>.-</w:t>
      </w:r>
      <w:proofErr w:type="gramEnd"/>
      <w:r w:rsidRPr="001903D9">
        <w:rPr>
          <w:rFonts w:ascii="ITC Avant Garde" w:hAnsi="ITC Avant Garde"/>
          <w:noProof/>
          <w:szCs w:val="18"/>
        </w:rPr>
        <w:t xml:space="preserve"> Rúbrica</w:t>
      </w:r>
      <w:r w:rsidR="007D4C1D" w:rsidRPr="007D4C1D">
        <w:rPr>
          <w:rFonts w:ascii="ITC Avant Garde" w:hAnsi="ITC Avant Garde"/>
          <w:noProof/>
          <w:szCs w:val="18"/>
          <w:lang w:val="es-ES_tradnl"/>
        </w:rPr>
        <w:t>La Comisionada, </w:t>
      </w:r>
      <w:r w:rsidR="007D4C1D" w:rsidRPr="007D4C1D">
        <w:rPr>
          <w:rFonts w:ascii="ITC Avant Garde" w:hAnsi="ITC Avant Garde"/>
          <w:b/>
          <w:bCs/>
          <w:noProof/>
          <w:szCs w:val="18"/>
          <w:lang w:val="es-ES_tradnl"/>
        </w:rPr>
        <w:t>Adriana Sofía Labardini Inzunza</w:t>
      </w:r>
      <w:r w:rsidR="007D4C1D" w:rsidRPr="007D4C1D">
        <w:rPr>
          <w:rFonts w:ascii="ITC Avant Garde" w:hAnsi="ITC Avant Garde"/>
          <w:noProof/>
          <w:szCs w:val="18"/>
          <w:lang w:val="es-ES_tradnl"/>
        </w:rPr>
        <w:t>.- La Comisionada, </w:t>
      </w:r>
      <w:r w:rsidR="007D4C1D" w:rsidRPr="007D4C1D">
        <w:rPr>
          <w:rFonts w:ascii="ITC Avant Garde" w:hAnsi="ITC Avant Garde"/>
          <w:b/>
          <w:bCs/>
          <w:noProof/>
          <w:szCs w:val="18"/>
          <w:lang w:val="es-ES_tradnl"/>
        </w:rPr>
        <w:t>María Elena Estavillo Flores</w:t>
      </w:r>
      <w:r w:rsidR="007D4C1D" w:rsidRPr="007D4C1D">
        <w:rPr>
          <w:rFonts w:ascii="ITC Avant Garde" w:hAnsi="ITC Avant Garde"/>
          <w:noProof/>
          <w:szCs w:val="18"/>
          <w:lang w:val="es-ES_tradnl"/>
        </w:rPr>
        <w:t>.- Rúbrica.- El Comisionado, </w:t>
      </w:r>
      <w:r w:rsidR="007D4C1D" w:rsidRPr="007D4C1D">
        <w:rPr>
          <w:rFonts w:ascii="ITC Avant Garde" w:hAnsi="ITC Avant Garde"/>
          <w:b/>
          <w:bCs/>
          <w:noProof/>
          <w:szCs w:val="18"/>
          <w:lang w:val="es-ES_tradnl"/>
        </w:rPr>
        <w:t>Mario Germán Fromow Rangel</w:t>
      </w:r>
      <w:r w:rsidR="007D4C1D" w:rsidRPr="007D4C1D">
        <w:rPr>
          <w:rFonts w:ascii="ITC Avant Garde" w:hAnsi="ITC Avant Garde"/>
          <w:noProof/>
          <w:szCs w:val="18"/>
          <w:lang w:val="es-ES_tradnl"/>
        </w:rPr>
        <w:t>.- Rúbrica.- El Comisionado, </w:t>
      </w:r>
      <w:r w:rsidR="007D4C1D" w:rsidRPr="007D4C1D">
        <w:rPr>
          <w:rFonts w:ascii="ITC Avant Garde" w:hAnsi="ITC Avant Garde"/>
          <w:b/>
          <w:bCs/>
          <w:noProof/>
          <w:szCs w:val="18"/>
          <w:lang w:val="es-ES_tradnl"/>
        </w:rPr>
        <w:t>Adolfo Cuevas Teja</w:t>
      </w:r>
      <w:r w:rsidR="007D4C1D" w:rsidRPr="007D4C1D">
        <w:rPr>
          <w:rFonts w:ascii="ITC Avant Garde" w:hAnsi="ITC Avant Garde"/>
          <w:noProof/>
          <w:szCs w:val="18"/>
          <w:lang w:val="es-ES_tradnl"/>
        </w:rPr>
        <w:t>.- Rúbrica.- El Comisionado, </w:t>
      </w:r>
      <w:r w:rsidR="007D4C1D" w:rsidRPr="007D4C1D">
        <w:rPr>
          <w:rFonts w:ascii="ITC Avant Garde" w:hAnsi="ITC Avant Garde"/>
          <w:b/>
          <w:bCs/>
          <w:noProof/>
          <w:szCs w:val="18"/>
          <w:lang w:val="es-ES_tradnl"/>
        </w:rPr>
        <w:t>Javier Juárez Mojica</w:t>
      </w:r>
      <w:r w:rsidR="007D4C1D" w:rsidRPr="007D4C1D">
        <w:rPr>
          <w:rFonts w:ascii="ITC Avant Garde" w:hAnsi="ITC Avant Garde"/>
          <w:noProof/>
          <w:szCs w:val="18"/>
          <w:lang w:val="es-ES_tradnl"/>
        </w:rPr>
        <w:t>.- Rúbrica.- El Comisionado, </w:t>
      </w:r>
      <w:r w:rsidR="007D4C1D" w:rsidRPr="007D4C1D">
        <w:rPr>
          <w:rFonts w:ascii="ITC Avant Garde" w:hAnsi="ITC Avant Garde"/>
          <w:b/>
          <w:bCs/>
          <w:noProof/>
          <w:szCs w:val="18"/>
          <w:lang w:val="es-ES_tradnl"/>
        </w:rPr>
        <w:t>Arturo Robles Rovalo</w:t>
      </w:r>
      <w:r w:rsidR="007D4C1D" w:rsidRPr="007D4C1D">
        <w:rPr>
          <w:rFonts w:ascii="ITC Avant Garde" w:hAnsi="ITC Avant Garde"/>
          <w:noProof/>
          <w:szCs w:val="18"/>
          <w:lang w:val="es-ES_tradnl"/>
        </w:rPr>
        <w:t>.- Rúbrica.</w:t>
      </w:r>
    </w:p>
    <w:p w14:paraId="3A9611F4" w14:textId="77777777" w:rsidR="005803D5" w:rsidRPr="005803D5" w:rsidRDefault="005803D5" w:rsidP="005803D5">
      <w:pPr>
        <w:pStyle w:val="Texto"/>
        <w:spacing w:before="120" w:after="120" w:line="245" w:lineRule="exact"/>
        <w:rPr>
          <w:rFonts w:ascii="ITC Avant Garde" w:hAnsi="ITC Avant Garde"/>
          <w:szCs w:val="14"/>
        </w:rPr>
      </w:pPr>
      <w:r w:rsidRPr="005803D5">
        <w:rPr>
          <w:rFonts w:ascii="ITC Avant Garde" w:hAnsi="ITC Avant Garde"/>
          <w:szCs w:val="14"/>
        </w:rPr>
        <w:t xml:space="preserve">El presente Acuerdo fue aprobado por el Pleno del Instituto Federal de Telecomunicaciones en su LIII Sesión Ordinaria celebrada el 13 de diciembre de 2017, por unanimidad de votos de los Comisionados Gabriel Oswaldo Contreras Saldívar, Adriana Sofía </w:t>
      </w:r>
      <w:proofErr w:type="spellStart"/>
      <w:r w:rsidRPr="005803D5">
        <w:rPr>
          <w:rFonts w:ascii="ITC Avant Garde" w:hAnsi="ITC Avant Garde"/>
          <w:szCs w:val="14"/>
        </w:rPr>
        <w:t>Labardini</w:t>
      </w:r>
      <w:proofErr w:type="spellEnd"/>
      <w:r w:rsidRPr="005803D5">
        <w:rPr>
          <w:rFonts w:ascii="ITC Avant Garde" w:hAnsi="ITC Avant Garde"/>
          <w:szCs w:val="14"/>
        </w:rPr>
        <w:t xml:space="preserve"> Inzunza, María Elena </w:t>
      </w:r>
      <w:proofErr w:type="spellStart"/>
      <w:r w:rsidRPr="005803D5">
        <w:rPr>
          <w:rFonts w:ascii="ITC Avant Garde" w:hAnsi="ITC Avant Garde"/>
          <w:szCs w:val="14"/>
        </w:rPr>
        <w:t>Estavillo</w:t>
      </w:r>
      <w:proofErr w:type="spellEnd"/>
      <w:r w:rsidRPr="005803D5">
        <w:rPr>
          <w:rFonts w:ascii="ITC Avant Garde" w:hAnsi="ITC Avant Garde"/>
          <w:szCs w:val="14"/>
        </w:rPr>
        <w:t xml:space="preserve"> Flores, Mario Germán </w:t>
      </w:r>
      <w:proofErr w:type="spellStart"/>
      <w:r w:rsidRPr="005803D5">
        <w:rPr>
          <w:rFonts w:ascii="ITC Avant Garde" w:hAnsi="ITC Avant Garde"/>
          <w:szCs w:val="14"/>
        </w:rPr>
        <w:t>Fromow</w:t>
      </w:r>
      <w:proofErr w:type="spellEnd"/>
      <w:r w:rsidRPr="005803D5">
        <w:rPr>
          <w:rFonts w:ascii="ITC Avant Garde" w:hAnsi="ITC Avant Garde"/>
          <w:szCs w:val="14"/>
        </w:rPr>
        <w:t xml:space="preserve"> Rangel, Adolfo Cuevas Teja, Javier Juárez Mojica y Arturo Robles </w:t>
      </w:r>
      <w:proofErr w:type="spellStart"/>
      <w:r w:rsidRPr="005803D5">
        <w:rPr>
          <w:rFonts w:ascii="ITC Avant Garde" w:hAnsi="ITC Avant Garde"/>
          <w:szCs w:val="14"/>
        </w:rPr>
        <w:t>Rovalo</w:t>
      </w:r>
      <w:proofErr w:type="spellEnd"/>
      <w:r w:rsidRPr="005803D5">
        <w:rPr>
          <w:rFonts w:ascii="ITC Avant Garde" w:hAnsi="ITC Avant Garde"/>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P/IFT/131217/885.</w:t>
      </w:r>
    </w:p>
    <w:p w14:paraId="2F8C1A16" w14:textId="1F4AFF8A" w:rsidR="007F5920" w:rsidRPr="001903D9" w:rsidRDefault="005803D5" w:rsidP="007E22AB">
      <w:pPr>
        <w:pStyle w:val="Texto"/>
        <w:spacing w:before="120" w:after="120" w:line="245" w:lineRule="exact"/>
        <w:rPr>
          <w:rFonts w:ascii="ITC Avant Garde" w:hAnsi="ITC Avant Garde"/>
          <w:b/>
        </w:rPr>
      </w:pPr>
      <w:r w:rsidRPr="005803D5">
        <w:rPr>
          <w:rFonts w:ascii="ITC Avant Garde" w:hAnsi="ITC Avant Garde"/>
          <w:szCs w:val="14"/>
        </w:rPr>
        <w:t xml:space="preserve">La Comisionada Adriana Sofía </w:t>
      </w:r>
      <w:proofErr w:type="spellStart"/>
      <w:r w:rsidRPr="005803D5">
        <w:rPr>
          <w:rFonts w:ascii="ITC Avant Garde" w:hAnsi="ITC Avant Garde"/>
          <w:szCs w:val="14"/>
        </w:rPr>
        <w:t>Labardini</w:t>
      </w:r>
      <w:proofErr w:type="spellEnd"/>
      <w:r w:rsidRPr="005803D5">
        <w:rPr>
          <w:rFonts w:ascii="ITC Avant Garde" w:hAnsi="ITC Avant Garde"/>
          <w:szCs w:val="14"/>
        </w:rPr>
        <w:t xml:space="preserve"> Inzunza, previendo su ausencia justificada a la sesión, emitió su</w:t>
      </w:r>
      <w:r w:rsidR="00924D20">
        <w:rPr>
          <w:rFonts w:ascii="ITC Avant Garde" w:hAnsi="ITC Avant Garde"/>
          <w:szCs w:val="14"/>
        </w:rPr>
        <w:t xml:space="preserve"> </w:t>
      </w:r>
      <w:r w:rsidRPr="005803D5">
        <w:rPr>
          <w:rFonts w:ascii="ITC Avant Garde" w:hAnsi="ITC Avant Garde"/>
          <w:szCs w:val="14"/>
        </w:rPr>
        <w:t>voto razonado por escrito, en términos de los artículos 45 tercer párrafo de la Ley Federal de Telecomunicaciones y Radiodifusión, y 8 segundo párrafo del Estatuto Orgánico del Instituto Federal de Telecomunicaciones</w:t>
      </w:r>
      <w:r w:rsidR="007E22AB">
        <w:rPr>
          <w:rFonts w:ascii="ITC Avant Garde" w:hAnsi="ITC Avant Garde"/>
          <w:szCs w:val="14"/>
        </w:rPr>
        <w:t>.</w:t>
      </w:r>
    </w:p>
    <w:p w14:paraId="672A6659" w14:textId="77777777" w:rsidR="00006AB4" w:rsidRDefault="00006AB4" w:rsidP="28BA956F">
      <w:pPr>
        <w:spacing w:before="120" w:after="120"/>
        <w:rPr>
          <w:rFonts w:ascii="ITC Avant Garde" w:eastAsia="ITC Avant Garde Std Bk" w:hAnsi="ITC Avant Garde" w:cs="ITC Avant Garde Std Bk"/>
          <w:b/>
          <w:bCs/>
        </w:rPr>
      </w:pPr>
    </w:p>
    <w:p w14:paraId="66096ECB" w14:textId="77777777" w:rsidR="00EA50E0" w:rsidRDefault="00EA50E0" w:rsidP="28BA956F">
      <w:pPr>
        <w:spacing w:before="120" w:after="120"/>
        <w:rPr>
          <w:rFonts w:ascii="ITC Avant Garde" w:eastAsia="ITC Avant Garde Std Bk" w:hAnsi="ITC Avant Garde" w:cs="ITC Avant Garde Std Bk"/>
          <w:b/>
          <w:bCs/>
        </w:rPr>
      </w:pPr>
    </w:p>
    <w:p w14:paraId="0EEA63F0" w14:textId="77777777" w:rsidR="00EA50E0" w:rsidRDefault="00EA50E0" w:rsidP="28BA956F">
      <w:pPr>
        <w:spacing w:before="120" w:after="120"/>
        <w:rPr>
          <w:rFonts w:ascii="ITC Avant Garde" w:eastAsia="ITC Avant Garde Std Bk" w:hAnsi="ITC Avant Garde" w:cs="ITC Avant Garde Std Bk"/>
          <w:b/>
          <w:bCs/>
        </w:rPr>
      </w:pPr>
    </w:p>
    <w:p w14:paraId="62C934A1" w14:textId="13FA1149" w:rsidR="03E45ED0" w:rsidRPr="001903D9" w:rsidRDefault="03E45ED0" w:rsidP="001903D9">
      <w:pPr>
        <w:ind w:firstLine="288"/>
        <w:jc w:val="both"/>
      </w:pPr>
    </w:p>
    <w:sectPr w:rsidR="03E45ED0" w:rsidRPr="001903D9"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6E9E" w14:textId="77777777" w:rsidR="00EC078F" w:rsidRDefault="00EC078F" w:rsidP="003C5FB6">
      <w:r>
        <w:separator/>
      </w:r>
    </w:p>
  </w:endnote>
  <w:endnote w:type="continuationSeparator" w:id="0">
    <w:p w14:paraId="6A4F641E" w14:textId="77777777" w:rsidR="00EC078F" w:rsidRDefault="00EC078F" w:rsidP="003C5FB6">
      <w:r>
        <w:continuationSeparator/>
      </w:r>
    </w:p>
  </w:endnote>
  <w:endnote w:type="continuationNotice" w:id="1">
    <w:p w14:paraId="35F191D9" w14:textId="77777777" w:rsidR="00EC078F" w:rsidRDefault="00EC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CE3A" w14:textId="77777777" w:rsidR="007F5920" w:rsidRDefault="007F5920" w:rsidP="007F5920">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403657">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403657">
      <w:rPr>
        <w:rFonts w:ascii="ITC Avant Garde" w:hAnsi="ITC Avant Garde"/>
        <w:b/>
        <w:bCs/>
        <w:noProof/>
        <w:sz w:val="16"/>
        <w:szCs w:val="16"/>
      </w:rPr>
      <w:t>1</w:t>
    </w:r>
    <w:r>
      <w:rPr>
        <w:rFonts w:ascii="ITC Avant Garde" w:hAnsi="ITC Avant Garde"/>
        <w:b/>
        <w:bCs/>
        <w:sz w:val="16"/>
        <w:szCs w:val="16"/>
      </w:rPr>
      <w:fldChar w:fldCharType="end"/>
    </w:r>
  </w:p>
  <w:p w14:paraId="41C8F396" w14:textId="77777777" w:rsidR="003C5FB6" w:rsidRDefault="003C5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1629" w14:textId="77777777" w:rsidR="00EC078F" w:rsidRDefault="00EC078F" w:rsidP="003C5FB6">
      <w:r>
        <w:separator/>
      </w:r>
    </w:p>
  </w:footnote>
  <w:footnote w:type="continuationSeparator" w:id="0">
    <w:p w14:paraId="102E7845" w14:textId="77777777" w:rsidR="00EC078F" w:rsidRDefault="00EC078F" w:rsidP="003C5FB6">
      <w:r>
        <w:continuationSeparator/>
      </w:r>
    </w:p>
  </w:footnote>
  <w:footnote w:type="continuationNotice" w:id="1">
    <w:p w14:paraId="6B9FE2AE" w14:textId="77777777" w:rsidR="00EC078F" w:rsidRDefault="00EC0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D7F4"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0A37501D"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A39C" w14:textId="77777777" w:rsidR="003C5FB6" w:rsidRDefault="00C13367">
    <w:pPr>
      <w:pStyle w:val="Encabezado"/>
    </w:pPr>
    <w:r>
      <w:rPr>
        <w:noProof/>
      </w:rPr>
      <w:drawing>
        <wp:anchor distT="0" distB="0" distL="114300" distR="114300" simplePos="0" relativeHeight="251658240" behindDoc="1" locked="0" layoutInCell="1" allowOverlap="1" wp14:anchorId="3A404063" wp14:editId="07777777">
          <wp:simplePos x="0" y="0"/>
          <wp:positionH relativeFrom="column">
            <wp:posOffset>-1142365</wp:posOffset>
          </wp:positionH>
          <wp:positionV relativeFrom="paragraph">
            <wp:posOffset>-463550</wp:posOffset>
          </wp:positionV>
          <wp:extent cx="7886700" cy="10205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83A0B"/>
    <w:rsid w:val="0008533A"/>
    <w:rsid w:val="00090185"/>
    <w:rsid w:val="00095F1D"/>
    <w:rsid w:val="00096111"/>
    <w:rsid w:val="00097785"/>
    <w:rsid w:val="000A3FC1"/>
    <w:rsid w:val="000C663A"/>
    <w:rsid w:val="00122613"/>
    <w:rsid w:val="00124BB8"/>
    <w:rsid w:val="0013681B"/>
    <w:rsid w:val="001903D9"/>
    <w:rsid w:val="001E385F"/>
    <w:rsid w:val="00212A74"/>
    <w:rsid w:val="00226B01"/>
    <w:rsid w:val="002A221D"/>
    <w:rsid w:val="002A3038"/>
    <w:rsid w:val="002B49A0"/>
    <w:rsid w:val="003352AB"/>
    <w:rsid w:val="003676CD"/>
    <w:rsid w:val="003C5FB6"/>
    <w:rsid w:val="003D2D77"/>
    <w:rsid w:val="003F5AB3"/>
    <w:rsid w:val="00400B07"/>
    <w:rsid w:val="00403657"/>
    <w:rsid w:val="0041474A"/>
    <w:rsid w:val="0042637F"/>
    <w:rsid w:val="00437B75"/>
    <w:rsid w:val="00456BE5"/>
    <w:rsid w:val="004A4AC0"/>
    <w:rsid w:val="004E1BD3"/>
    <w:rsid w:val="005801FC"/>
    <w:rsid w:val="005803D5"/>
    <w:rsid w:val="005B3D6F"/>
    <w:rsid w:val="005D754A"/>
    <w:rsid w:val="005E007D"/>
    <w:rsid w:val="006C04CF"/>
    <w:rsid w:val="006D3B0B"/>
    <w:rsid w:val="006D785F"/>
    <w:rsid w:val="006F28FD"/>
    <w:rsid w:val="00703779"/>
    <w:rsid w:val="00737198"/>
    <w:rsid w:val="007A7654"/>
    <w:rsid w:val="007C78B5"/>
    <w:rsid w:val="007D4C1D"/>
    <w:rsid w:val="007E22AB"/>
    <w:rsid w:val="007F5920"/>
    <w:rsid w:val="008056D2"/>
    <w:rsid w:val="008142BC"/>
    <w:rsid w:val="00833307"/>
    <w:rsid w:val="0083700C"/>
    <w:rsid w:val="008C622C"/>
    <w:rsid w:val="00924D20"/>
    <w:rsid w:val="009377C6"/>
    <w:rsid w:val="00954610"/>
    <w:rsid w:val="00995C34"/>
    <w:rsid w:val="009B63DC"/>
    <w:rsid w:val="009D0A9E"/>
    <w:rsid w:val="009E1938"/>
    <w:rsid w:val="00A44073"/>
    <w:rsid w:val="00A500E5"/>
    <w:rsid w:val="00A62F8C"/>
    <w:rsid w:val="00A72A97"/>
    <w:rsid w:val="00AF0D44"/>
    <w:rsid w:val="00B30B5F"/>
    <w:rsid w:val="00B46718"/>
    <w:rsid w:val="00B876BE"/>
    <w:rsid w:val="00BA27E8"/>
    <w:rsid w:val="00BA6104"/>
    <w:rsid w:val="00BC0D88"/>
    <w:rsid w:val="00BF365F"/>
    <w:rsid w:val="00BF4675"/>
    <w:rsid w:val="00C13367"/>
    <w:rsid w:val="00C2764C"/>
    <w:rsid w:val="00C42950"/>
    <w:rsid w:val="00C5580C"/>
    <w:rsid w:val="00C6238D"/>
    <w:rsid w:val="00C842DD"/>
    <w:rsid w:val="00CB39E1"/>
    <w:rsid w:val="00CE4CFC"/>
    <w:rsid w:val="00CF6AC6"/>
    <w:rsid w:val="00D16B2C"/>
    <w:rsid w:val="00D26EE5"/>
    <w:rsid w:val="00DE0015"/>
    <w:rsid w:val="00E07890"/>
    <w:rsid w:val="00E27263"/>
    <w:rsid w:val="00E35F38"/>
    <w:rsid w:val="00E80FC9"/>
    <w:rsid w:val="00E86DE0"/>
    <w:rsid w:val="00EA50E0"/>
    <w:rsid w:val="00EC078F"/>
    <w:rsid w:val="00EC0848"/>
    <w:rsid w:val="00EC0988"/>
    <w:rsid w:val="00ED4124"/>
    <w:rsid w:val="00F46C17"/>
    <w:rsid w:val="00F85D19"/>
    <w:rsid w:val="00F962B9"/>
    <w:rsid w:val="03E45ED0"/>
    <w:rsid w:val="04506345"/>
    <w:rsid w:val="088D51BC"/>
    <w:rsid w:val="093C4F96"/>
    <w:rsid w:val="0A4D36F5"/>
    <w:rsid w:val="0C0D7D82"/>
    <w:rsid w:val="0C6DFC0B"/>
    <w:rsid w:val="0FA59CCD"/>
    <w:rsid w:val="0FE9DB20"/>
    <w:rsid w:val="109863A1"/>
    <w:rsid w:val="1585F940"/>
    <w:rsid w:val="182F88D7"/>
    <w:rsid w:val="188A4D29"/>
    <w:rsid w:val="19824F1C"/>
    <w:rsid w:val="1BDC1267"/>
    <w:rsid w:val="1C9201A8"/>
    <w:rsid w:val="1E27DDBC"/>
    <w:rsid w:val="1E400252"/>
    <w:rsid w:val="20B36F1D"/>
    <w:rsid w:val="2324F262"/>
    <w:rsid w:val="23536EE7"/>
    <w:rsid w:val="261FBB91"/>
    <w:rsid w:val="281A3848"/>
    <w:rsid w:val="28BA956F"/>
    <w:rsid w:val="299F2061"/>
    <w:rsid w:val="2AED3867"/>
    <w:rsid w:val="2BF2C05A"/>
    <w:rsid w:val="2F8F88BB"/>
    <w:rsid w:val="385AFBB4"/>
    <w:rsid w:val="3A3D9E72"/>
    <w:rsid w:val="3F445105"/>
    <w:rsid w:val="48AC5C0F"/>
    <w:rsid w:val="4AB53A8C"/>
    <w:rsid w:val="4BF09792"/>
    <w:rsid w:val="4D5ECA23"/>
    <w:rsid w:val="4DDF975A"/>
    <w:rsid w:val="511303FA"/>
    <w:rsid w:val="518A2DD8"/>
    <w:rsid w:val="5821855A"/>
    <w:rsid w:val="59B24579"/>
    <w:rsid w:val="5A453AB1"/>
    <w:rsid w:val="5B4641D8"/>
    <w:rsid w:val="5F8670A1"/>
    <w:rsid w:val="5FB73825"/>
    <w:rsid w:val="60AEC456"/>
    <w:rsid w:val="63678BEE"/>
    <w:rsid w:val="6468B60C"/>
    <w:rsid w:val="67B041D6"/>
    <w:rsid w:val="697089FD"/>
    <w:rsid w:val="6C6C17AA"/>
    <w:rsid w:val="6D1C129E"/>
    <w:rsid w:val="6DBD9EDF"/>
    <w:rsid w:val="6E07E80B"/>
    <w:rsid w:val="701CDAB2"/>
    <w:rsid w:val="7053B360"/>
    <w:rsid w:val="71B8AB13"/>
    <w:rsid w:val="72C92238"/>
    <w:rsid w:val="72D31BBA"/>
    <w:rsid w:val="75A2E41C"/>
    <w:rsid w:val="7600C2FA"/>
    <w:rsid w:val="76E2BC66"/>
    <w:rsid w:val="7751D6E4"/>
    <w:rsid w:val="78EDA745"/>
    <w:rsid w:val="7CE7ED3C"/>
    <w:rsid w:val="7D704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D931B"/>
  <w14:defaultImageDpi w14:val="300"/>
  <w15:chartTrackingRefBased/>
  <w15:docId w15:val="{1CF76892-6726-4FA1-8DE2-E807EA70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7F5920"/>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7F5920"/>
    <w:pPr>
      <w:jc w:val="center"/>
    </w:pPr>
    <w:rPr>
      <w:rFonts w:ascii="Times New Roman" w:eastAsia="Times New Roman" w:hAnsi="Times New Roman" w:cs="Arial"/>
      <w:b/>
      <w:sz w:val="28"/>
      <w:szCs w:val="28"/>
      <w:lang w:eastAsia="es-MX"/>
    </w:rPr>
  </w:style>
  <w:style w:type="paragraph" w:customStyle="1" w:styleId="ANOTACION">
    <w:name w:val="ANOTACION"/>
    <w:basedOn w:val="Normal"/>
    <w:link w:val="ANOTACIONCar"/>
    <w:rsid w:val="007F5920"/>
    <w:pPr>
      <w:spacing w:before="101" w:after="101" w:line="216" w:lineRule="atLeast"/>
      <w:jc w:val="center"/>
    </w:pPr>
    <w:rPr>
      <w:rFonts w:ascii="Times New Roman" w:eastAsia="Times New Roman" w:hAnsi="Times New Roman"/>
      <w:b/>
      <w:sz w:val="18"/>
      <w:szCs w:val="20"/>
    </w:rPr>
  </w:style>
  <w:style w:type="paragraph" w:customStyle="1" w:styleId="Titulo1">
    <w:name w:val="Titulo 1"/>
    <w:basedOn w:val="Texto"/>
    <w:rsid w:val="007F592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7F5920"/>
    <w:pPr>
      <w:pBdr>
        <w:top w:val="double" w:sz="6" w:space="1" w:color="auto"/>
      </w:pBdr>
      <w:spacing w:line="240" w:lineRule="auto"/>
      <w:ind w:firstLine="0"/>
      <w:outlineLvl w:val="1"/>
    </w:pPr>
  </w:style>
  <w:style w:type="character" w:customStyle="1" w:styleId="TextoCar">
    <w:name w:val="Texto Car"/>
    <w:link w:val="Texto"/>
    <w:locked/>
    <w:rsid w:val="007F5920"/>
    <w:rPr>
      <w:rFonts w:ascii="Arial" w:eastAsia="Times New Roman" w:hAnsi="Arial" w:cs="Arial"/>
      <w:sz w:val="18"/>
      <w:lang w:eastAsia="es-ES"/>
    </w:rPr>
  </w:style>
  <w:style w:type="character" w:customStyle="1" w:styleId="ANOTACIONCar">
    <w:name w:val="ANOTACION Car"/>
    <w:link w:val="ANOTACION"/>
    <w:locked/>
    <w:rsid w:val="007F5920"/>
    <w:rPr>
      <w:rFonts w:ascii="Times New Roman" w:eastAsia="Times New Roman" w:hAnsi="Times New Roman"/>
      <w:b/>
      <w:sz w:val="18"/>
      <w:lang w:val="es-ES_tradnl" w:eastAsia="es-ES"/>
    </w:rPr>
  </w:style>
  <w:style w:type="character" w:styleId="Hipervnculo">
    <w:name w:val="Hyperlink"/>
    <w:uiPriority w:val="99"/>
    <w:unhideWhenUsed/>
    <w:rsid w:val="007F5920"/>
    <w:rPr>
      <w:color w:val="0563C1"/>
      <w:u w:val="singl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s-ES_tradnl" w:eastAsia="es-ES"/>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BA27E8"/>
    <w:rPr>
      <w:color w:val="954F72" w:themeColor="followedHyperlink"/>
      <w:u w:val="single"/>
    </w:rPr>
  </w:style>
  <w:style w:type="character" w:styleId="Mencinsinresolver">
    <w:name w:val="Unresolved Mention"/>
    <w:basedOn w:val="Fuentedeprrafopredeter"/>
    <w:uiPriority w:val="99"/>
    <w:semiHidden/>
    <w:unhideWhenUsed/>
    <w:rsid w:val="00BA27E8"/>
    <w:rPr>
      <w:color w:val="605E5C"/>
      <w:shd w:val="clear" w:color="auto" w:fill="E1DFDD"/>
    </w:rPr>
  </w:style>
  <w:style w:type="paragraph" w:styleId="Revisin">
    <w:name w:val="Revision"/>
    <w:hidden/>
    <w:uiPriority w:val="71"/>
    <w:rsid w:val="006C04CF"/>
    <w:rPr>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83A0B"/>
    <w:rPr>
      <w:b/>
      <w:bCs/>
    </w:rPr>
  </w:style>
  <w:style w:type="character" w:customStyle="1" w:styleId="AsuntodelcomentarioCar">
    <w:name w:val="Asunto del comentario Car"/>
    <w:basedOn w:val="TextocomentarioCar"/>
    <w:link w:val="Asuntodelcomentario"/>
    <w:uiPriority w:val="99"/>
    <w:semiHidden/>
    <w:rsid w:val="00083A0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0116">
      <w:bodyDiv w:val="1"/>
      <w:marLeft w:val="0"/>
      <w:marRight w:val="0"/>
      <w:marTop w:val="0"/>
      <w:marBottom w:val="0"/>
      <w:divBdr>
        <w:top w:val="none" w:sz="0" w:space="0" w:color="auto"/>
        <w:left w:val="none" w:sz="0" w:space="0" w:color="auto"/>
        <w:bottom w:val="none" w:sz="0" w:space="0" w:color="auto"/>
        <w:right w:val="none" w:sz="0" w:space="0" w:color="auto"/>
      </w:divBdr>
      <w:divsChild>
        <w:div w:id="194657882">
          <w:marLeft w:val="0"/>
          <w:marRight w:val="0"/>
          <w:marTop w:val="101"/>
          <w:marBottom w:val="101"/>
          <w:divBdr>
            <w:top w:val="none" w:sz="0" w:space="0" w:color="auto"/>
            <w:left w:val="none" w:sz="0" w:space="0" w:color="auto"/>
            <w:bottom w:val="none" w:sz="0" w:space="0" w:color="auto"/>
            <w:right w:val="none" w:sz="0" w:space="0" w:color="auto"/>
          </w:divBdr>
        </w:div>
        <w:div w:id="231670519">
          <w:marLeft w:val="0"/>
          <w:marRight w:val="0"/>
          <w:marTop w:val="0"/>
          <w:marBottom w:val="101"/>
          <w:divBdr>
            <w:top w:val="none" w:sz="0" w:space="0" w:color="auto"/>
            <w:left w:val="none" w:sz="0" w:space="0" w:color="auto"/>
            <w:bottom w:val="none" w:sz="0" w:space="0" w:color="auto"/>
            <w:right w:val="none" w:sz="0" w:space="0" w:color="auto"/>
          </w:divBdr>
        </w:div>
        <w:div w:id="1439253765">
          <w:marLeft w:val="0"/>
          <w:marRight w:val="0"/>
          <w:marTop w:val="0"/>
          <w:marBottom w:val="101"/>
          <w:divBdr>
            <w:top w:val="none" w:sz="0" w:space="0" w:color="auto"/>
            <w:left w:val="none" w:sz="0" w:space="0" w:color="auto"/>
            <w:bottom w:val="none" w:sz="0" w:space="0" w:color="auto"/>
            <w:right w:val="none" w:sz="0" w:space="0" w:color="auto"/>
          </w:divBdr>
        </w:div>
        <w:div w:id="2092118762">
          <w:marLeft w:val="0"/>
          <w:marRight w:val="0"/>
          <w:marTop w:val="0"/>
          <w:marBottom w:val="101"/>
          <w:divBdr>
            <w:top w:val="none" w:sz="0" w:space="0" w:color="auto"/>
            <w:left w:val="none" w:sz="0" w:space="0" w:color="auto"/>
            <w:bottom w:val="none" w:sz="0" w:space="0" w:color="auto"/>
            <w:right w:val="none" w:sz="0" w:space="0" w:color="auto"/>
          </w:divBdr>
        </w:div>
        <w:div w:id="1438600231">
          <w:marLeft w:val="0"/>
          <w:marRight w:val="0"/>
          <w:marTop w:val="0"/>
          <w:marBottom w:val="101"/>
          <w:divBdr>
            <w:top w:val="none" w:sz="0" w:space="0" w:color="auto"/>
            <w:left w:val="none" w:sz="0" w:space="0" w:color="auto"/>
            <w:bottom w:val="none" w:sz="0" w:space="0" w:color="auto"/>
            <w:right w:val="none" w:sz="0" w:space="0" w:color="auto"/>
          </w:divBdr>
        </w:div>
        <w:div w:id="577592652">
          <w:marLeft w:val="0"/>
          <w:marRight w:val="0"/>
          <w:marTop w:val="0"/>
          <w:marBottom w:val="101"/>
          <w:divBdr>
            <w:top w:val="none" w:sz="0" w:space="0" w:color="auto"/>
            <w:left w:val="none" w:sz="0" w:space="0" w:color="auto"/>
            <w:bottom w:val="none" w:sz="0" w:space="0" w:color="auto"/>
            <w:right w:val="none" w:sz="0" w:space="0" w:color="auto"/>
          </w:divBdr>
        </w:div>
        <w:div w:id="1076636064">
          <w:marLeft w:val="0"/>
          <w:marRight w:val="0"/>
          <w:marTop w:val="0"/>
          <w:marBottom w:val="101"/>
          <w:divBdr>
            <w:top w:val="none" w:sz="0" w:space="0" w:color="auto"/>
            <w:left w:val="none" w:sz="0" w:space="0" w:color="auto"/>
            <w:bottom w:val="none" w:sz="0" w:space="0" w:color="auto"/>
            <w:right w:val="none" w:sz="0" w:space="0" w:color="auto"/>
          </w:divBdr>
        </w:div>
        <w:div w:id="1657102648">
          <w:marLeft w:val="0"/>
          <w:marRight w:val="0"/>
          <w:marTop w:val="101"/>
          <w:marBottom w:val="101"/>
          <w:divBdr>
            <w:top w:val="none" w:sz="0" w:space="0" w:color="auto"/>
            <w:left w:val="none" w:sz="0" w:space="0" w:color="auto"/>
            <w:bottom w:val="none" w:sz="0" w:space="0" w:color="auto"/>
            <w:right w:val="none" w:sz="0" w:space="0" w:color="auto"/>
          </w:divBdr>
        </w:div>
        <w:div w:id="1199927111">
          <w:marLeft w:val="0"/>
          <w:marRight w:val="0"/>
          <w:marTop w:val="0"/>
          <w:marBottom w:val="101"/>
          <w:divBdr>
            <w:top w:val="none" w:sz="0" w:space="0" w:color="auto"/>
            <w:left w:val="none" w:sz="0" w:space="0" w:color="auto"/>
            <w:bottom w:val="none" w:sz="0" w:space="0" w:color="auto"/>
            <w:right w:val="none" w:sz="0" w:space="0" w:color="auto"/>
          </w:divBdr>
        </w:div>
        <w:div w:id="793250971">
          <w:marLeft w:val="0"/>
          <w:marRight w:val="0"/>
          <w:marTop w:val="0"/>
          <w:marBottom w:val="101"/>
          <w:divBdr>
            <w:top w:val="none" w:sz="0" w:space="0" w:color="auto"/>
            <w:left w:val="none" w:sz="0" w:space="0" w:color="auto"/>
            <w:bottom w:val="none" w:sz="0" w:space="0" w:color="auto"/>
            <w:right w:val="none" w:sz="0" w:space="0" w:color="auto"/>
          </w:divBdr>
        </w:div>
        <w:div w:id="406421047">
          <w:marLeft w:val="0"/>
          <w:marRight w:val="0"/>
          <w:marTop w:val="0"/>
          <w:marBottom w:val="101"/>
          <w:divBdr>
            <w:top w:val="none" w:sz="0" w:space="0" w:color="auto"/>
            <w:left w:val="none" w:sz="0" w:space="0" w:color="auto"/>
            <w:bottom w:val="none" w:sz="0" w:space="0" w:color="auto"/>
            <w:right w:val="none" w:sz="0" w:space="0" w:color="auto"/>
          </w:divBdr>
        </w:div>
        <w:div w:id="1040204931">
          <w:marLeft w:val="0"/>
          <w:marRight w:val="0"/>
          <w:marTop w:val="0"/>
          <w:marBottom w:val="101"/>
          <w:divBdr>
            <w:top w:val="none" w:sz="0" w:space="0" w:color="auto"/>
            <w:left w:val="none" w:sz="0" w:space="0" w:color="auto"/>
            <w:bottom w:val="none" w:sz="0" w:space="0" w:color="auto"/>
            <w:right w:val="none" w:sz="0" w:space="0" w:color="auto"/>
          </w:divBdr>
        </w:div>
        <w:div w:id="1858930505">
          <w:marLeft w:val="0"/>
          <w:marRight w:val="0"/>
          <w:marTop w:val="0"/>
          <w:marBottom w:val="101"/>
          <w:divBdr>
            <w:top w:val="none" w:sz="0" w:space="0" w:color="auto"/>
            <w:left w:val="none" w:sz="0" w:space="0" w:color="auto"/>
            <w:bottom w:val="none" w:sz="0" w:space="0" w:color="auto"/>
            <w:right w:val="none" w:sz="0" w:space="0" w:color="auto"/>
          </w:divBdr>
        </w:div>
        <w:div w:id="316225052">
          <w:marLeft w:val="0"/>
          <w:marRight w:val="0"/>
          <w:marTop w:val="0"/>
          <w:marBottom w:val="101"/>
          <w:divBdr>
            <w:top w:val="none" w:sz="0" w:space="0" w:color="auto"/>
            <w:left w:val="none" w:sz="0" w:space="0" w:color="auto"/>
            <w:bottom w:val="none" w:sz="0" w:space="0" w:color="auto"/>
            <w:right w:val="none" w:sz="0" w:space="0" w:color="auto"/>
          </w:divBdr>
        </w:div>
        <w:div w:id="1597013026">
          <w:marLeft w:val="1008"/>
          <w:marRight w:val="720"/>
          <w:marTop w:val="0"/>
          <w:marBottom w:val="101"/>
          <w:divBdr>
            <w:top w:val="none" w:sz="0" w:space="0" w:color="auto"/>
            <w:left w:val="none" w:sz="0" w:space="0" w:color="auto"/>
            <w:bottom w:val="none" w:sz="0" w:space="0" w:color="auto"/>
            <w:right w:val="none" w:sz="0" w:space="0" w:color="auto"/>
          </w:divBdr>
        </w:div>
        <w:div w:id="1640181569">
          <w:marLeft w:val="1008"/>
          <w:marRight w:val="720"/>
          <w:marTop w:val="0"/>
          <w:marBottom w:val="101"/>
          <w:divBdr>
            <w:top w:val="none" w:sz="0" w:space="0" w:color="auto"/>
            <w:left w:val="none" w:sz="0" w:space="0" w:color="auto"/>
            <w:bottom w:val="none" w:sz="0" w:space="0" w:color="auto"/>
            <w:right w:val="none" w:sz="0" w:space="0" w:color="auto"/>
          </w:divBdr>
        </w:div>
        <w:div w:id="1576083713">
          <w:marLeft w:val="1008"/>
          <w:marRight w:val="720"/>
          <w:marTop w:val="0"/>
          <w:marBottom w:val="101"/>
          <w:divBdr>
            <w:top w:val="none" w:sz="0" w:space="0" w:color="auto"/>
            <w:left w:val="none" w:sz="0" w:space="0" w:color="auto"/>
            <w:bottom w:val="none" w:sz="0" w:space="0" w:color="auto"/>
            <w:right w:val="none" w:sz="0" w:space="0" w:color="auto"/>
          </w:divBdr>
        </w:div>
        <w:div w:id="1044908934">
          <w:marLeft w:val="1008"/>
          <w:marRight w:val="720"/>
          <w:marTop w:val="0"/>
          <w:marBottom w:val="101"/>
          <w:divBdr>
            <w:top w:val="none" w:sz="0" w:space="0" w:color="auto"/>
            <w:left w:val="none" w:sz="0" w:space="0" w:color="auto"/>
            <w:bottom w:val="none" w:sz="0" w:space="0" w:color="auto"/>
            <w:right w:val="none" w:sz="0" w:space="0" w:color="auto"/>
          </w:divBdr>
        </w:div>
        <w:div w:id="763261683">
          <w:marLeft w:val="1008"/>
          <w:marRight w:val="720"/>
          <w:marTop w:val="0"/>
          <w:marBottom w:val="101"/>
          <w:divBdr>
            <w:top w:val="none" w:sz="0" w:space="0" w:color="auto"/>
            <w:left w:val="none" w:sz="0" w:space="0" w:color="auto"/>
            <w:bottom w:val="none" w:sz="0" w:space="0" w:color="auto"/>
            <w:right w:val="none" w:sz="0" w:space="0" w:color="auto"/>
          </w:divBdr>
        </w:div>
        <w:div w:id="2072381118">
          <w:marLeft w:val="1008"/>
          <w:marRight w:val="720"/>
          <w:marTop w:val="0"/>
          <w:marBottom w:val="101"/>
          <w:divBdr>
            <w:top w:val="none" w:sz="0" w:space="0" w:color="auto"/>
            <w:left w:val="none" w:sz="0" w:space="0" w:color="auto"/>
            <w:bottom w:val="none" w:sz="0" w:space="0" w:color="auto"/>
            <w:right w:val="none" w:sz="0" w:space="0" w:color="auto"/>
          </w:divBdr>
        </w:div>
        <w:div w:id="1031880014">
          <w:marLeft w:val="1008"/>
          <w:marRight w:val="720"/>
          <w:marTop w:val="0"/>
          <w:marBottom w:val="101"/>
          <w:divBdr>
            <w:top w:val="none" w:sz="0" w:space="0" w:color="auto"/>
            <w:left w:val="none" w:sz="0" w:space="0" w:color="auto"/>
            <w:bottom w:val="none" w:sz="0" w:space="0" w:color="auto"/>
            <w:right w:val="none" w:sz="0" w:space="0" w:color="auto"/>
          </w:divBdr>
        </w:div>
        <w:div w:id="56243743">
          <w:marLeft w:val="1008"/>
          <w:marRight w:val="720"/>
          <w:marTop w:val="0"/>
          <w:marBottom w:val="101"/>
          <w:divBdr>
            <w:top w:val="none" w:sz="0" w:space="0" w:color="auto"/>
            <w:left w:val="none" w:sz="0" w:space="0" w:color="auto"/>
            <w:bottom w:val="none" w:sz="0" w:space="0" w:color="auto"/>
            <w:right w:val="none" w:sz="0" w:space="0" w:color="auto"/>
          </w:divBdr>
        </w:div>
        <w:div w:id="1416896012">
          <w:marLeft w:val="1008"/>
          <w:marRight w:val="720"/>
          <w:marTop w:val="0"/>
          <w:marBottom w:val="101"/>
          <w:divBdr>
            <w:top w:val="none" w:sz="0" w:space="0" w:color="auto"/>
            <w:left w:val="none" w:sz="0" w:space="0" w:color="auto"/>
            <w:bottom w:val="none" w:sz="0" w:space="0" w:color="auto"/>
            <w:right w:val="none" w:sz="0" w:space="0" w:color="auto"/>
          </w:divBdr>
        </w:div>
        <w:div w:id="1444617037">
          <w:marLeft w:val="1008"/>
          <w:marRight w:val="720"/>
          <w:marTop w:val="0"/>
          <w:marBottom w:val="101"/>
          <w:divBdr>
            <w:top w:val="none" w:sz="0" w:space="0" w:color="auto"/>
            <w:left w:val="none" w:sz="0" w:space="0" w:color="auto"/>
            <w:bottom w:val="none" w:sz="0" w:space="0" w:color="auto"/>
            <w:right w:val="none" w:sz="0" w:space="0" w:color="auto"/>
          </w:divBdr>
        </w:div>
        <w:div w:id="1526869278">
          <w:marLeft w:val="1008"/>
          <w:marRight w:val="720"/>
          <w:marTop w:val="0"/>
          <w:marBottom w:val="101"/>
          <w:divBdr>
            <w:top w:val="none" w:sz="0" w:space="0" w:color="auto"/>
            <w:left w:val="none" w:sz="0" w:space="0" w:color="auto"/>
            <w:bottom w:val="none" w:sz="0" w:space="0" w:color="auto"/>
            <w:right w:val="none" w:sz="0" w:space="0" w:color="auto"/>
          </w:divBdr>
        </w:div>
        <w:div w:id="1569456298">
          <w:marLeft w:val="1008"/>
          <w:marRight w:val="720"/>
          <w:marTop w:val="0"/>
          <w:marBottom w:val="101"/>
          <w:divBdr>
            <w:top w:val="none" w:sz="0" w:space="0" w:color="auto"/>
            <w:left w:val="none" w:sz="0" w:space="0" w:color="auto"/>
            <w:bottom w:val="none" w:sz="0" w:space="0" w:color="auto"/>
            <w:right w:val="none" w:sz="0" w:space="0" w:color="auto"/>
          </w:divBdr>
        </w:div>
        <w:div w:id="74055911">
          <w:marLeft w:val="3510"/>
          <w:marRight w:val="0"/>
          <w:marTop w:val="0"/>
          <w:marBottom w:val="101"/>
          <w:divBdr>
            <w:top w:val="none" w:sz="0" w:space="0" w:color="auto"/>
            <w:left w:val="none" w:sz="0" w:space="0" w:color="auto"/>
            <w:bottom w:val="none" w:sz="0" w:space="0" w:color="auto"/>
            <w:right w:val="none" w:sz="0" w:space="0" w:color="auto"/>
          </w:divBdr>
        </w:div>
        <w:div w:id="585654838">
          <w:marLeft w:val="3510"/>
          <w:marRight w:val="0"/>
          <w:marTop w:val="0"/>
          <w:marBottom w:val="101"/>
          <w:divBdr>
            <w:top w:val="none" w:sz="0" w:space="0" w:color="auto"/>
            <w:left w:val="none" w:sz="0" w:space="0" w:color="auto"/>
            <w:bottom w:val="none" w:sz="0" w:space="0" w:color="auto"/>
            <w:right w:val="none" w:sz="0" w:space="0" w:color="auto"/>
          </w:divBdr>
        </w:div>
        <w:div w:id="1658223212">
          <w:marLeft w:val="3510"/>
          <w:marRight w:val="0"/>
          <w:marTop w:val="0"/>
          <w:marBottom w:val="101"/>
          <w:divBdr>
            <w:top w:val="none" w:sz="0" w:space="0" w:color="auto"/>
            <w:left w:val="none" w:sz="0" w:space="0" w:color="auto"/>
            <w:bottom w:val="none" w:sz="0" w:space="0" w:color="auto"/>
            <w:right w:val="none" w:sz="0" w:space="0" w:color="auto"/>
          </w:divBdr>
        </w:div>
        <w:div w:id="766658072">
          <w:marLeft w:val="3510"/>
          <w:marRight w:val="0"/>
          <w:marTop w:val="0"/>
          <w:marBottom w:val="101"/>
          <w:divBdr>
            <w:top w:val="none" w:sz="0" w:space="0" w:color="auto"/>
            <w:left w:val="none" w:sz="0" w:space="0" w:color="auto"/>
            <w:bottom w:val="none" w:sz="0" w:space="0" w:color="auto"/>
            <w:right w:val="none" w:sz="0" w:space="0" w:color="auto"/>
          </w:divBdr>
        </w:div>
        <w:div w:id="515271592">
          <w:marLeft w:val="3510"/>
          <w:marRight w:val="0"/>
          <w:marTop w:val="0"/>
          <w:marBottom w:val="101"/>
          <w:divBdr>
            <w:top w:val="none" w:sz="0" w:space="0" w:color="auto"/>
            <w:left w:val="none" w:sz="0" w:space="0" w:color="auto"/>
            <w:bottom w:val="none" w:sz="0" w:space="0" w:color="auto"/>
            <w:right w:val="none" w:sz="0" w:space="0" w:color="auto"/>
          </w:divBdr>
        </w:div>
        <w:div w:id="849099690">
          <w:marLeft w:val="0"/>
          <w:marRight w:val="0"/>
          <w:marTop w:val="0"/>
          <w:marBottom w:val="101"/>
          <w:divBdr>
            <w:top w:val="none" w:sz="0" w:space="0" w:color="auto"/>
            <w:left w:val="none" w:sz="0" w:space="0" w:color="auto"/>
            <w:bottom w:val="none" w:sz="0" w:space="0" w:color="auto"/>
            <w:right w:val="none" w:sz="0" w:space="0" w:color="auto"/>
          </w:divBdr>
        </w:div>
        <w:div w:id="2107769723">
          <w:marLeft w:val="0"/>
          <w:marRight w:val="0"/>
          <w:marTop w:val="0"/>
          <w:marBottom w:val="101"/>
          <w:divBdr>
            <w:top w:val="none" w:sz="0" w:space="0" w:color="auto"/>
            <w:left w:val="none" w:sz="0" w:space="0" w:color="auto"/>
            <w:bottom w:val="none" w:sz="0" w:space="0" w:color="auto"/>
            <w:right w:val="none" w:sz="0" w:space="0" w:color="auto"/>
          </w:divBdr>
        </w:div>
        <w:div w:id="543368857">
          <w:marLeft w:val="0"/>
          <w:marRight w:val="0"/>
          <w:marTop w:val="0"/>
          <w:marBottom w:val="101"/>
          <w:divBdr>
            <w:top w:val="none" w:sz="0" w:space="0" w:color="auto"/>
            <w:left w:val="none" w:sz="0" w:space="0" w:color="auto"/>
            <w:bottom w:val="none" w:sz="0" w:space="0" w:color="auto"/>
            <w:right w:val="none" w:sz="0" w:space="0" w:color="auto"/>
          </w:divBdr>
        </w:div>
        <w:div w:id="1456943598">
          <w:marLeft w:val="0"/>
          <w:marRight w:val="0"/>
          <w:marTop w:val="0"/>
          <w:marBottom w:val="101"/>
          <w:divBdr>
            <w:top w:val="none" w:sz="0" w:space="0" w:color="auto"/>
            <w:left w:val="none" w:sz="0" w:space="0" w:color="auto"/>
            <w:bottom w:val="none" w:sz="0" w:space="0" w:color="auto"/>
            <w:right w:val="none" w:sz="0" w:space="0" w:color="auto"/>
          </w:divBdr>
        </w:div>
        <w:div w:id="413935449">
          <w:marLeft w:val="0"/>
          <w:marRight w:val="0"/>
          <w:marTop w:val="0"/>
          <w:marBottom w:val="101"/>
          <w:divBdr>
            <w:top w:val="none" w:sz="0" w:space="0" w:color="auto"/>
            <w:left w:val="none" w:sz="0" w:space="0" w:color="auto"/>
            <w:bottom w:val="none" w:sz="0" w:space="0" w:color="auto"/>
            <w:right w:val="none" w:sz="0" w:space="0" w:color="auto"/>
          </w:divBdr>
        </w:div>
      </w:divsChild>
    </w:div>
    <w:div w:id="585892190">
      <w:bodyDiv w:val="1"/>
      <w:marLeft w:val="0"/>
      <w:marRight w:val="0"/>
      <w:marTop w:val="0"/>
      <w:marBottom w:val="0"/>
      <w:divBdr>
        <w:top w:val="none" w:sz="0" w:space="0" w:color="auto"/>
        <w:left w:val="none" w:sz="0" w:space="0" w:color="auto"/>
        <w:bottom w:val="none" w:sz="0" w:space="0" w:color="auto"/>
        <w:right w:val="none" w:sz="0" w:space="0" w:color="auto"/>
      </w:divBdr>
      <w:divsChild>
        <w:div w:id="584190039">
          <w:marLeft w:val="0"/>
          <w:marRight w:val="0"/>
          <w:marTop w:val="0"/>
          <w:marBottom w:val="101"/>
          <w:divBdr>
            <w:top w:val="none" w:sz="0" w:space="0" w:color="auto"/>
            <w:left w:val="none" w:sz="0" w:space="0" w:color="auto"/>
            <w:bottom w:val="none" w:sz="0" w:space="0" w:color="auto"/>
            <w:right w:val="none" w:sz="0" w:space="0" w:color="auto"/>
          </w:divBdr>
        </w:div>
        <w:div w:id="587619128">
          <w:marLeft w:val="0"/>
          <w:marRight w:val="0"/>
          <w:marTop w:val="0"/>
          <w:marBottom w:val="101"/>
          <w:divBdr>
            <w:top w:val="none" w:sz="0" w:space="0" w:color="auto"/>
            <w:left w:val="none" w:sz="0" w:space="0" w:color="auto"/>
            <w:bottom w:val="none" w:sz="0" w:space="0" w:color="auto"/>
            <w:right w:val="none" w:sz="0" w:space="0" w:color="auto"/>
          </w:divBdr>
        </w:div>
        <w:div w:id="2066029401">
          <w:marLeft w:val="0"/>
          <w:marRight w:val="0"/>
          <w:marTop w:val="0"/>
          <w:marBottom w:val="101"/>
          <w:divBdr>
            <w:top w:val="none" w:sz="0" w:space="0" w:color="auto"/>
            <w:left w:val="none" w:sz="0" w:space="0" w:color="auto"/>
            <w:bottom w:val="none" w:sz="0" w:space="0" w:color="auto"/>
            <w:right w:val="none" w:sz="0" w:space="0" w:color="auto"/>
          </w:divBdr>
        </w:div>
      </w:divsChild>
    </w:div>
    <w:div w:id="1744525882">
      <w:bodyDiv w:val="1"/>
      <w:marLeft w:val="0"/>
      <w:marRight w:val="0"/>
      <w:marTop w:val="0"/>
      <w:marBottom w:val="0"/>
      <w:divBdr>
        <w:top w:val="none" w:sz="0" w:space="0" w:color="auto"/>
        <w:left w:val="none" w:sz="0" w:space="0" w:color="auto"/>
        <w:bottom w:val="none" w:sz="0" w:space="0" w:color="auto"/>
        <w:right w:val="none" w:sz="0" w:space="0" w:color="auto"/>
      </w:divBdr>
      <w:divsChild>
        <w:div w:id="264192064">
          <w:marLeft w:val="0"/>
          <w:marRight w:val="0"/>
          <w:marTop w:val="0"/>
          <w:marBottom w:val="101"/>
          <w:divBdr>
            <w:top w:val="none" w:sz="0" w:space="0" w:color="auto"/>
            <w:left w:val="none" w:sz="0" w:space="0" w:color="auto"/>
            <w:bottom w:val="none" w:sz="0" w:space="0" w:color="auto"/>
            <w:right w:val="none" w:sz="0" w:space="0" w:color="auto"/>
          </w:divBdr>
        </w:div>
        <w:div w:id="961305482">
          <w:marLeft w:val="0"/>
          <w:marRight w:val="0"/>
          <w:marTop w:val="0"/>
          <w:marBottom w:val="101"/>
          <w:divBdr>
            <w:top w:val="none" w:sz="0" w:space="0" w:color="auto"/>
            <w:left w:val="none" w:sz="0" w:space="0" w:color="auto"/>
            <w:bottom w:val="none" w:sz="0" w:space="0" w:color="auto"/>
            <w:right w:val="none" w:sz="0" w:space="0" w:color="auto"/>
          </w:divBdr>
        </w:div>
        <w:div w:id="1782261973">
          <w:marLeft w:val="0"/>
          <w:marRight w:val="0"/>
          <w:marTop w:val="0"/>
          <w:marBottom w:val="101"/>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0C21-34AA-42A1-B318-7B4DFBE8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1966</Words>
  <Characters>10814</Characters>
  <Application>Microsoft Office Word</Application>
  <DocSecurity>0</DocSecurity>
  <Lines>90</Lines>
  <Paragraphs>25</Paragraphs>
  <ScaleCrop>false</ScaleCrop>
  <Company>manchitas</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Carolina Sanchez Alquicira</cp:lastModifiedBy>
  <cp:revision>2</cp:revision>
  <dcterms:created xsi:type="dcterms:W3CDTF">2024-05-29T19:31:00Z</dcterms:created>
  <dcterms:modified xsi:type="dcterms:W3CDTF">2024-05-29T19:31:00Z</dcterms:modified>
</cp:coreProperties>
</file>