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73" w:rsidRPr="00634773" w:rsidRDefault="002D74C6" w:rsidP="00634773">
      <w:pPr>
        <w:pStyle w:val="Ttulo1"/>
        <w:spacing w:after="240" w:line="240" w:lineRule="auto"/>
        <w:jc w:val="both"/>
        <w:rPr>
          <w:rFonts w:ascii="ITC Avant Garde" w:hAnsi="ITC Avant Garde"/>
          <w:b/>
          <w:color w:val="000000" w:themeColor="text1"/>
          <w:sz w:val="24"/>
          <w:szCs w:val="24"/>
          <w:lang w:eastAsia="es-MX"/>
        </w:rPr>
      </w:pPr>
      <w:r w:rsidRPr="00634773">
        <w:rPr>
          <w:rFonts w:ascii="ITC Avant Garde" w:hAnsi="ITC Avant Garde"/>
          <w:b/>
          <w:color w:val="000000" w:themeColor="text1"/>
          <w:sz w:val="24"/>
          <w:szCs w:val="24"/>
          <w:lang w:eastAsia="es-MX"/>
        </w:rPr>
        <w:t xml:space="preserve">RESOLUCIÓN MEDIANTE LA CUAL EL PLENO DEL INSTITUTO FEDERAL DE TELECOMUNICACIONES </w:t>
      </w:r>
      <w:r w:rsidR="00314DB0" w:rsidRPr="00634773">
        <w:rPr>
          <w:rFonts w:ascii="ITC Avant Garde" w:hAnsi="ITC Avant Garde"/>
          <w:b/>
          <w:color w:val="000000" w:themeColor="text1"/>
          <w:sz w:val="24"/>
          <w:szCs w:val="24"/>
          <w:lang w:eastAsia="es-MX"/>
        </w:rPr>
        <w:t>PRORROGA</w:t>
      </w:r>
      <w:r w:rsidRPr="00634773">
        <w:rPr>
          <w:rFonts w:ascii="ITC Avant Garde" w:hAnsi="ITC Avant Garde"/>
          <w:b/>
          <w:color w:val="000000" w:themeColor="text1"/>
          <w:sz w:val="24"/>
          <w:szCs w:val="24"/>
          <w:lang w:eastAsia="es-MX"/>
        </w:rPr>
        <w:t xml:space="preserve"> A TELÉFONOS DE MÉXICO, S.A.B. DE C.V., LA VIGENCIA DE LA CONCESIÓN PARA CONSTRUIR, INSTALAR, MANTENER, OPERAR Y EXPLOTAR UNA RED PÚBLICA TELEFÓNICA, OTORGADA EN SU FAVOR EL 10 DE AGOSTO DE 1990.</w:t>
      </w:r>
    </w:p>
    <w:p w:rsidR="00634773" w:rsidRPr="00634773" w:rsidRDefault="00B048BA" w:rsidP="00634773">
      <w:pPr>
        <w:pStyle w:val="Ttulo2"/>
        <w:spacing w:after="240"/>
        <w:jc w:val="center"/>
        <w:rPr>
          <w:rFonts w:ascii="ITC Avant Garde" w:hAnsi="ITC Avant Garde"/>
          <w:b/>
          <w:color w:val="000000" w:themeColor="text1"/>
          <w:sz w:val="22"/>
          <w:szCs w:val="22"/>
        </w:rPr>
      </w:pPr>
      <w:r w:rsidRPr="00634773">
        <w:rPr>
          <w:rFonts w:ascii="ITC Avant Garde" w:hAnsi="ITC Avant Garde"/>
          <w:b/>
          <w:color w:val="000000" w:themeColor="text1"/>
          <w:sz w:val="22"/>
          <w:szCs w:val="22"/>
        </w:rPr>
        <w:t>ANTECEDENTES</w:t>
      </w:r>
    </w:p>
    <w:p w:rsidR="00634773" w:rsidRPr="00634773" w:rsidRDefault="006D56DC" w:rsidP="00634773">
      <w:pPr>
        <w:numPr>
          <w:ilvl w:val="0"/>
          <w:numId w:val="1"/>
        </w:numPr>
        <w:spacing w:before="240" w:line="240" w:lineRule="auto"/>
        <w:ind w:left="567" w:hanging="567"/>
        <w:jc w:val="both"/>
        <w:rPr>
          <w:rFonts w:ascii="ITC Avant Garde" w:hAnsi="ITC Avant Garde"/>
          <w:bCs/>
          <w:color w:val="000000"/>
          <w:lang w:eastAsia="es-MX"/>
        </w:rPr>
      </w:pPr>
      <w:r w:rsidRPr="00634773">
        <w:rPr>
          <w:rFonts w:ascii="ITC Avant Garde" w:hAnsi="ITC Avant Garde"/>
          <w:b/>
          <w:bCs/>
          <w:color w:val="000000"/>
          <w:lang w:eastAsia="es-MX"/>
        </w:rPr>
        <w:t xml:space="preserve">Otorgamiento de la Concesión. </w:t>
      </w:r>
      <w:r w:rsidR="001D4DA7" w:rsidRPr="00634773">
        <w:rPr>
          <w:rFonts w:ascii="ITC Avant Garde" w:hAnsi="ITC Avant Garde"/>
          <w:bCs/>
          <w:color w:val="000000"/>
          <w:lang w:eastAsia="es-MX"/>
        </w:rPr>
        <w:t>El 10 de marzo de 1976,</w:t>
      </w:r>
      <w:r w:rsidR="001D4DA7" w:rsidRPr="00634773">
        <w:rPr>
          <w:rFonts w:ascii="ITC Avant Garde" w:hAnsi="ITC Avant Garde"/>
          <w:b/>
          <w:bCs/>
          <w:color w:val="000000"/>
          <w:lang w:eastAsia="es-MX"/>
        </w:rPr>
        <w:t xml:space="preserve"> </w:t>
      </w:r>
      <w:r w:rsidR="001D4DA7" w:rsidRPr="00634773">
        <w:rPr>
          <w:rFonts w:ascii="ITC Avant Garde" w:hAnsi="ITC Avant Garde"/>
          <w:bCs/>
          <w:color w:val="000000"/>
          <w:lang w:eastAsia="es-MX"/>
        </w:rPr>
        <w:t>l</w:t>
      </w:r>
      <w:r w:rsidRPr="00634773">
        <w:rPr>
          <w:rFonts w:ascii="ITC Avant Garde" w:hAnsi="ITC Avant Garde"/>
          <w:bCs/>
          <w:color w:val="000000"/>
          <w:lang w:eastAsia="es-MX"/>
        </w:rPr>
        <w:t xml:space="preserve">a Secretaría de Comunicaciones y Transportes (la “Secretaría”), otorgó a la entonces empresa </w:t>
      </w:r>
      <w:r w:rsidR="00B50AB5" w:rsidRPr="00634773">
        <w:rPr>
          <w:rFonts w:ascii="ITC Avant Garde" w:hAnsi="ITC Avant Garde"/>
          <w:bCs/>
          <w:color w:val="000000"/>
          <w:lang w:eastAsia="es-MX"/>
        </w:rPr>
        <w:t xml:space="preserve">de participación estatal </w:t>
      </w:r>
      <w:r w:rsidR="00824140" w:rsidRPr="00634773">
        <w:rPr>
          <w:rFonts w:ascii="ITC Avant Garde" w:hAnsi="ITC Avant Garde"/>
          <w:bCs/>
          <w:color w:val="000000"/>
          <w:lang w:eastAsia="es-MX"/>
        </w:rPr>
        <w:t xml:space="preserve">mayoritaria </w:t>
      </w:r>
      <w:r w:rsidR="00B50AB5" w:rsidRPr="00634773">
        <w:rPr>
          <w:rFonts w:ascii="ITC Avant Garde" w:hAnsi="ITC Avant Garde"/>
          <w:bCs/>
          <w:color w:val="000000"/>
          <w:lang w:eastAsia="es-MX"/>
        </w:rPr>
        <w:t>denominada</w:t>
      </w:r>
      <w:r w:rsidRPr="00634773">
        <w:rPr>
          <w:rFonts w:ascii="ITC Avant Garde" w:hAnsi="ITC Avant Garde"/>
          <w:bCs/>
          <w:color w:val="000000"/>
          <w:lang w:eastAsia="es-MX"/>
        </w:rPr>
        <w:t xml:space="preserve"> Teléfonos de México, S.A.</w:t>
      </w:r>
      <w:r w:rsidR="00824140" w:rsidRPr="00634773">
        <w:rPr>
          <w:rFonts w:ascii="ITC Avant Garde" w:hAnsi="ITC Avant Garde"/>
          <w:bCs/>
          <w:color w:val="000000"/>
          <w:lang w:eastAsia="es-MX"/>
        </w:rPr>
        <w:t>,</w:t>
      </w:r>
      <w:r w:rsidRPr="00634773">
        <w:rPr>
          <w:rFonts w:ascii="ITC Avant Garde" w:hAnsi="ITC Avant Garde"/>
          <w:bCs/>
          <w:color w:val="000000"/>
          <w:lang w:eastAsia="es-MX"/>
        </w:rPr>
        <w:t xml:space="preserve"> un título de concesión para construir, operar y ex</w:t>
      </w:r>
      <w:r w:rsidR="00B50AB5" w:rsidRPr="00634773">
        <w:rPr>
          <w:rFonts w:ascii="ITC Avant Garde" w:hAnsi="ITC Avant Garde"/>
          <w:bCs/>
          <w:color w:val="000000"/>
          <w:lang w:eastAsia="es-MX"/>
        </w:rPr>
        <w:t xml:space="preserve">plotar una red de servicio </w:t>
      </w:r>
      <w:r w:rsidRPr="00634773">
        <w:rPr>
          <w:rFonts w:ascii="ITC Avant Garde" w:hAnsi="ITC Avant Garde"/>
          <w:bCs/>
          <w:color w:val="000000"/>
          <w:lang w:eastAsia="es-MX"/>
        </w:rPr>
        <w:t>público</w:t>
      </w:r>
      <w:r w:rsidR="00B50AB5" w:rsidRPr="00634773">
        <w:rPr>
          <w:rFonts w:ascii="ITC Avant Garde" w:hAnsi="ITC Avant Garde"/>
          <w:bCs/>
          <w:color w:val="000000"/>
          <w:lang w:eastAsia="es-MX"/>
        </w:rPr>
        <w:t xml:space="preserve"> telefónico</w:t>
      </w:r>
      <w:r w:rsidRPr="00634773">
        <w:rPr>
          <w:rFonts w:ascii="ITC Avant Garde" w:hAnsi="ITC Avant Garde"/>
          <w:bCs/>
          <w:color w:val="000000"/>
          <w:lang w:eastAsia="es-MX"/>
        </w:rPr>
        <w:t>, con vigencia de 30 (treinta) años contados a partir de</w:t>
      </w:r>
      <w:r w:rsidR="001D4DA7" w:rsidRPr="00634773">
        <w:rPr>
          <w:rFonts w:ascii="ITC Avant Garde" w:hAnsi="ITC Avant Garde"/>
          <w:bCs/>
          <w:color w:val="000000"/>
          <w:lang w:eastAsia="es-MX"/>
        </w:rPr>
        <w:t xml:space="preserve"> su otorgamiento</w:t>
      </w:r>
      <w:r w:rsidR="007D7C3F" w:rsidRPr="00634773">
        <w:rPr>
          <w:rFonts w:ascii="ITC Avant Garde" w:hAnsi="ITC Avant Garde"/>
          <w:bCs/>
          <w:color w:val="000000"/>
          <w:lang w:eastAsia="es-MX"/>
        </w:rPr>
        <w:t>, mismo que fue publicado</w:t>
      </w:r>
      <w:r w:rsidR="00B50AB5" w:rsidRPr="00634773">
        <w:rPr>
          <w:rFonts w:ascii="ITC Avant Garde" w:hAnsi="ITC Avant Garde"/>
          <w:bCs/>
          <w:color w:val="000000"/>
          <w:lang w:eastAsia="es-MX"/>
        </w:rPr>
        <w:t xml:space="preserve"> en el Diario Oficial de la Federación el 31 de marzo de 1976.</w:t>
      </w:r>
    </w:p>
    <w:p w:rsidR="00634773" w:rsidRPr="00634773" w:rsidRDefault="0055278F" w:rsidP="00634773">
      <w:pPr>
        <w:spacing w:before="240" w:line="240" w:lineRule="auto"/>
        <w:ind w:left="567"/>
        <w:jc w:val="both"/>
        <w:rPr>
          <w:rFonts w:ascii="ITC Avant Garde" w:hAnsi="ITC Avant Garde"/>
          <w:bCs/>
          <w:color w:val="000000"/>
          <w:lang w:eastAsia="es-MX"/>
        </w:rPr>
      </w:pPr>
      <w:r w:rsidRPr="00634773">
        <w:rPr>
          <w:rFonts w:ascii="ITC Avant Garde" w:hAnsi="ITC Avant Garde"/>
          <w:bCs/>
          <w:color w:val="000000"/>
          <w:lang w:eastAsia="es-MX"/>
        </w:rPr>
        <w:t>La cláusula Trigésima</w:t>
      </w:r>
      <w:r w:rsidR="00B50AB5" w:rsidRPr="00634773">
        <w:rPr>
          <w:rFonts w:ascii="ITC Avant Garde" w:hAnsi="ITC Avant Garde"/>
          <w:bCs/>
          <w:color w:val="000000"/>
          <w:lang w:eastAsia="es-MX"/>
        </w:rPr>
        <w:t xml:space="preserve"> Novena</w:t>
      </w:r>
      <w:r w:rsidR="007D7C3F" w:rsidRPr="00634773">
        <w:rPr>
          <w:rFonts w:ascii="ITC Avant Garde" w:hAnsi="ITC Avant Garde"/>
          <w:bCs/>
          <w:color w:val="000000"/>
          <w:lang w:eastAsia="es-MX"/>
        </w:rPr>
        <w:t xml:space="preserve"> del citado título de concesión estableció que los términos y condiciones del mismo subsistirían mientras el Gobierno Federal participara mayoritariamente en el capital social de Teléfono</w:t>
      </w:r>
      <w:r w:rsidR="009A4D1A" w:rsidRPr="00634773">
        <w:rPr>
          <w:rFonts w:ascii="ITC Avant Garde" w:hAnsi="ITC Avant Garde"/>
          <w:bCs/>
          <w:color w:val="000000"/>
          <w:lang w:eastAsia="es-MX"/>
        </w:rPr>
        <w:t>s</w:t>
      </w:r>
      <w:r w:rsidR="007D7C3F" w:rsidRPr="00634773">
        <w:rPr>
          <w:rFonts w:ascii="ITC Avant Garde" w:hAnsi="ITC Avant Garde"/>
          <w:bCs/>
          <w:color w:val="000000"/>
          <w:lang w:eastAsia="es-MX"/>
        </w:rPr>
        <w:t xml:space="preserve"> de M</w:t>
      </w:r>
      <w:r w:rsidR="00074B1C" w:rsidRPr="00634773">
        <w:rPr>
          <w:rFonts w:ascii="ITC Avant Garde" w:hAnsi="ITC Avant Garde"/>
          <w:bCs/>
          <w:color w:val="000000"/>
          <w:lang w:eastAsia="es-MX"/>
        </w:rPr>
        <w:t xml:space="preserve">éxico, S.A. </w:t>
      </w:r>
      <w:r w:rsidR="006E14E6" w:rsidRPr="00634773">
        <w:rPr>
          <w:rFonts w:ascii="ITC Avant Garde" w:hAnsi="ITC Avant Garde"/>
          <w:bCs/>
          <w:color w:val="000000"/>
          <w:lang w:eastAsia="es-MX"/>
        </w:rPr>
        <w:t>C</w:t>
      </w:r>
      <w:r w:rsidR="00074B1C" w:rsidRPr="00634773">
        <w:rPr>
          <w:rFonts w:ascii="ITC Avant Garde" w:hAnsi="ITC Avant Garde"/>
          <w:bCs/>
          <w:color w:val="000000"/>
          <w:lang w:eastAsia="es-MX"/>
        </w:rPr>
        <w:t>abe mencionar que dicha empresa paraestatal cambió de régimen para quedar como Teléfonos de México, S.A de C.V.</w:t>
      </w:r>
    </w:p>
    <w:p w:rsidR="00634773" w:rsidRPr="00634773" w:rsidRDefault="00BE6747" w:rsidP="00634773">
      <w:pPr>
        <w:numPr>
          <w:ilvl w:val="0"/>
          <w:numId w:val="1"/>
        </w:numPr>
        <w:spacing w:before="240" w:line="240" w:lineRule="auto"/>
        <w:ind w:left="567" w:hanging="567"/>
        <w:jc w:val="both"/>
        <w:rPr>
          <w:rFonts w:ascii="ITC Avant Garde" w:hAnsi="ITC Avant Garde"/>
          <w:bCs/>
          <w:color w:val="000000"/>
          <w:lang w:eastAsia="es-MX"/>
        </w:rPr>
      </w:pPr>
      <w:r w:rsidRPr="00634773">
        <w:rPr>
          <w:rFonts w:ascii="ITC Avant Garde" w:hAnsi="ITC Avant Garde"/>
          <w:b/>
          <w:bCs/>
          <w:color w:val="000000"/>
          <w:lang w:eastAsia="es-MX"/>
        </w:rPr>
        <w:t>Modificación al Título de Concesión</w:t>
      </w:r>
      <w:r w:rsidR="00F57358" w:rsidRPr="00634773">
        <w:rPr>
          <w:rFonts w:ascii="ITC Avant Garde" w:hAnsi="ITC Avant Garde"/>
          <w:b/>
          <w:bCs/>
          <w:color w:val="000000"/>
          <w:lang w:eastAsia="es-MX"/>
        </w:rPr>
        <w:t>.</w:t>
      </w:r>
      <w:r w:rsidR="009A4D1A" w:rsidRPr="00634773">
        <w:rPr>
          <w:rFonts w:ascii="ITC Avant Garde" w:hAnsi="ITC Avant Garde"/>
          <w:bCs/>
          <w:color w:val="000000"/>
          <w:lang w:eastAsia="es-MX"/>
        </w:rPr>
        <w:t xml:space="preserve"> </w:t>
      </w:r>
      <w:r w:rsidR="00A747FA" w:rsidRPr="00634773">
        <w:rPr>
          <w:rFonts w:ascii="ITC Avant Garde" w:hAnsi="ITC Avant Garde"/>
          <w:bCs/>
          <w:color w:val="000000"/>
          <w:lang w:eastAsia="es-MX"/>
        </w:rPr>
        <w:t>Si bien la empresa paraestatal Teléfonos de México, S.A. de C.V.</w:t>
      </w:r>
      <w:r w:rsidR="00B952E7" w:rsidRPr="00634773">
        <w:rPr>
          <w:rFonts w:ascii="ITC Avant Garde" w:hAnsi="ITC Avant Garde"/>
          <w:bCs/>
          <w:color w:val="000000"/>
          <w:lang w:eastAsia="es-MX"/>
        </w:rPr>
        <w:t xml:space="preserve"> </w:t>
      </w:r>
      <w:r w:rsidR="00A747FA" w:rsidRPr="00634773">
        <w:rPr>
          <w:rFonts w:ascii="ITC Avant Garde" w:hAnsi="ITC Avant Garde"/>
          <w:bCs/>
          <w:color w:val="000000"/>
          <w:lang w:eastAsia="es-MX"/>
        </w:rPr>
        <w:t>logr</w:t>
      </w:r>
      <w:r w:rsidR="00CF3B19" w:rsidRPr="00634773">
        <w:rPr>
          <w:rFonts w:ascii="ITC Avant Garde" w:hAnsi="ITC Avant Garde"/>
          <w:bCs/>
          <w:color w:val="000000"/>
          <w:lang w:eastAsia="es-MX"/>
        </w:rPr>
        <w:t>ó</w:t>
      </w:r>
      <w:r w:rsidR="00A747FA" w:rsidRPr="00634773">
        <w:rPr>
          <w:rFonts w:ascii="ITC Avant Garde" w:hAnsi="ITC Avant Garde"/>
          <w:bCs/>
          <w:color w:val="000000"/>
          <w:lang w:eastAsia="es-MX"/>
        </w:rPr>
        <w:t xml:space="preserve"> expandir su red</w:t>
      </w:r>
      <w:r w:rsidR="0055278F" w:rsidRPr="00634773">
        <w:rPr>
          <w:rFonts w:ascii="ITC Avant Garde" w:hAnsi="ITC Avant Garde"/>
          <w:bCs/>
          <w:color w:val="000000"/>
          <w:lang w:eastAsia="es-MX"/>
        </w:rPr>
        <w:t xml:space="preserve"> entre 1976 y 1990</w:t>
      </w:r>
      <w:r w:rsidR="00A747FA" w:rsidRPr="00634773">
        <w:rPr>
          <w:rFonts w:ascii="ITC Avant Garde" w:hAnsi="ITC Avant Garde"/>
          <w:bCs/>
          <w:color w:val="000000"/>
          <w:lang w:eastAsia="es-MX"/>
        </w:rPr>
        <w:t>, dicha expansión resultaba insuficiente frente a las necesidades de la sociedad mexicana y los propósitos de crecimiento y modernización del país</w:t>
      </w:r>
      <w:r w:rsidR="00CF3B19" w:rsidRPr="00634773">
        <w:rPr>
          <w:rFonts w:ascii="ITC Avant Garde" w:hAnsi="ITC Avant Garde"/>
          <w:bCs/>
          <w:color w:val="000000"/>
          <w:lang w:eastAsia="es-MX"/>
        </w:rPr>
        <w:t xml:space="preserve"> en el sector telecomunicaciones</w:t>
      </w:r>
      <w:r w:rsidR="00A747FA" w:rsidRPr="00634773">
        <w:rPr>
          <w:rFonts w:ascii="ITC Avant Garde" w:hAnsi="ITC Avant Garde"/>
          <w:bCs/>
          <w:color w:val="000000"/>
          <w:lang w:eastAsia="es-MX"/>
        </w:rPr>
        <w:t xml:space="preserve">. </w:t>
      </w:r>
    </w:p>
    <w:p w:rsidR="00634773" w:rsidRPr="00634773" w:rsidRDefault="00A747FA" w:rsidP="00634773">
      <w:pPr>
        <w:spacing w:before="240" w:line="240" w:lineRule="auto"/>
        <w:ind w:left="567"/>
        <w:jc w:val="both"/>
        <w:rPr>
          <w:rFonts w:ascii="ITC Avant Garde" w:hAnsi="ITC Avant Garde"/>
          <w:bCs/>
          <w:color w:val="000000"/>
          <w:lang w:eastAsia="es-MX"/>
        </w:rPr>
      </w:pPr>
      <w:r w:rsidRPr="00634773">
        <w:rPr>
          <w:rFonts w:ascii="ITC Avant Garde" w:hAnsi="ITC Avant Garde"/>
          <w:bCs/>
          <w:color w:val="000000"/>
          <w:lang w:eastAsia="es-MX"/>
        </w:rPr>
        <w:t xml:space="preserve">Por lo anterior, se consideró indispensable abrir nuevas fuentes de financiamiento para modernizar la red de Teléfonos de México, S.A. de C.V., mediante una mayor participación de la inversión privada; con ello, el Estado Mexicano </w:t>
      </w:r>
      <w:r w:rsidR="0055278F" w:rsidRPr="00634773">
        <w:rPr>
          <w:rFonts w:ascii="ITC Avant Garde" w:hAnsi="ITC Avant Garde"/>
          <w:bCs/>
          <w:color w:val="000000"/>
          <w:lang w:eastAsia="es-MX"/>
        </w:rPr>
        <w:t xml:space="preserve">estaría en posibilidad de </w:t>
      </w:r>
      <w:r w:rsidRPr="00634773">
        <w:rPr>
          <w:rFonts w:ascii="ITC Avant Garde" w:hAnsi="ITC Avant Garde"/>
          <w:bCs/>
          <w:color w:val="000000"/>
          <w:lang w:eastAsia="es-MX"/>
        </w:rPr>
        <w:t>redistribu</w:t>
      </w:r>
      <w:r w:rsidR="0055278F" w:rsidRPr="00634773">
        <w:rPr>
          <w:rFonts w:ascii="ITC Avant Garde" w:hAnsi="ITC Avant Garde"/>
          <w:bCs/>
          <w:color w:val="000000"/>
          <w:lang w:eastAsia="es-MX"/>
        </w:rPr>
        <w:t>ir</w:t>
      </w:r>
      <w:r w:rsidR="007D00EB" w:rsidRPr="00634773">
        <w:rPr>
          <w:rFonts w:ascii="ITC Avant Garde" w:hAnsi="ITC Avant Garde"/>
          <w:bCs/>
          <w:color w:val="000000"/>
          <w:lang w:eastAsia="es-MX"/>
        </w:rPr>
        <w:t xml:space="preserve"> los</w:t>
      </w:r>
      <w:r w:rsidRPr="00634773">
        <w:rPr>
          <w:rFonts w:ascii="ITC Avant Garde" w:hAnsi="ITC Avant Garde"/>
          <w:bCs/>
          <w:color w:val="000000"/>
          <w:lang w:eastAsia="es-MX"/>
        </w:rPr>
        <w:t xml:space="preserve"> recursos</w:t>
      </w:r>
      <w:r w:rsidR="007D00EB" w:rsidRPr="00634773">
        <w:rPr>
          <w:rFonts w:ascii="ITC Avant Garde" w:hAnsi="ITC Avant Garde"/>
          <w:bCs/>
          <w:color w:val="000000"/>
          <w:lang w:eastAsia="es-MX"/>
        </w:rPr>
        <w:t xml:space="preserve"> públicos</w:t>
      </w:r>
      <w:r w:rsidRPr="00634773">
        <w:rPr>
          <w:rFonts w:ascii="ITC Avant Garde" w:hAnsi="ITC Avant Garde"/>
          <w:bCs/>
          <w:color w:val="000000"/>
          <w:lang w:eastAsia="es-MX"/>
        </w:rPr>
        <w:t xml:space="preserve"> </w:t>
      </w:r>
      <w:r w:rsidR="00BE0D6D" w:rsidRPr="00634773">
        <w:rPr>
          <w:rFonts w:ascii="ITC Avant Garde" w:hAnsi="ITC Avant Garde"/>
          <w:bCs/>
          <w:color w:val="000000"/>
          <w:lang w:eastAsia="es-MX"/>
        </w:rPr>
        <w:t xml:space="preserve">destinados al desarrollo de esta empresa concesionaria, </w:t>
      </w:r>
      <w:r w:rsidRPr="00634773">
        <w:rPr>
          <w:rFonts w:ascii="ITC Avant Garde" w:hAnsi="ITC Avant Garde"/>
          <w:bCs/>
          <w:color w:val="000000"/>
          <w:lang w:eastAsia="es-MX"/>
        </w:rPr>
        <w:t xml:space="preserve">en otros programas de infraestructura y desarrollo social. </w:t>
      </w:r>
    </w:p>
    <w:p w:rsidR="00A747FA" w:rsidRPr="00634773" w:rsidRDefault="00A747FA" w:rsidP="00634773">
      <w:pPr>
        <w:spacing w:before="240" w:line="240" w:lineRule="auto"/>
        <w:ind w:left="567"/>
        <w:jc w:val="both"/>
        <w:rPr>
          <w:rFonts w:ascii="ITC Avant Garde" w:hAnsi="ITC Avant Garde"/>
          <w:bCs/>
          <w:color w:val="000000"/>
          <w:lang w:eastAsia="es-MX"/>
        </w:rPr>
      </w:pPr>
      <w:r w:rsidRPr="00634773">
        <w:rPr>
          <w:rFonts w:ascii="ITC Avant Garde" w:hAnsi="ITC Avant Garde"/>
          <w:bCs/>
          <w:color w:val="000000"/>
          <w:lang w:eastAsia="es-MX"/>
        </w:rPr>
        <w:t>En virtud de lo anterior, el Gobierno Federal consideró conveniente dejar de tener participación mayoritaria en el capital social de Teléfonos de México, S.A. de C.V., por lo que atendiendo a lo establecido en la condición Trig</w:t>
      </w:r>
      <w:r w:rsidR="000E6A55" w:rsidRPr="00634773">
        <w:rPr>
          <w:rFonts w:ascii="ITC Avant Garde" w:hAnsi="ITC Avant Garde"/>
          <w:bCs/>
          <w:color w:val="000000"/>
          <w:lang w:eastAsia="es-MX"/>
        </w:rPr>
        <w:t>ésima</w:t>
      </w:r>
      <w:r w:rsidRPr="00634773">
        <w:rPr>
          <w:rFonts w:ascii="ITC Avant Garde" w:hAnsi="ITC Avant Garde"/>
          <w:bCs/>
          <w:color w:val="000000"/>
          <w:lang w:eastAsia="es-MX"/>
        </w:rPr>
        <w:t xml:space="preserve"> Novena del</w:t>
      </w:r>
      <w:r w:rsidR="000E6A55" w:rsidRPr="00634773">
        <w:rPr>
          <w:rFonts w:ascii="ITC Avant Garde" w:hAnsi="ITC Avant Garde"/>
          <w:bCs/>
          <w:color w:val="000000"/>
          <w:lang w:eastAsia="es-MX"/>
        </w:rPr>
        <w:t xml:space="preserve"> título de concesión señalado en el Antecedente I de la presente Resolución, determinó modificar los términos y condiciones origin</w:t>
      </w:r>
      <w:r w:rsidR="00BE0D6D" w:rsidRPr="00634773">
        <w:rPr>
          <w:rFonts w:ascii="ITC Avant Garde" w:hAnsi="ITC Avant Garde"/>
          <w:bCs/>
          <w:color w:val="000000"/>
          <w:lang w:eastAsia="es-MX"/>
        </w:rPr>
        <w:t>almente establecidos en el mismo</w:t>
      </w:r>
      <w:r w:rsidR="000E6A55" w:rsidRPr="00634773">
        <w:rPr>
          <w:rFonts w:ascii="ITC Avant Garde" w:hAnsi="ITC Avant Garde"/>
          <w:bCs/>
          <w:color w:val="000000"/>
          <w:lang w:eastAsia="es-MX"/>
        </w:rPr>
        <w:t>.</w:t>
      </w:r>
    </w:p>
    <w:p w:rsidR="00634773" w:rsidRPr="00634773" w:rsidRDefault="0055278F" w:rsidP="00634773">
      <w:pPr>
        <w:spacing w:before="240" w:line="240" w:lineRule="auto"/>
        <w:ind w:left="567"/>
        <w:jc w:val="both"/>
        <w:rPr>
          <w:rFonts w:ascii="ITC Avant Garde" w:hAnsi="ITC Avant Garde"/>
          <w:bCs/>
          <w:color w:val="000000"/>
          <w:lang w:eastAsia="es-MX"/>
        </w:rPr>
      </w:pPr>
      <w:r w:rsidRPr="00634773">
        <w:rPr>
          <w:rFonts w:ascii="ITC Avant Garde" w:hAnsi="ITC Avant Garde"/>
          <w:bCs/>
          <w:color w:val="000000"/>
          <w:lang w:eastAsia="es-MX"/>
        </w:rPr>
        <w:lastRenderedPageBreak/>
        <w:t xml:space="preserve">Por ello, el 10 de agosto de 1990, el Gobierno Federal, por conducto de la Secretaría, modificó el título de concesión otorgado </w:t>
      </w:r>
      <w:r w:rsidR="00CF3B19" w:rsidRPr="00634773">
        <w:rPr>
          <w:rFonts w:ascii="ITC Avant Garde" w:hAnsi="ITC Avant Garde"/>
          <w:bCs/>
          <w:color w:val="000000"/>
          <w:lang w:eastAsia="es-MX"/>
        </w:rPr>
        <w:t xml:space="preserve">originalmente </w:t>
      </w:r>
      <w:r w:rsidRPr="00634773">
        <w:rPr>
          <w:rFonts w:ascii="ITC Avant Garde" w:hAnsi="ITC Avant Garde"/>
          <w:bCs/>
          <w:color w:val="000000"/>
          <w:lang w:eastAsia="es-MX"/>
        </w:rPr>
        <w:t>a Teléfonos de México, S.A. de C.V. el 10 de marzo de 1976</w:t>
      </w:r>
      <w:r w:rsidR="00747912" w:rsidRPr="00634773">
        <w:rPr>
          <w:rFonts w:ascii="ITC Avant Garde" w:hAnsi="ITC Avant Garde"/>
          <w:bCs/>
          <w:color w:val="000000"/>
          <w:lang w:eastAsia="es-MX"/>
        </w:rPr>
        <w:t xml:space="preserve">, </w:t>
      </w:r>
      <w:r w:rsidR="00CF3B19" w:rsidRPr="00634773">
        <w:rPr>
          <w:rFonts w:ascii="ITC Avant Garde" w:hAnsi="ITC Avant Garde"/>
          <w:bCs/>
          <w:color w:val="000000"/>
          <w:lang w:eastAsia="es-MX"/>
        </w:rPr>
        <w:t xml:space="preserve">a fin de que </w:t>
      </w:r>
      <w:r w:rsidR="00747912" w:rsidRPr="00634773">
        <w:rPr>
          <w:rFonts w:ascii="ITC Avant Garde" w:hAnsi="ITC Avant Garde"/>
          <w:bCs/>
          <w:color w:val="000000"/>
          <w:lang w:eastAsia="es-MX"/>
        </w:rPr>
        <w:t xml:space="preserve">dicha empresa </w:t>
      </w:r>
      <w:r w:rsidR="00CF3B19" w:rsidRPr="00634773">
        <w:rPr>
          <w:rFonts w:ascii="ITC Avant Garde" w:hAnsi="ITC Avant Garde"/>
          <w:bCs/>
          <w:color w:val="000000"/>
          <w:lang w:eastAsia="es-MX"/>
        </w:rPr>
        <w:t xml:space="preserve">contara con </w:t>
      </w:r>
      <w:r w:rsidR="00747912" w:rsidRPr="00634773">
        <w:rPr>
          <w:rFonts w:ascii="ITC Avant Garde" w:hAnsi="ITC Avant Garde"/>
          <w:bCs/>
          <w:color w:val="000000"/>
          <w:lang w:eastAsia="es-MX"/>
        </w:rPr>
        <w:t>un título de concesión para construir, instalar, mantener, operar y explotar una red pública telefónica por un periodo de 50 (cincuenta) años contados a partir del 10 de marzo de 1976, con cobertura en todo el territorio nacional, a excepción del área concesionada a</w:t>
      </w:r>
      <w:r w:rsidR="00BC5A89" w:rsidRPr="00634773">
        <w:rPr>
          <w:rFonts w:ascii="ITC Avant Garde" w:hAnsi="ITC Avant Garde"/>
          <w:bCs/>
          <w:color w:val="000000"/>
          <w:lang w:eastAsia="es-MX"/>
        </w:rPr>
        <w:t xml:space="preserve"> la empresa</w:t>
      </w:r>
      <w:r w:rsidR="00747912" w:rsidRPr="00634773">
        <w:rPr>
          <w:rFonts w:ascii="ITC Avant Garde" w:hAnsi="ITC Avant Garde"/>
          <w:bCs/>
          <w:color w:val="000000"/>
          <w:lang w:eastAsia="es-MX"/>
        </w:rPr>
        <w:t xml:space="preserve"> Teléfonos del Noroeste, S.A. de C.V.</w:t>
      </w:r>
      <w:r w:rsidR="00CF3B19" w:rsidRPr="00634773">
        <w:rPr>
          <w:rFonts w:ascii="ITC Avant Garde" w:hAnsi="ITC Avant Garde"/>
          <w:bCs/>
          <w:color w:val="000000"/>
          <w:lang w:eastAsia="es-MX"/>
        </w:rPr>
        <w:t xml:space="preserve"> Cabe señalar que la </w:t>
      </w:r>
      <w:r w:rsidR="0007381C" w:rsidRPr="00634773">
        <w:rPr>
          <w:rFonts w:ascii="ITC Avant Garde" w:hAnsi="ITC Avant Garde"/>
          <w:bCs/>
          <w:color w:val="000000"/>
          <w:lang w:eastAsia="es-MX"/>
        </w:rPr>
        <w:t xml:space="preserve">modificación de la </w:t>
      </w:r>
      <w:r w:rsidR="00CF3B19" w:rsidRPr="00634773">
        <w:rPr>
          <w:rFonts w:ascii="ITC Avant Garde" w:hAnsi="ITC Avant Garde"/>
          <w:bCs/>
          <w:color w:val="000000"/>
          <w:lang w:eastAsia="es-MX"/>
        </w:rPr>
        <w:t xml:space="preserve">concesión </w:t>
      </w:r>
      <w:r w:rsidR="00D91757" w:rsidRPr="00634773">
        <w:rPr>
          <w:rFonts w:ascii="ITC Avant Garde" w:hAnsi="ITC Avant Garde"/>
          <w:bCs/>
          <w:color w:val="000000"/>
          <w:lang w:eastAsia="es-MX"/>
        </w:rPr>
        <w:t>se publicó en el Diario Oficial de la Federación el 10 de diciembre de 1990</w:t>
      </w:r>
      <w:r w:rsidR="00710757" w:rsidRPr="00634773">
        <w:rPr>
          <w:rFonts w:ascii="ITC Avant Garde" w:hAnsi="ITC Avant Garde"/>
          <w:bCs/>
          <w:color w:val="000000"/>
          <w:lang w:eastAsia="es-MX"/>
        </w:rPr>
        <w:t xml:space="preserve"> (la “Concesión”)</w:t>
      </w:r>
      <w:r w:rsidR="00190A72" w:rsidRPr="00634773">
        <w:rPr>
          <w:rFonts w:ascii="ITC Avant Garde" w:hAnsi="ITC Avant Garde"/>
          <w:bCs/>
          <w:color w:val="000000"/>
          <w:lang w:eastAsia="es-MX"/>
        </w:rPr>
        <w:t>.</w:t>
      </w:r>
    </w:p>
    <w:p w:rsidR="00634773" w:rsidRPr="00634773" w:rsidRDefault="00016467" w:rsidP="00634773">
      <w:pPr>
        <w:numPr>
          <w:ilvl w:val="0"/>
          <w:numId w:val="1"/>
        </w:numPr>
        <w:spacing w:before="240" w:line="240" w:lineRule="auto"/>
        <w:ind w:left="567" w:hanging="567"/>
        <w:jc w:val="both"/>
        <w:rPr>
          <w:rFonts w:ascii="ITC Avant Garde" w:hAnsi="ITC Avant Garde"/>
          <w:bCs/>
          <w:color w:val="000000"/>
          <w:lang w:eastAsia="es-MX"/>
        </w:rPr>
      </w:pPr>
      <w:r w:rsidRPr="00634773">
        <w:rPr>
          <w:rFonts w:ascii="ITC Avant Garde" w:hAnsi="ITC Avant Garde"/>
          <w:b/>
          <w:bCs/>
          <w:color w:val="000000"/>
          <w:lang w:eastAsia="es-MX"/>
        </w:rPr>
        <w:t xml:space="preserve">Permiso para prestar el servicio de valor agregado de transmisión de datos con conmutación de paquetes. </w:t>
      </w:r>
      <w:r w:rsidRPr="00634773">
        <w:rPr>
          <w:rFonts w:ascii="ITC Avant Garde" w:hAnsi="ITC Avant Garde"/>
          <w:bCs/>
          <w:color w:val="000000"/>
          <w:lang w:eastAsia="es-MX"/>
        </w:rPr>
        <w:t>El 19 diciembre de 1990, la Secretaría otorgó a Tel</w:t>
      </w:r>
      <w:r w:rsidR="000D1115" w:rsidRPr="00634773">
        <w:rPr>
          <w:rFonts w:ascii="ITC Avant Garde" w:hAnsi="ITC Avant Garde"/>
          <w:bCs/>
          <w:color w:val="000000"/>
          <w:lang w:eastAsia="es-MX"/>
        </w:rPr>
        <w:t>éfonos de México, S.A. de C.V.</w:t>
      </w:r>
      <w:r w:rsidRPr="00634773">
        <w:rPr>
          <w:rFonts w:ascii="ITC Avant Garde" w:hAnsi="ITC Avant Garde"/>
          <w:bCs/>
          <w:color w:val="000000"/>
          <w:lang w:eastAsia="es-MX"/>
        </w:rPr>
        <w:t xml:space="preserve"> un permiso para prestar el servicio de valor agregado de transmisión de datos por conmutación de paquetes, mediante la conducción de señales a través de la red pública telefónica</w:t>
      </w:r>
      <w:r w:rsidR="00CA28E1" w:rsidRPr="00634773">
        <w:rPr>
          <w:rFonts w:ascii="ITC Avant Garde" w:hAnsi="ITC Avant Garde"/>
          <w:bCs/>
          <w:color w:val="000000"/>
          <w:lang w:eastAsia="es-MX"/>
        </w:rPr>
        <w:t>,</w:t>
      </w:r>
      <w:r w:rsidRPr="00634773">
        <w:rPr>
          <w:rFonts w:ascii="ITC Avant Garde" w:hAnsi="ITC Avant Garde"/>
          <w:bCs/>
          <w:color w:val="000000"/>
          <w:lang w:eastAsia="es-MX"/>
        </w:rPr>
        <w:t xml:space="preserve"> la red digital integrada y la de estaciones terrenas autorizadas a dicha empresa, o por medio de cualquier otra red autorizada por la citada dependencia.</w:t>
      </w:r>
    </w:p>
    <w:p w:rsidR="00634773" w:rsidRPr="00634773" w:rsidRDefault="00CF3B19" w:rsidP="00634773">
      <w:pPr>
        <w:spacing w:before="240" w:line="240" w:lineRule="auto"/>
        <w:ind w:left="567"/>
        <w:jc w:val="both"/>
        <w:rPr>
          <w:rFonts w:ascii="ITC Avant Garde" w:hAnsi="ITC Avant Garde"/>
          <w:bCs/>
          <w:color w:val="000000"/>
          <w:lang w:eastAsia="es-MX"/>
        </w:rPr>
      </w:pPr>
      <w:r w:rsidRPr="00634773">
        <w:rPr>
          <w:rFonts w:ascii="ITC Avant Garde" w:hAnsi="ITC Avant Garde"/>
          <w:bCs/>
          <w:color w:val="000000"/>
          <w:lang w:eastAsia="es-MX"/>
        </w:rPr>
        <w:t>En este sentido, l</w:t>
      </w:r>
      <w:r w:rsidR="00F21668" w:rsidRPr="00634773">
        <w:rPr>
          <w:rFonts w:ascii="ITC Avant Garde" w:hAnsi="ITC Avant Garde"/>
          <w:bCs/>
          <w:color w:val="000000"/>
          <w:lang w:eastAsia="es-MX"/>
        </w:rPr>
        <w:t xml:space="preserve">a Condición Décimo Novena </w:t>
      </w:r>
      <w:r w:rsidR="00824140" w:rsidRPr="00634773">
        <w:rPr>
          <w:rFonts w:ascii="ITC Avant Garde" w:hAnsi="ITC Avant Garde"/>
          <w:bCs/>
          <w:color w:val="000000"/>
          <w:lang w:eastAsia="es-MX"/>
        </w:rPr>
        <w:t xml:space="preserve">de dicho permiso, </w:t>
      </w:r>
      <w:r w:rsidR="00F21668" w:rsidRPr="00634773">
        <w:rPr>
          <w:rFonts w:ascii="ITC Avant Garde" w:hAnsi="ITC Avant Garde"/>
          <w:bCs/>
          <w:color w:val="000000"/>
          <w:lang w:eastAsia="es-MX"/>
        </w:rPr>
        <w:t>denominada “Vigencia”</w:t>
      </w:r>
      <w:r w:rsidR="00BC5A89" w:rsidRPr="00634773">
        <w:rPr>
          <w:rFonts w:ascii="ITC Avant Garde" w:hAnsi="ITC Avant Garde"/>
          <w:bCs/>
          <w:color w:val="000000"/>
          <w:lang w:eastAsia="es-MX"/>
        </w:rPr>
        <w:t>,</w:t>
      </w:r>
      <w:r w:rsidR="00F21668" w:rsidRPr="00634773">
        <w:rPr>
          <w:rFonts w:ascii="ITC Avant Garde" w:hAnsi="ITC Avant Garde"/>
          <w:bCs/>
          <w:color w:val="000000"/>
          <w:lang w:eastAsia="es-MX"/>
        </w:rPr>
        <w:t xml:space="preserve"> señal</w:t>
      </w:r>
      <w:r w:rsidR="00FD526B" w:rsidRPr="00634773">
        <w:rPr>
          <w:rFonts w:ascii="ITC Avant Garde" w:hAnsi="ITC Avant Garde"/>
          <w:bCs/>
          <w:color w:val="000000"/>
          <w:lang w:eastAsia="es-MX"/>
        </w:rPr>
        <w:t>a</w:t>
      </w:r>
      <w:r w:rsidR="00F21668" w:rsidRPr="00634773">
        <w:rPr>
          <w:rFonts w:ascii="ITC Avant Garde" w:hAnsi="ITC Avant Garde"/>
          <w:bCs/>
          <w:color w:val="000000"/>
          <w:lang w:eastAsia="es-MX"/>
        </w:rPr>
        <w:t xml:space="preserve"> que el mismo tendr</w:t>
      </w:r>
      <w:r w:rsidR="00FD526B" w:rsidRPr="00634773">
        <w:rPr>
          <w:rFonts w:ascii="ITC Avant Garde" w:hAnsi="ITC Avant Garde"/>
          <w:bCs/>
          <w:color w:val="000000"/>
          <w:lang w:eastAsia="es-MX"/>
        </w:rPr>
        <w:t>á</w:t>
      </w:r>
      <w:r w:rsidR="00F21668" w:rsidRPr="00634773">
        <w:rPr>
          <w:rFonts w:ascii="ITC Avant Garde" w:hAnsi="ITC Avant Garde"/>
          <w:bCs/>
          <w:color w:val="000000"/>
          <w:lang w:eastAsia="es-MX"/>
        </w:rPr>
        <w:t xml:space="preserve"> la misma vigencia que la Concesión y le ser</w:t>
      </w:r>
      <w:r w:rsidR="00FD526B" w:rsidRPr="00634773">
        <w:rPr>
          <w:rFonts w:ascii="ITC Avant Garde" w:hAnsi="ITC Avant Garde"/>
          <w:bCs/>
          <w:color w:val="000000"/>
          <w:lang w:eastAsia="es-MX"/>
        </w:rPr>
        <w:t>á</w:t>
      </w:r>
      <w:r w:rsidR="00F21668" w:rsidRPr="00634773">
        <w:rPr>
          <w:rFonts w:ascii="ITC Avant Garde" w:hAnsi="ITC Avant Garde"/>
          <w:bCs/>
          <w:color w:val="000000"/>
          <w:lang w:eastAsia="es-MX"/>
        </w:rPr>
        <w:t>n aplicables todas las condiciones contenidas en la misma, por lo que se considera que dicho permiso se encuentra vinculado a la Concesión.</w:t>
      </w:r>
    </w:p>
    <w:p w:rsidR="00634773" w:rsidRPr="00634773" w:rsidRDefault="00016467" w:rsidP="00634773">
      <w:pPr>
        <w:numPr>
          <w:ilvl w:val="0"/>
          <w:numId w:val="1"/>
        </w:numPr>
        <w:spacing w:before="240" w:line="240" w:lineRule="auto"/>
        <w:ind w:left="567" w:hanging="567"/>
        <w:jc w:val="both"/>
        <w:rPr>
          <w:rFonts w:ascii="ITC Avant Garde" w:hAnsi="ITC Avant Garde"/>
          <w:bCs/>
          <w:color w:val="000000"/>
          <w:lang w:eastAsia="es-MX"/>
        </w:rPr>
      </w:pPr>
      <w:r w:rsidRPr="00634773">
        <w:rPr>
          <w:rFonts w:ascii="ITC Avant Garde" w:hAnsi="ITC Avant Garde"/>
          <w:b/>
          <w:bCs/>
          <w:color w:val="000000"/>
          <w:lang w:eastAsia="es-MX"/>
        </w:rPr>
        <w:t>Permiso para conducir señales de televisión</w:t>
      </w:r>
      <w:r w:rsidR="00893856" w:rsidRPr="00634773">
        <w:rPr>
          <w:rFonts w:ascii="ITC Avant Garde" w:hAnsi="ITC Avant Garde"/>
          <w:b/>
          <w:bCs/>
          <w:color w:val="000000"/>
          <w:lang w:eastAsia="es-MX"/>
        </w:rPr>
        <w:t xml:space="preserve"> a través de la red pública telefónica de Teléfonos de México, S.A. de C.V</w:t>
      </w:r>
      <w:r w:rsidRPr="00634773">
        <w:rPr>
          <w:rFonts w:ascii="ITC Avant Garde" w:hAnsi="ITC Avant Garde"/>
          <w:b/>
          <w:bCs/>
          <w:color w:val="000000"/>
          <w:lang w:eastAsia="es-MX"/>
        </w:rPr>
        <w:t xml:space="preserve">. </w:t>
      </w:r>
      <w:r w:rsidRPr="00634773">
        <w:rPr>
          <w:rFonts w:ascii="ITC Avant Garde" w:hAnsi="ITC Avant Garde"/>
          <w:color w:val="000000"/>
          <w:lang w:eastAsia="es-MX"/>
        </w:rPr>
        <w:t xml:space="preserve">El 3 de septiembre de 1993, la Secretaría otorgó </w:t>
      </w:r>
      <w:r w:rsidR="000D1115" w:rsidRPr="00634773">
        <w:rPr>
          <w:rFonts w:ascii="ITC Avant Garde" w:hAnsi="ITC Avant Garde"/>
          <w:color w:val="000000"/>
          <w:lang w:eastAsia="es-MX"/>
        </w:rPr>
        <w:t>a Teléfonos de México, S.A. de C.V.</w:t>
      </w:r>
      <w:r w:rsidRPr="00634773">
        <w:rPr>
          <w:rFonts w:ascii="ITC Avant Garde" w:hAnsi="ITC Avant Garde"/>
          <w:color w:val="000000"/>
          <w:lang w:eastAsia="es-MX"/>
        </w:rPr>
        <w:t xml:space="preserve"> un permiso para la prestación del servicio de conducción de señales de televisión, a través de la red pública telefónica concesionada, a empresas autorizadas por dicha dependencia para prestar servicios de televisión al público.</w:t>
      </w:r>
    </w:p>
    <w:p w:rsidR="00634773" w:rsidRPr="00634773" w:rsidRDefault="00FD526B" w:rsidP="00634773">
      <w:pPr>
        <w:spacing w:before="240" w:line="240" w:lineRule="auto"/>
        <w:ind w:left="567"/>
        <w:jc w:val="both"/>
        <w:rPr>
          <w:rFonts w:ascii="ITC Avant Garde" w:hAnsi="ITC Avant Garde"/>
          <w:bCs/>
          <w:color w:val="000000"/>
          <w:lang w:eastAsia="es-MX"/>
        </w:rPr>
      </w:pPr>
      <w:r w:rsidRPr="00634773">
        <w:rPr>
          <w:rFonts w:ascii="ITC Avant Garde" w:hAnsi="ITC Avant Garde"/>
          <w:bCs/>
          <w:color w:val="000000"/>
          <w:lang w:eastAsia="es-MX"/>
        </w:rPr>
        <w:t>En relación con lo anterior, l</w:t>
      </w:r>
      <w:r w:rsidR="00D01ED8" w:rsidRPr="00634773">
        <w:rPr>
          <w:rFonts w:ascii="ITC Avant Garde" w:hAnsi="ITC Avant Garde"/>
          <w:bCs/>
          <w:color w:val="000000"/>
          <w:lang w:eastAsia="es-MX"/>
        </w:rPr>
        <w:t>a Condición Novena de dicho permiso señal</w:t>
      </w:r>
      <w:r w:rsidR="000D0201" w:rsidRPr="00634773">
        <w:rPr>
          <w:rFonts w:ascii="ITC Avant Garde" w:hAnsi="ITC Avant Garde"/>
          <w:bCs/>
          <w:color w:val="000000"/>
          <w:lang w:eastAsia="es-MX"/>
        </w:rPr>
        <w:t>a</w:t>
      </w:r>
      <w:r w:rsidR="00D01ED8" w:rsidRPr="00634773">
        <w:rPr>
          <w:rFonts w:ascii="ITC Avant Garde" w:hAnsi="ITC Avant Garde"/>
          <w:bCs/>
          <w:color w:val="000000"/>
          <w:lang w:eastAsia="es-MX"/>
        </w:rPr>
        <w:t xml:space="preserve"> que el mismo tendr</w:t>
      </w:r>
      <w:r w:rsidRPr="00634773">
        <w:rPr>
          <w:rFonts w:ascii="ITC Avant Garde" w:hAnsi="ITC Avant Garde"/>
          <w:bCs/>
          <w:color w:val="000000"/>
          <w:lang w:eastAsia="es-MX"/>
        </w:rPr>
        <w:t>á</w:t>
      </w:r>
      <w:r w:rsidR="00D01ED8" w:rsidRPr="00634773">
        <w:rPr>
          <w:rFonts w:ascii="ITC Avant Garde" w:hAnsi="ITC Avant Garde"/>
          <w:bCs/>
          <w:color w:val="000000"/>
          <w:lang w:eastAsia="es-MX"/>
        </w:rPr>
        <w:t xml:space="preserve"> la misma vigencia y condiciones de operación establecidas en la Concesión, por lo que se considera que dicho permiso se encuentra vinculado a la </w:t>
      </w:r>
      <w:r w:rsidR="00266643" w:rsidRPr="00634773">
        <w:rPr>
          <w:rFonts w:ascii="ITC Avant Garde" w:hAnsi="ITC Avant Garde"/>
          <w:bCs/>
          <w:color w:val="000000"/>
          <w:lang w:eastAsia="es-MX"/>
        </w:rPr>
        <w:t>misma</w:t>
      </w:r>
      <w:r w:rsidR="00D01ED8" w:rsidRPr="00634773">
        <w:rPr>
          <w:rFonts w:ascii="ITC Avant Garde" w:hAnsi="ITC Avant Garde"/>
          <w:bCs/>
          <w:color w:val="000000"/>
          <w:lang w:eastAsia="es-MX"/>
        </w:rPr>
        <w:t>.</w:t>
      </w:r>
    </w:p>
    <w:p w:rsidR="00634773" w:rsidRPr="00634773" w:rsidRDefault="00430C32" w:rsidP="00634773">
      <w:pPr>
        <w:numPr>
          <w:ilvl w:val="0"/>
          <w:numId w:val="1"/>
        </w:numPr>
        <w:spacing w:before="240" w:line="240" w:lineRule="auto"/>
        <w:ind w:left="567" w:hanging="567"/>
        <w:jc w:val="both"/>
        <w:rPr>
          <w:rFonts w:ascii="ITC Avant Garde" w:hAnsi="ITC Avant Garde"/>
          <w:bCs/>
          <w:color w:val="000000"/>
          <w:lang w:eastAsia="es-MX"/>
        </w:rPr>
      </w:pPr>
      <w:r w:rsidRPr="00634773">
        <w:rPr>
          <w:rFonts w:ascii="ITC Avant Garde" w:hAnsi="ITC Avant Garde"/>
          <w:b/>
          <w:bCs/>
          <w:color w:val="000000"/>
          <w:lang w:eastAsia="es-MX"/>
        </w:rPr>
        <w:t>Modificación de estatutos sociales y cambio de régimen.</w:t>
      </w:r>
      <w:r w:rsidRPr="00634773">
        <w:rPr>
          <w:rFonts w:ascii="ITC Avant Garde" w:hAnsi="ITC Avant Garde"/>
          <w:bCs/>
          <w:color w:val="000000"/>
          <w:lang w:eastAsia="es-MX"/>
        </w:rPr>
        <w:t xml:space="preserve"> Con oficio número 2.1.102.-3749 de fecha 6 de noviembre de 2007, la Secretaría </w:t>
      </w:r>
      <w:r w:rsidR="00DB345B" w:rsidRPr="00634773">
        <w:rPr>
          <w:rFonts w:ascii="ITC Avant Garde" w:hAnsi="ITC Avant Garde"/>
          <w:bCs/>
          <w:color w:val="000000"/>
          <w:lang w:eastAsia="es-MX"/>
        </w:rPr>
        <w:t>informó a Tel</w:t>
      </w:r>
      <w:r w:rsidR="00072268" w:rsidRPr="00634773">
        <w:rPr>
          <w:rFonts w:ascii="ITC Avant Garde" w:hAnsi="ITC Avant Garde"/>
          <w:bCs/>
          <w:color w:val="000000"/>
          <w:lang w:eastAsia="es-MX"/>
        </w:rPr>
        <w:t>éfonos de México, S.A. de C.V.,</w:t>
      </w:r>
      <w:r w:rsidR="001D4002" w:rsidRPr="00634773">
        <w:rPr>
          <w:rFonts w:ascii="ITC Avant Garde" w:hAnsi="ITC Avant Garde"/>
          <w:bCs/>
          <w:color w:val="000000"/>
          <w:lang w:eastAsia="es-MX"/>
        </w:rPr>
        <w:t xml:space="preserve"> que no existía </w:t>
      </w:r>
      <w:r w:rsidR="00DB345B" w:rsidRPr="00634773">
        <w:rPr>
          <w:rFonts w:ascii="ITC Avant Garde" w:hAnsi="ITC Avant Garde"/>
          <w:bCs/>
          <w:color w:val="000000"/>
          <w:lang w:eastAsia="es-MX"/>
        </w:rPr>
        <w:t xml:space="preserve">inconveniente </w:t>
      </w:r>
      <w:r w:rsidR="001D4002" w:rsidRPr="00634773">
        <w:rPr>
          <w:rFonts w:ascii="ITC Avant Garde" w:hAnsi="ITC Avant Garde"/>
          <w:bCs/>
          <w:color w:val="000000"/>
          <w:lang w:eastAsia="es-MX"/>
        </w:rPr>
        <w:t>para que dicha concesionaria llevara a cabo</w:t>
      </w:r>
      <w:r w:rsidR="00FD526B" w:rsidRPr="00634773">
        <w:rPr>
          <w:rFonts w:ascii="ITC Avant Garde" w:hAnsi="ITC Avant Garde"/>
          <w:bCs/>
          <w:color w:val="000000"/>
          <w:lang w:eastAsia="es-MX"/>
        </w:rPr>
        <w:t>,</w:t>
      </w:r>
      <w:r w:rsidR="001D4002" w:rsidRPr="00634773">
        <w:rPr>
          <w:rFonts w:ascii="ITC Avant Garde" w:hAnsi="ITC Avant Garde"/>
          <w:bCs/>
          <w:color w:val="000000"/>
          <w:lang w:eastAsia="es-MX"/>
        </w:rPr>
        <w:t xml:space="preserve"> </w:t>
      </w:r>
      <w:r w:rsidR="00A011AD" w:rsidRPr="00634773">
        <w:rPr>
          <w:rFonts w:ascii="ITC Avant Garde" w:hAnsi="ITC Avant Garde"/>
          <w:bCs/>
          <w:color w:val="000000"/>
          <w:lang w:eastAsia="es-MX"/>
        </w:rPr>
        <w:t xml:space="preserve">tanto </w:t>
      </w:r>
      <w:r w:rsidR="00DB345B" w:rsidRPr="00634773">
        <w:rPr>
          <w:rFonts w:ascii="ITC Avant Garde" w:hAnsi="ITC Avant Garde"/>
          <w:bCs/>
          <w:color w:val="000000"/>
          <w:lang w:eastAsia="es-MX"/>
        </w:rPr>
        <w:t>la reforma a diversas cláusul</w:t>
      </w:r>
      <w:r w:rsidR="00A011AD" w:rsidRPr="00634773">
        <w:rPr>
          <w:rFonts w:ascii="ITC Avant Garde" w:hAnsi="ITC Avant Garde"/>
          <w:bCs/>
          <w:color w:val="000000"/>
          <w:lang w:eastAsia="es-MX"/>
        </w:rPr>
        <w:t>as de sus estatutos sociales como</w:t>
      </w:r>
      <w:r w:rsidR="001D4002" w:rsidRPr="00634773">
        <w:rPr>
          <w:rFonts w:ascii="ITC Avant Garde" w:hAnsi="ITC Avant Garde"/>
          <w:bCs/>
          <w:color w:val="000000"/>
          <w:lang w:eastAsia="es-MX"/>
        </w:rPr>
        <w:t xml:space="preserve"> e</w:t>
      </w:r>
      <w:r w:rsidR="00DB345B" w:rsidRPr="00634773">
        <w:rPr>
          <w:rFonts w:ascii="ITC Avant Garde" w:hAnsi="ITC Avant Garde"/>
          <w:bCs/>
          <w:color w:val="000000"/>
          <w:lang w:eastAsia="es-MX"/>
        </w:rPr>
        <w:t xml:space="preserve">l cambio de régimen, para quedar como Teléfonos de México, S.A.B. de C.V. </w:t>
      </w:r>
      <w:r w:rsidR="00072268" w:rsidRPr="00634773">
        <w:rPr>
          <w:rFonts w:ascii="ITC Avant Garde" w:hAnsi="ITC Avant Garde"/>
          <w:bCs/>
          <w:color w:val="000000"/>
          <w:lang w:eastAsia="es-MX"/>
        </w:rPr>
        <w:t>(“Telmex”)</w:t>
      </w:r>
      <w:r w:rsidR="00A15408" w:rsidRPr="00634773">
        <w:rPr>
          <w:rFonts w:ascii="ITC Avant Garde" w:hAnsi="ITC Avant Garde"/>
          <w:bCs/>
          <w:color w:val="000000"/>
          <w:lang w:eastAsia="es-MX"/>
        </w:rPr>
        <w:t>.</w:t>
      </w:r>
    </w:p>
    <w:p w:rsidR="00634773" w:rsidRPr="00634773" w:rsidRDefault="00AB4722" w:rsidP="00634773">
      <w:pPr>
        <w:numPr>
          <w:ilvl w:val="0"/>
          <w:numId w:val="1"/>
        </w:numPr>
        <w:spacing w:before="240" w:line="240" w:lineRule="auto"/>
        <w:ind w:left="567" w:hanging="567"/>
        <w:jc w:val="both"/>
        <w:rPr>
          <w:rFonts w:ascii="ITC Avant Garde" w:hAnsi="ITC Avant Garde"/>
          <w:bCs/>
          <w:color w:val="000000"/>
          <w:lang w:eastAsia="es-MX"/>
        </w:rPr>
      </w:pPr>
      <w:r w:rsidRPr="00634773">
        <w:rPr>
          <w:rFonts w:ascii="ITC Avant Garde" w:hAnsi="ITC Avant Garde"/>
          <w:b/>
          <w:bCs/>
          <w:color w:val="000000"/>
          <w:lang w:eastAsia="es-MX"/>
        </w:rPr>
        <w:lastRenderedPageBreak/>
        <w:t xml:space="preserve">Decreto de Reforma Constitucional. </w:t>
      </w:r>
      <w:r w:rsidRPr="00634773">
        <w:rPr>
          <w:rFonts w:ascii="ITC Avant Garde" w:hAnsi="ITC Avant Garde"/>
          <w:bCs/>
          <w:color w:val="000000"/>
          <w:lang w:eastAsia="es-MX"/>
        </w:rPr>
        <w:t xml:space="preserve">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w:t>
      </w:r>
      <w:r w:rsidRPr="00634773">
        <w:rPr>
          <w:rFonts w:ascii="ITC Avant Garde" w:hAnsi="ITC Avant Garde"/>
          <w:lang w:eastAsia="es-MX"/>
        </w:rPr>
        <w:t>como un órgano autónomo que tiene por objeto el desarrollo eficiente de la radiodifusión y las telecomunicaciones</w:t>
      </w:r>
      <w:r w:rsidRPr="00634773">
        <w:rPr>
          <w:rFonts w:ascii="ITC Avant Garde" w:hAnsi="ITC Avant Garde"/>
          <w:bCs/>
          <w:color w:val="000000"/>
          <w:lang w:eastAsia="es-MX"/>
        </w:rPr>
        <w:t>.</w:t>
      </w:r>
    </w:p>
    <w:p w:rsidR="00634773" w:rsidRPr="00634773" w:rsidRDefault="009B6417" w:rsidP="00634773">
      <w:pPr>
        <w:numPr>
          <w:ilvl w:val="0"/>
          <w:numId w:val="1"/>
        </w:numPr>
        <w:spacing w:before="240" w:line="240" w:lineRule="auto"/>
        <w:ind w:left="567"/>
        <w:jc w:val="both"/>
        <w:rPr>
          <w:rFonts w:ascii="ITC Avant Garde" w:hAnsi="ITC Avant Garde"/>
          <w:bCs/>
          <w:color w:val="000000"/>
          <w:lang w:eastAsia="es-MX"/>
        </w:rPr>
      </w:pPr>
      <w:r w:rsidRPr="00634773">
        <w:rPr>
          <w:rFonts w:ascii="ITC Avant Garde" w:hAnsi="ITC Avant Garde"/>
          <w:b/>
          <w:bCs/>
          <w:color w:val="000000"/>
          <w:lang w:eastAsia="es-MX"/>
        </w:rPr>
        <w:t>Resolución de preponderancia en el sector de telecomunicaciones</w:t>
      </w:r>
      <w:r w:rsidR="00FA5AF8" w:rsidRPr="00634773">
        <w:rPr>
          <w:rFonts w:ascii="ITC Avant Garde" w:hAnsi="ITC Avant Garde"/>
          <w:b/>
          <w:bCs/>
          <w:color w:val="000000"/>
          <w:lang w:eastAsia="es-MX"/>
        </w:rPr>
        <w:t>.</w:t>
      </w:r>
      <w:r w:rsidRPr="00634773">
        <w:rPr>
          <w:rFonts w:ascii="ITC Avant Garde" w:hAnsi="ITC Avant Garde"/>
          <w:bCs/>
          <w:color w:val="000000"/>
          <w:lang w:eastAsia="es-MX"/>
        </w:rPr>
        <w:t xml:space="preserve"> </w:t>
      </w:r>
      <w:r w:rsidR="00E1526D" w:rsidRPr="00634773">
        <w:rPr>
          <w:rFonts w:ascii="ITC Avant Garde" w:hAnsi="ITC Avant Garde"/>
          <w:bCs/>
          <w:color w:val="000000"/>
          <w:lang w:eastAsia="es-MX"/>
        </w:rPr>
        <w:t>Mediante Acuerdo P/IFT/EXT/060314/76 de fecha 6 de marzo de 2014, el Instituto emitió la “</w:t>
      </w:r>
      <w:r w:rsidR="00F9007D" w:rsidRPr="00634773">
        <w:rPr>
          <w:rFonts w:ascii="ITC Avant Garde" w:hAnsi="ITC Avant Garde"/>
          <w:bCs/>
          <w:color w:val="000000"/>
          <w:lang w:eastAsia="es-MX"/>
        </w:rPr>
        <w:t>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les impone las medidas necesarias para evitar que se afecte la competencia y la libre concurrencia</w:t>
      </w:r>
      <w:r w:rsidR="00E1526D" w:rsidRPr="00634773">
        <w:rPr>
          <w:rFonts w:ascii="ITC Avant Garde" w:hAnsi="ITC Avant Garde"/>
          <w:bCs/>
          <w:color w:val="000000"/>
          <w:lang w:eastAsia="es-MX"/>
        </w:rPr>
        <w:t>” (sic)</w:t>
      </w:r>
      <w:r w:rsidR="003E66ED" w:rsidRPr="00634773">
        <w:rPr>
          <w:rFonts w:ascii="ITC Avant Garde" w:hAnsi="ITC Avant Garde"/>
          <w:bCs/>
          <w:color w:val="000000"/>
          <w:lang w:eastAsia="es-MX"/>
        </w:rPr>
        <w:t xml:space="preserve"> (la “Resolución de Preponderancia”)</w:t>
      </w:r>
      <w:r w:rsidR="00E1526D" w:rsidRPr="00634773">
        <w:rPr>
          <w:rFonts w:ascii="ITC Avant Garde" w:hAnsi="ITC Avant Garde"/>
          <w:bCs/>
          <w:color w:val="000000"/>
          <w:lang w:eastAsia="es-MX"/>
        </w:rPr>
        <w:t xml:space="preserve">, misma que </w:t>
      </w:r>
      <w:r w:rsidR="00F9007D" w:rsidRPr="00634773">
        <w:rPr>
          <w:rFonts w:ascii="ITC Avant Garde" w:hAnsi="ITC Avant Garde"/>
          <w:bCs/>
          <w:color w:val="000000"/>
          <w:lang w:eastAsia="es-MX"/>
        </w:rPr>
        <w:t xml:space="preserve">le </w:t>
      </w:r>
      <w:r w:rsidR="00E1526D" w:rsidRPr="00634773">
        <w:rPr>
          <w:rFonts w:ascii="ITC Avant Garde" w:hAnsi="ITC Avant Garde"/>
          <w:bCs/>
          <w:color w:val="000000"/>
          <w:lang w:eastAsia="es-MX"/>
        </w:rPr>
        <w:t>es aplicable a Tel</w:t>
      </w:r>
      <w:r w:rsidR="00AB4722" w:rsidRPr="00634773">
        <w:rPr>
          <w:rFonts w:ascii="ITC Avant Garde" w:hAnsi="ITC Avant Garde"/>
          <w:bCs/>
          <w:color w:val="000000"/>
          <w:lang w:eastAsia="es-MX"/>
        </w:rPr>
        <w:t>mex</w:t>
      </w:r>
      <w:r w:rsidR="00E1526D" w:rsidRPr="00634773">
        <w:rPr>
          <w:rFonts w:ascii="ITC Avant Garde" w:hAnsi="ITC Avant Garde"/>
          <w:bCs/>
          <w:color w:val="000000"/>
          <w:lang w:eastAsia="es-MX"/>
        </w:rPr>
        <w:t>.</w:t>
      </w:r>
    </w:p>
    <w:p w:rsidR="00634773" w:rsidRPr="00634773" w:rsidRDefault="009E2911" w:rsidP="00634773">
      <w:pPr>
        <w:numPr>
          <w:ilvl w:val="0"/>
          <w:numId w:val="1"/>
        </w:numPr>
        <w:spacing w:before="240" w:line="240" w:lineRule="auto"/>
        <w:ind w:left="567"/>
        <w:jc w:val="both"/>
        <w:rPr>
          <w:rFonts w:ascii="ITC Avant Garde" w:hAnsi="ITC Avant Garde"/>
          <w:bCs/>
          <w:color w:val="000000"/>
          <w:lang w:eastAsia="es-MX"/>
        </w:rPr>
      </w:pPr>
      <w:r w:rsidRPr="00634773">
        <w:rPr>
          <w:rFonts w:ascii="ITC Avant Garde" w:hAnsi="ITC Avant Garde"/>
          <w:b/>
          <w:bCs/>
          <w:color w:val="000000" w:themeColor="text1"/>
          <w:lang w:eastAsia="es-MX"/>
        </w:rPr>
        <w:t xml:space="preserve">Decreto de Ley. </w:t>
      </w:r>
      <w:r w:rsidRPr="00634773">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634773" w:rsidRPr="00634773" w:rsidRDefault="00BA7BF9" w:rsidP="00634773">
      <w:pPr>
        <w:numPr>
          <w:ilvl w:val="0"/>
          <w:numId w:val="1"/>
        </w:numPr>
        <w:spacing w:before="240" w:line="240" w:lineRule="auto"/>
        <w:ind w:left="567"/>
        <w:jc w:val="both"/>
        <w:rPr>
          <w:rFonts w:ascii="ITC Avant Garde" w:hAnsi="ITC Avant Garde"/>
          <w:bCs/>
          <w:color w:val="000000"/>
          <w:lang w:eastAsia="es-MX"/>
        </w:rPr>
      </w:pPr>
      <w:r w:rsidRPr="00634773">
        <w:rPr>
          <w:rFonts w:ascii="ITC Avant Garde" w:hAnsi="ITC Avant Garde" w:cs="Arial"/>
          <w:b/>
          <w:bCs/>
          <w:color w:val="000000"/>
          <w:shd w:val="clear" w:color="auto" w:fill="FFFFFF"/>
        </w:rPr>
        <w:t>Estatuto Orgánico.</w:t>
      </w:r>
      <w:r w:rsidRPr="00634773">
        <w:rPr>
          <w:rStyle w:val="apple-converted-space"/>
          <w:rFonts w:ascii="ITC Avant Garde" w:hAnsi="ITC Avant Garde" w:cs="Arial"/>
          <w:b/>
          <w:bCs/>
          <w:color w:val="000000"/>
          <w:shd w:val="clear" w:color="auto" w:fill="FFFFFF"/>
        </w:rPr>
        <w:t xml:space="preserve"> </w:t>
      </w:r>
      <w:r w:rsidRPr="00634773">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w:t>
      </w:r>
      <w:r w:rsidR="000C7734" w:rsidRPr="00634773">
        <w:rPr>
          <w:rFonts w:ascii="ITC Avant Garde" w:hAnsi="ITC Avant Garde"/>
          <w:color w:val="000000"/>
          <w:shd w:val="clear" w:color="auto" w:fill="FFFFFF"/>
        </w:rPr>
        <w:t>gor el 26 de septiembre de 2014</w:t>
      </w:r>
      <w:r w:rsidRPr="00634773">
        <w:rPr>
          <w:rFonts w:ascii="ITC Avant Garde" w:hAnsi="ITC Avant Garde"/>
          <w:color w:val="000000"/>
          <w:shd w:val="clear" w:color="auto" w:fill="FFFFFF"/>
        </w:rPr>
        <w:t xml:space="preserve"> y fue modificado </w:t>
      </w:r>
      <w:r w:rsidR="00072268" w:rsidRPr="00634773">
        <w:rPr>
          <w:rFonts w:ascii="ITC Avant Garde" w:hAnsi="ITC Avant Garde"/>
          <w:color w:val="000000"/>
          <w:shd w:val="clear" w:color="auto" w:fill="FFFFFF"/>
        </w:rPr>
        <w:t xml:space="preserve">por última vez </w:t>
      </w:r>
      <w:r w:rsidRPr="00634773">
        <w:rPr>
          <w:rFonts w:ascii="ITC Avant Garde" w:hAnsi="ITC Avant Garde"/>
          <w:color w:val="000000"/>
          <w:shd w:val="clear" w:color="auto" w:fill="FFFFFF"/>
        </w:rPr>
        <w:t xml:space="preserve">el 17 de octubre </w:t>
      </w:r>
      <w:r w:rsidR="00854E64" w:rsidRPr="00634773">
        <w:rPr>
          <w:rFonts w:ascii="ITC Avant Garde" w:hAnsi="ITC Avant Garde"/>
          <w:color w:val="000000"/>
          <w:shd w:val="clear" w:color="auto" w:fill="FFFFFF"/>
        </w:rPr>
        <w:t>de</w:t>
      </w:r>
      <w:r w:rsidR="00072268" w:rsidRPr="00634773">
        <w:rPr>
          <w:rFonts w:ascii="ITC Avant Garde" w:hAnsi="ITC Avant Garde"/>
          <w:color w:val="000000"/>
          <w:shd w:val="clear" w:color="auto" w:fill="FFFFFF"/>
        </w:rPr>
        <w:t xml:space="preserve"> 2016</w:t>
      </w:r>
      <w:r w:rsidRPr="00634773">
        <w:rPr>
          <w:rFonts w:ascii="ITC Avant Garde" w:hAnsi="ITC Avant Garde"/>
          <w:color w:val="000000"/>
          <w:shd w:val="clear" w:color="auto" w:fill="FFFFFF"/>
        </w:rPr>
        <w:t>.</w:t>
      </w:r>
    </w:p>
    <w:p w:rsidR="00634773" w:rsidRPr="00634773" w:rsidRDefault="006A7994" w:rsidP="00634773">
      <w:pPr>
        <w:numPr>
          <w:ilvl w:val="0"/>
          <w:numId w:val="1"/>
        </w:numPr>
        <w:spacing w:before="240" w:line="240" w:lineRule="auto"/>
        <w:ind w:left="567"/>
        <w:jc w:val="both"/>
        <w:rPr>
          <w:rFonts w:ascii="ITC Avant Garde" w:hAnsi="ITC Avant Garde"/>
          <w:bCs/>
          <w:color w:val="000000"/>
          <w:lang w:eastAsia="es-MX"/>
        </w:rPr>
      </w:pPr>
      <w:r w:rsidRPr="00634773">
        <w:rPr>
          <w:rFonts w:ascii="ITC Avant Garde" w:hAnsi="ITC Avant Garde"/>
          <w:b/>
          <w:bCs/>
          <w:color w:val="000000"/>
          <w:lang w:eastAsia="es-MX"/>
        </w:rPr>
        <w:t xml:space="preserve">Solicitud de Prórroga </w:t>
      </w:r>
      <w:r w:rsidR="00190A72" w:rsidRPr="00634773">
        <w:rPr>
          <w:rFonts w:ascii="ITC Avant Garde" w:hAnsi="ITC Avant Garde"/>
          <w:b/>
          <w:bCs/>
          <w:color w:val="000000"/>
          <w:lang w:eastAsia="es-MX"/>
        </w:rPr>
        <w:t>de Vigencia la Concesión</w:t>
      </w:r>
      <w:r w:rsidRPr="00634773">
        <w:rPr>
          <w:rFonts w:ascii="ITC Avant Garde" w:hAnsi="ITC Avant Garde"/>
          <w:b/>
          <w:bCs/>
          <w:color w:val="000000"/>
          <w:lang w:eastAsia="es-MX"/>
        </w:rPr>
        <w:t xml:space="preserve">. </w:t>
      </w:r>
      <w:r w:rsidR="009206A8" w:rsidRPr="00634773">
        <w:rPr>
          <w:rFonts w:ascii="ITC Avant Garde" w:hAnsi="ITC Avant Garde"/>
          <w:bCs/>
          <w:color w:val="000000"/>
          <w:lang w:eastAsia="es-MX"/>
        </w:rPr>
        <w:t>El 7 de marzo de 2016, el apoderado legal de Telmex solicitó al</w:t>
      </w:r>
      <w:r w:rsidR="00D91757" w:rsidRPr="00634773">
        <w:rPr>
          <w:rFonts w:ascii="ITC Avant Garde" w:hAnsi="ITC Avant Garde"/>
          <w:bCs/>
          <w:color w:val="000000"/>
          <w:lang w:eastAsia="es-MX"/>
        </w:rPr>
        <w:t xml:space="preserve"> Instituto</w:t>
      </w:r>
      <w:r w:rsidR="00B23080" w:rsidRPr="00634773">
        <w:rPr>
          <w:rFonts w:ascii="ITC Avant Garde" w:hAnsi="ITC Avant Garde"/>
          <w:bCs/>
          <w:color w:val="000000"/>
          <w:lang w:eastAsia="es-MX"/>
        </w:rPr>
        <w:t xml:space="preserve"> la</w:t>
      </w:r>
      <w:r w:rsidR="00D91757" w:rsidRPr="00634773">
        <w:rPr>
          <w:rFonts w:ascii="ITC Avant Garde" w:hAnsi="ITC Avant Garde"/>
          <w:bCs/>
          <w:color w:val="000000"/>
          <w:lang w:eastAsia="es-MX"/>
        </w:rPr>
        <w:t xml:space="preserve"> </w:t>
      </w:r>
      <w:r w:rsidR="009206A8" w:rsidRPr="00634773">
        <w:rPr>
          <w:rFonts w:ascii="ITC Avant Garde" w:hAnsi="ITC Avant Garde"/>
          <w:bCs/>
          <w:color w:val="000000"/>
          <w:lang w:eastAsia="es-MX"/>
        </w:rPr>
        <w:t>prórroga de vigencia de la Concesión</w:t>
      </w:r>
      <w:r w:rsidR="00005A94" w:rsidRPr="00634773">
        <w:rPr>
          <w:rFonts w:ascii="ITC Avant Garde" w:hAnsi="ITC Avant Garde"/>
          <w:bCs/>
          <w:color w:val="000000"/>
          <w:lang w:eastAsia="es-MX"/>
        </w:rPr>
        <w:t xml:space="preserve"> (la “Solicitud de Prórroga”)</w:t>
      </w:r>
      <w:r w:rsidR="009206A8" w:rsidRPr="00634773">
        <w:rPr>
          <w:rFonts w:ascii="ITC Avant Garde" w:hAnsi="ITC Avant Garde"/>
          <w:bCs/>
          <w:color w:val="000000"/>
          <w:lang w:eastAsia="es-MX"/>
        </w:rPr>
        <w:t xml:space="preserve">. </w:t>
      </w:r>
    </w:p>
    <w:p w:rsidR="00634773" w:rsidRPr="00634773" w:rsidRDefault="00C77543" w:rsidP="00634773">
      <w:pPr>
        <w:numPr>
          <w:ilvl w:val="0"/>
          <w:numId w:val="1"/>
        </w:numPr>
        <w:spacing w:before="240" w:line="240" w:lineRule="auto"/>
        <w:ind w:left="567"/>
        <w:jc w:val="both"/>
        <w:rPr>
          <w:rFonts w:ascii="ITC Avant Garde" w:hAnsi="ITC Avant Garde"/>
          <w:bCs/>
          <w:color w:val="000000"/>
          <w:lang w:eastAsia="es-MX"/>
        </w:rPr>
      </w:pPr>
      <w:r w:rsidRPr="00634773">
        <w:rPr>
          <w:rFonts w:ascii="ITC Avant Garde" w:hAnsi="ITC Avant Garde"/>
          <w:b/>
          <w:bCs/>
          <w:color w:val="000000"/>
          <w:lang w:eastAsia="es-MX"/>
        </w:rPr>
        <w:t xml:space="preserve">Opinión </w:t>
      </w:r>
      <w:r w:rsidR="00B23080" w:rsidRPr="00634773">
        <w:rPr>
          <w:rFonts w:ascii="ITC Avant Garde" w:hAnsi="ITC Avant Garde"/>
          <w:b/>
          <w:bCs/>
          <w:color w:val="000000"/>
          <w:lang w:eastAsia="es-MX"/>
        </w:rPr>
        <w:t xml:space="preserve">en materia jurídica </w:t>
      </w:r>
      <w:r w:rsidRPr="00634773">
        <w:rPr>
          <w:rFonts w:ascii="ITC Avant Garde" w:hAnsi="ITC Avant Garde"/>
          <w:b/>
          <w:bCs/>
          <w:color w:val="000000"/>
          <w:lang w:eastAsia="es-MX"/>
        </w:rPr>
        <w:t xml:space="preserve">respecto de la Solicitud de Prórroga. </w:t>
      </w:r>
      <w:r w:rsidRPr="00634773">
        <w:rPr>
          <w:rFonts w:ascii="ITC Avant Garde" w:hAnsi="ITC Avant Garde"/>
          <w:bCs/>
          <w:color w:val="000000"/>
          <w:lang w:eastAsia="es-MX"/>
        </w:rPr>
        <w:t xml:space="preserve">Con fecha 25 de octubre de 2016, la Unidad de Asuntos Jurídicos </w:t>
      </w:r>
      <w:r w:rsidR="00B23080" w:rsidRPr="00634773">
        <w:rPr>
          <w:rFonts w:ascii="ITC Avant Garde" w:hAnsi="ITC Avant Garde"/>
          <w:bCs/>
          <w:color w:val="000000"/>
          <w:lang w:eastAsia="es-MX"/>
        </w:rPr>
        <w:t xml:space="preserve">del Instituto, mediante oficio IFT/227/UAJ/163/2016, </w:t>
      </w:r>
      <w:r w:rsidRPr="00634773">
        <w:rPr>
          <w:rFonts w:ascii="ITC Avant Garde" w:hAnsi="ITC Avant Garde"/>
          <w:bCs/>
          <w:color w:val="000000"/>
          <w:lang w:eastAsia="es-MX"/>
        </w:rPr>
        <w:t>emitió opinión respecto de la Solicitud de Prórroga</w:t>
      </w:r>
      <w:r w:rsidR="00B23080" w:rsidRPr="00634773">
        <w:rPr>
          <w:rFonts w:ascii="ITC Avant Garde" w:hAnsi="ITC Avant Garde"/>
          <w:bCs/>
          <w:color w:val="000000"/>
          <w:lang w:eastAsia="es-MX"/>
        </w:rPr>
        <w:t>.</w:t>
      </w:r>
    </w:p>
    <w:p w:rsidR="00634773" w:rsidRPr="00634773" w:rsidRDefault="00C77543" w:rsidP="00634773">
      <w:pPr>
        <w:numPr>
          <w:ilvl w:val="0"/>
          <w:numId w:val="1"/>
        </w:numPr>
        <w:spacing w:before="240" w:line="240" w:lineRule="auto"/>
        <w:ind w:left="567"/>
        <w:jc w:val="both"/>
        <w:rPr>
          <w:rFonts w:ascii="ITC Avant Garde" w:hAnsi="ITC Avant Garde"/>
          <w:bCs/>
          <w:color w:val="000000"/>
          <w:lang w:eastAsia="es-MX"/>
        </w:rPr>
      </w:pPr>
      <w:r w:rsidRPr="00634773">
        <w:rPr>
          <w:rFonts w:ascii="ITC Avant Garde" w:hAnsi="ITC Avant Garde"/>
          <w:b/>
          <w:bCs/>
          <w:color w:val="000000"/>
          <w:lang w:eastAsia="es-MX"/>
        </w:rPr>
        <w:lastRenderedPageBreak/>
        <w:t xml:space="preserve">Opinión en materia de </w:t>
      </w:r>
      <w:r w:rsidR="00B23080" w:rsidRPr="00634773">
        <w:rPr>
          <w:rFonts w:ascii="ITC Avant Garde" w:hAnsi="ITC Avant Garde"/>
          <w:b/>
          <w:bCs/>
          <w:color w:val="000000"/>
          <w:lang w:eastAsia="es-MX"/>
        </w:rPr>
        <w:t xml:space="preserve">competencia económica </w:t>
      </w:r>
      <w:r w:rsidRPr="00634773">
        <w:rPr>
          <w:rFonts w:ascii="ITC Avant Garde" w:hAnsi="ITC Avant Garde"/>
          <w:b/>
          <w:bCs/>
          <w:color w:val="000000"/>
          <w:lang w:eastAsia="es-MX"/>
        </w:rPr>
        <w:t>respecto de la Solicitud de Prórroga.</w:t>
      </w:r>
      <w:r w:rsidRPr="00634773">
        <w:rPr>
          <w:rFonts w:ascii="ITC Avant Garde" w:hAnsi="ITC Avant Garde"/>
          <w:bCs/>
          <w:color w:val="000000"/>
          <w:lang w:eastAsia="es-MX"/>
        </w:rPr>
        <w:t xml:space="preserve"> Mediante oficio IFT/226/UCE/DG-CCON/451/2016 de fecha 22 de noviembre de 2016, la Unidad de Competencia Económica del Instituto, a través de la Dirección General de Concentraciones y Concesiones, emitió opinión en materia de competencia económica respecto de la Solicitud de Prórroga.</w:t>
      </w:r>
    </w:p>
    <w:p w:rsidR="00634773" w:rsidRPr="00634773" w:rsidRDefault="00C77543" w:rsidP="00634773">
      <w:pPr>
        <w:numPr>
          <w:ilvl w:val="0"/>
          <w:numId w:val="1"/>
        </w:numPr>
        <w:spacing w:before="240" w:line="240" w:lineRule="auto"/>
        <w:ind w:left="567"/>
        <w:jc w:val="both"/>
        <w:rPr>
          <w:rFonts w:ascii="ITC Avant Garde" w:hAnsi="ITC Avant Garde"/>
          <w:bCs/>
          <w:color w:val="000000"/>
          <w:lang w:eastAsia="es-MX"/>
        </w:rPr>
      </w:pPr>
      <w:r w:rsidRPr="00634773">
        <w:rPr>
          <w:rFonts w:ascii="ITC Avant Garde" w:hAnsi="ITC Avant Garde"/>
          <w:b/>
          <w:color w:val="000000"/>
          <w:shd w:val="clear" w:color="auto" w:fill="FFFFFF"/>
        </w:rPr>
        <w:t xml:space="preserve">Opinión en materia de </w:t>
      </w:r>
      <w:r w:rsidR="00B23080" w:rsidRPr="00634773">
        <w:rPr>
          <w:rFonts w:ascii="ITC Avant Garde" w:hAnsi="ITC Avant Garde"/>
          <w:b/>
          <w:color w:val="000000"/>
          <w:shd w:val="clear" w:color="auto" w:fill="FFFFFF"/>
        </w:rPr>
        <w:t xml:space="preserve">política regulatoria </w:t>
      </w:r>
      <w:r w:rsidRPr="00634773">
        <w:rPr>
          <w:rFonts w:ascii="ITC Avant Garde" w:hAnsi="ITC Avant Garde"/>
          <w:b/>
          <w:color w:val="000000"/>
          <w:shd w:val="clear" w:color="auto" w:fill="FFFFFF"/>
        </w:rPr>
        <w:t xml:space="preserve">respecto de la Solicitud de Prórroga. </w:t>
      </w:r>
      <w:r w:rsidRPr="00634773">
        <w:rPr>
          <w:rFonts w:ascii="ITC Avant Garde" w:hAnsi="ITC Avant Garde"/>
          <w:color w:val="000000"/>
          <w:shd w:val="clear" w:color="auto" w:fill="FFFFFF"/>
        </w:rPr>
        <w:t xml:space="preserve">Mediante oficio IFT/221/UPR/663/2016 de fecha 22 de noviembre de 2016, la Unidad de Política Regulatoria del Instituto emitió opinión respecto de la Solicitud de Prórroga. </w:t>
      </w:r>
    </w:p>
    <w:p w:rsidR="00634773" w:rsidRPr="00634773" w:rsidRDefault="00A738D8" w:rsidP="00634773">
      <w:pPr>
        <w:numPr>
          <w:ilvl w:val="0"/>
          <w:numId w:val="1"/>
        </w:numPr>
        <w:spacing w:before="240" w:line="240" w:lineRule="auto"/>
        <w:ind w:left="567"/>
        <w:jc w:val="both"/>
        <w:rPr>
          <w:rFonts w:ascii="ITC Avant Garde" w:hAnsi="ITC Avant Garde"/>
          <w:bCs/>
          <w:color w:val="000000"/>
          <w:lang w:eastAsia="es-MX"/>
        </w:rPr>
      </w:pPr>
      <w:r w:rsidRPr="00634773">
        <w:rPr>
          <w:rFonts w:ascii="ITC Avant Garde" w:hAnsi="ITC Avant Garde"/>
          <w:b/>
          <w:bCs/>
          <w:color w:val="000000"/>
          <w:lang w:eastAsia="es-MX"/>
        </w:rPr>
        <w:t xml:space="preserve">Dictamen en </w:t>
      </w:r>
      <w:r w:rsidR="00F9007D" w:rsidRPr="00634773">
        <w:rPr>
          <w:rFonts w:ascii="ITC Avant Garde" w:hAnsi="ITC Avant Garde"/>
          <w:b/>
          <w:bCs/>
          <w:color w:val="000000"/>
          <w:lang w:eastAsia="es-MX"/>
        </w:rPr>
        <w:t xml:space="preserve">materia </w:t>
      </w:r>
      <w:r w:rsidR="00C822CF" w:rsidRPr="00634773">
        <w:rPr>
          <w:rFonts w:ascii="ITC Avant Garde" w:hAnsi="ITC Avant Garde"/>
          <w:b/>
          <w:bCs/>
          <w:color w:val="000000"/>
          <w:lang w:eastAsia="es-MX"/>
        </w:rPr>
        <w:t xml:space="preserve">de </w:t>
      </w:r>
      <w:r w:rsidR="00B23080" w:rsidRPr="00634773">
        <w:rPr>
          <w:rFonts w:ascii="ITC Avant Garde" w:hAnsi="ITC Avant Garde"/>
          <w:b/>
          <w:bCs/>
          <w:color w:val="000000"/>
          <w:lang w:eastAsia="es-MX"/>
        </w:rPr>
        <w:t xml:space="preserve">cumplimiento </w:t>
      </w:r>
      <w:r w:rsidR="00C822CF" w:rsidRPr="00634773">
        <w:rPr>
          <w:rFonts w:ascii="ITC Avant Garde" w:hAnsi="ITC Avant Garde"/>
          <w:b/>
          <w:bCs/>
          <w:color w:val="000000"/>
          <w:lang w:eastAsia="es-MX"/>
        </w:rPr>
        <w:t xml:space="preserve">de </w:t>
      </w:r>
      <w:r w:rsidR="00B23080" w:rsidRPr="00634773">
        <w:rPr>
          <w:rFonts w:ascii="ITC Avant Garde" w:hAnsi="ITC Avant Garde"/>
          <w:b/>
          <w:bCs/>
          <w:color w:val="000000"/>
          <w:lang w:eastAsia="es-MX"/>
        </w:rPr>
        <w:t xml:space="preserve">obligaciones </w:t>
      </w:r>
      <w:r w:rsidR="00005A94" w:rsidRPr="00634773">
        <w:rPr>
          <w:rFonts w:ascii="ITC Avant Garde" w:hAnsi="ITC Avant Garde"/>
          <w:b/>
          <w:bCs/>
          <w:color w:val="000000"/>
          <w:lang w:eastAsia="es-MX"/>
        </w:rPr>
        <w:t xml:space="preserve">respecto de </w:t>
      </w:r>
      <w:r w:rsidR="000D0201" w:rsidRPr="00634773">
        <w:rPr>
          <w:rFonts w:ascii="ITC Avant Garde" w:hAnsi="ITC Avant Garde"/>
          <w:b/>
          <w:bCs/>
          <w:color w:val="000000"/>
          <w:lang w:eastAsia="es-MX"/>
        </w:rPr>
        <w:t xml:space="preserve">la </w:t>
      </w:r>
      <w:r w:rsidR="00005A94" w:rsidRPr="00634773">
        <w:rPr>
          <w:rFonts w:ascii="ITC Avant Garde" w:hAnsi="ITC Avant Garde"/>
          <w:b/>
          <w:bCs/>
          <w:color w:val="000000"/>
          <w:lang w:eastAsia="es-MX"/>
        </w:rPr>
        <w:t>Solicitud de Prórroga</w:t>
      </w:r>
      <w:r w:rsidR="00C822CF" w:rsidRPr="00634773">
        <w:rPr>
          <w:rFonts w:ascii="ITC Avant Garde" w:hAnsi="ITC Avant Garde"/>
          <w:b/>
          <w:bCs/>
          <w:color w:val="000000"/>
          <w:lang w:eastAsia="es-MX"/>
        </w:rPr>
        <w:t>.</w:t>
      </w:r>
      <w:r w:rsidR="00647287" w:rsidRPr="00634773">
        <w:rPr>
          <w:rFonts w:ascii="ITC Avant Garde" w:hAnsi="ITC Avant Garde"/>
          <w:b/>
          <w:bCs/>
          <w:color w:val="000000"/>
          <w:lang w:eastAsia="es-MX"/>
        </w:rPr>
        <w:t xml:space="preserve"> </w:t>
      </w:r>
      <w:r w:rsidR="00647287" w:rsidRPr="00634773">
        <w:rPr>
          <w:rFonts w:ascii="ITC Avant Garde" w:hAnsi="ITC Avant Garde"/>
          <w:bCs/>
          <w:color w:val="000000"/>
          <w:lang w:eastAsia="es-MX"/>
        </w:rPr>
        <w:t>Con fecha 23 de noviembre de 2016, mediante oficio IFT/225/UC/2961/2016, la Unidad de Cumplimiento del Instituto emitió dictamen sobre el cumplimiento de obligaciones relativo a la Solicitud de Prórroga.</w:t>
      </w:r>
    </w:p>
    <w:p w:rsidR="00634773" w:rsidRPr="00634773" w:rsidRDefault="004032B4" w:rsidP="00634773">
      <w:pPr>
        <w:pStyle w:val="Prrafodelista"/>
        <w:numPr>
          <w:ilvl w:val="0"/>
          <w:numId w:val="1"/>
        </w:numPr>
        <w:spacing w:before="240" w:after="200"/>
        <w:ind w:left="567" w:hanging="709"/>
        <w:jc w:val="both"/>
        <w:rPr>
          <w:sz w:val="22"/>
          <w:szCs w:val="22"/>
        </w:rPr>
      </w:pPr>
      <w:r w:rsidRPr="00634773">
        <w:rPr>
          <w:rFonts w:ascii="ITC Avant Garde" w:hAnsi="ITC Avant Garde"/>
          <w:b/>
          <w:color w:val="000000"/>
          <w:sz w:val="22"/>
          <w:szCs w:val="22"/>
          <w:shd w:val="clear" w:color="auto" w:fill="FFFFFF"/>
        </w:rPr>
        <w:t>Opinión de la Secretaría.</w:t>
      </w:r>
      <w:r w:rsidRPr="00634773">
        <w:rPr>
          <w:rFonts w:ascii="ITC Avant Garde" w:hAnsi="ITC Avant Garde"/>
          <w:bCs/>
          <w:color w:val="000000"/>
          <w:sz w:val="22"/>
          <w:szCs w:val="22"/>
          <w:lang w:eastAsia="es-MX"/>
        </w:rPr>
        <w:t xml:space="preserve"> Mediante oficio </w:t>
      </w:r>
      <w:r w:rsidR="00CC5CBF" w:rsidRPr="00634773">
        <w:rPr>
          <w:rFonts w:ascii="ITC Avant Garde" w:hAnsi="ITC Avant Garde"/>
          <w:bCs/>
          <w:color w:val="000000"/>
          <w:sz w:val="22"/>
          <w:szCs w:val="22"/>
          <w:lang w:eastAsia="es-MX"/>
        </w:rPr>
        <w:t>2.1.-687/2016</w:t>
      </w:r>
      <w:r w:rsidRPr="00634773">
        <w:rPr>
          <w:rFonts w:ascii="ITC Avant Garde" w:hAnsi="ITC Avant Garde"/>
          <w:bCs/>
          <w:color w:val="000000"/>
          <w:sz w:val="22"/>
          <w:szCs w:val="22"/>
          <w:lang w:eastAsia="es-MX"/>
        </w:rPr>
        <w:t xml:space="preserve"> de fecha </w:t>
      </w:r>
      <w:r w:rsidR="00CC5CBF" w:rsidRPr="00634773">
        <w:rPr>
          <w:rFonts w:ascii="ITC Avant Garde" w:hAnsi="ITC Avant Garde"/>
          <w:bCs/>
          <w:color w:val="000000"/>
          <w:sz w:val="22"/>
          <w:szCs w:val="22"/>
          <w:lang w:eastAsia="es-MX"/>
        </w:rPr>
        <w:t>24 de noviembre</w:t>
      </w:r>
      <w:r w:rsidRPr="00634773">
        <w:rPr>
          <w:rFonts w:ascii="ITC Avant Garde" w:hAnsi="ITC Avant Garde"/>
          <w:bCs/>
          <w:color w:val="000000"/>
          <w:sz w:val="22"/>
          <w:szCs w:val="22"/>
          <w:lang w:eastAsia="es-MX"/>
        </w:rPr>
        <w:t xml:space="preserve"> de 2016, la </w:t>
      </w:r>
      <w:r w:rsidR="00005A94" w:rsidRPr="00634773">
        <w:rPr>
          <w:rFonts w:ascii="ITC Avant Garde" w:hAnsi="ITC Avant Garde"/>
          <w:bCs/>
          <w:color w:val="000000"/>
          <w:sz w:val="22"/>
          <w:szCs w:val="22"/>
          <w:lang w:eastAsia="es-MX"/>
        </w:rPr>
        <w:t xml:space="preserve">Dirección General de Política de Telecomunicaciones y de Radiodifusión de la </w:t>
      </w:r>
      <w:r w:rsidRPr="00634773">
        <w:rPr>
          <w:rFonts w:ascii="ITC Avant Garde" w:hAnsi="ITC Avant Garde"/>
          <w:bCs/>
          <w:color w:val="000000"/>
          <w:sz w:val="22"/>
          <w:szCs w:val="22"/>
          <w:lang w:eastAsia="es-MX"/>
        </w:rPr>
        <w:t>Secretaría</w:t>
      </w:r>
      <w:r w:rsidR="00F83E8E" w:rsidRPr="00634773">
        <w:rPr>
          <w:rFonts w:ascii="ITC Avant Garde" w:hAnsi="ITC Avant Garde"/>
          <w:bCs/>
          <w:color w:val="000000"/>
          <w:sz w:val="22"/>
          <w:szCs w:val="22"/>
          <w:lang w:eastAsia="es-MX"/>
        </w:rPr>
        <w:t>,</w:t>
      </w:r>
      <w:r w:rsidR="000E45D2" w:rsidRPr="00634773">
        <w:rPr>
          <w:rFonts w:ascii="ITC Avant Garde" w:hAnsi="ITC Avant Garde"/>
          <w:bCs/>
          <w:color w:val="000000"/>
          <w:sz w:val="22"/>
          <w:szCs w:val="22"/>
          <w:lang w:eastAsia="es-MX"/>
        </w:rPr>
        <w:t xml:space="preserve"> </w:t>
      </w:r>
      <w:r w:rsidR="00005A94" w:rsidRPr="00634773">
        <w:rPr>
          <w:rFonts w:ascii="ITC Avant Garde" w:hAnsi="ITC Avant Garde"/>
          <w:bCs/>
          <w:color w:val="000000"/>
          <w:sz w:val="22"/>
          <w:szCs w:val="22"/>
          <w:lang w:eastAsia="es-MX"/>
        </w:rPr>
        <w:t xml:space="preserve">remitió el oficio </w:t>
      </w:r>
      <w:r w:rsidR="00CC5CBF" w:rsidRPr="00634773">
        <w:rPr>
          <w:rFonts w:ascii="ITC Avant Garde" w:hAnsi="ITC Avant Garde"/>
          <w:bCs/>
          <w:color w:val="000000"/>
          <w:sz w:val="22"/>
          <w:szCs w:val="22"/>
          <w:lang w:eastAsia="es-MX"/>
        </w:rPr>
        <w:t>1.-287</w:t>
      </w:r>
      <w:r w:rsidR="005B3AF0" w:rsidRPr="00634773">
        <w:rPr>
          <w:rFonts w:ascii="ITC Avant Garde" w:hAnsi="ITC Avant Garde"/>
          <w:bCs/>
          <w:color w:val="000000"/>
          <w:sz w:val="22"/>
          <w:szCs w:val="22"/>
          <w:lang w:eastAsia="es-MX"/>
        </w:rPr>
        <w:t xml:space="preserve"> emitido por el Secretario del Ramo,</w:t>
      </w:r>
      <w:r w:rsidR="00005A94" w:rsidRPr="00634773">
        <w:rPr>
          <w:rFonts w:ascii="ITC Avant Garde" w:hAnsi="ITC Avant Garde"/>
          <w:bCs/>
          <w:color w:val="000000"/>
          <w:sz w:val="22"/>
          <w:szCs w:val="22"/>
          <w:lang w:eastAsia="es-MX"/>
        </w:rPr>
        <w:t xml:space="preserve"> </w:t>
      </w:r>
      <w:r w:rsidR="006B156B" w:rsidRPr="00634773">
        <w:rPr>
          <w:rFonts w:ascii="ITC Avant Garde" w:hAnsi="ITC Avant Garde"/>
          <w:bCs/>
          <w:color w:val="000000"/>
          <w:sz w:val="22"/>
          <w:szCs w:val="22"/>
          <w:lang w:eastAsia="es-MX"/>
        </w:rPr>
        <w:t xml:space="preserve">mismo que contiene la opinión </w:t>
      </w:r>
      <w:r w:rsidR="005B3AF0" w:rsidRPr="00634773">
        <w:rPr>
          <w:rFonts w:ascii="ITC Avant Garde" w:hAnsi="ITC Avant Garde"/>
          <w:bCs/>
          <w:color w:val="000000"/>
          <w:sz w:val="22"/>
          <w:szCs w:val="22"/>
          <w:lang w:eastAsia="es-MX"/>
        </w:rPr>
        <w:t>en sentido favorable con r</w:t>
      </w:r>
      <w:r w:rsidR="006B156B" w:rsidRPr="00634773">
        <w:rPr>
          <w:rFonts w:ascii="ITC Avant Garde" w:hAnsi="ITC Avant Garde"/>
          <w:bCs/>
          <w:color w:val="000000"/>
          <w:sz w:val="22"/>
          <w:szCs w:val="22"/>
          <w:lang w:eastAsia="es-MX"/>
        </w:rPr>
        <w:t>espe</w:t>
      </w:r>
      <w:r w:rsidR="004C2F05" w:rsidRPr="00634773">
        <w:rPr>
          <w:rFonts w:ascii="ITC Avant Garde" w:hAnsi="ITC Avant Garde"/>
          <w:bCs/>
          <w:color w:val="000000"/>
          <w:sz w:val="22"/>
          <w:szCs w:val="22"/>
          <w:lang w:eastAsia="es-MX"/>
        </w:rPr>
        <w:t>cto de</w:t>
      </w:r>
      <w:r w:rsidR="006B156B" w:rsidRPr="00634773">
        <w:rPr>
          <w:rFonts w:ascii="ITC Avant Garde" w:hAnsi="ITC Avant Garde"/>
          <w:bCs/>
          <w:color w:val="000000"/>
          <w:sz w:val="22"/>
          <w:szCs w:val="22"/>
          <w:lang w:eastAsia="es-MX"/>
        </w:rPr>
        <w:t xml:space="preserve"> la Solicitud de Prórr</w:t>
      </w:r>
      <w:r w:rsidR="00CC5CBF" w:rsidRPr="00634773">
        <w:rPr>
          <w:rFonts w:ascii="ITC Avant Garde" w:hAnsi="ITC Avant Garde"/>
          <w:bCs/>
          <w:color w:val="000000"/>
          <w:sz w:val="22"/>
          <w:szCs w:val="22"/>
          <w:lang w:eastAsia="es-MX"/>
        </w:rPr>
        <w:t>oga</w:t>
      </w:r>
      <w:r w:rsidR="006B156B" w:rsidRPr="00634773">
        <w:rPr>
          <w:rFonts w:ascii="ITC Avant Garde" w:hAnsi="ITC Avant Garde"/>
          <w:bCs/>
          <w:color w:val="000000"/>
          <w:sz w:val="22"/>
          <w:szCs w:val="22"/>
          <w:lang w:eastAsia="es-MX"/>
        </w:rPr>
        <w:t>.</w:t>
      </w:r>
    </w:p>
    <w:p w:rsidR="00634773" w:rsidRPr="00634773" w:rsidRDefault="00B048BA" w:rsidP="00634773">
      <w:pPr>
        <w:spacing w:before="240" w:line="240" w:lineRule="auto"/>
        <w:jc w:val="both"/>
        <w:rPr>
          <w:rFonts w:ascii="ITC Avant Garde" w:hAnsi="ITC Avant Garde"/>
          <w:bCs/>
          <w:color w:val="000000"/>
          <w:lang w:eastAsia="es-MX"/>
        </w:rPr>
      </w:pPr>
      <w:r w:rsidRPr="00634773">
        <w:rPr>
          <w:rFonts w:ascii="ITC Avant Garde" w:hAnsi="ITC Avant Garde"/>
          <w:bCs/>
          <w:color w:val="000000"/>
          <w:lang w:eastAsia="es-MX"/>
        </w:rPr>
        <w:t>En virtud de los Antecedentes referidos y</w:t>
      </w:r>
    </w:p>
    <w:p w:rsidR="00634773" w:rsidRPr="00634773" w:rsidRDefault="00B048BA" w:rsidP="00634773">
      <w:pPr>
        <w:pStyle w:val="Ttulo2"/>
        <w:spacing w:after="240"/>
        <w:jc w:val="center"/>
        <w:rPr>
          <w:rFonts w:ascii="ITC Avant Garde" w:hAnsi="ITC Avant Garde"/>
          <w:b/>
          <w:color w:val="000000" w:themeColor="text1"/>
          <w:sz w:val="22"/>
          <w:szCs w:val="22"/>
        </w:rPr>
      </w:pPr>
      <w:r w:rsidRPr="00634773">
        <w:rPr>
          <w:rFonts w:ascii="ITC Avant Garde" w:hAnsi="ITC Avant Garde"/>
          <w:b/>
          <w:color w:val="000000" w:themeColor="text1"/>
          <w:sz w:val="22"/>
          <w:szCs w:val="22"/>
        </w:rPr>
        <w:t>CONSIDERANDO</w:t>
      </w:r>
    </w:p>
    <w:p w:rsidR="00634773" w:rsidRPr="00634773" w:rsidRDefault="00B048BA" w:rsidP="00634773">
      <w:pPr>
        <w:autoSpaceDE w:val="0"/>
        <w:autoSpaceDN w:val="0"/>
        <w:adjustRightInd w:val="0"/>
        <w:spacing w:before="240" w:line="240" w:lineRule="auto"/>
        <w:jc w:val="both"/>
        <w:rPr>
          <w:rFonts w:ascii="ITC Avant Garde" w:hAnsi="ITC Avant Garde"/>
          <w:bCs/>
          <w:color w:val="000000"/>
          <w:lang w:eastAsia="es-MX"/>
        </w:rPr>
      </w:pPr>
      <w:r w:rsidRPr="00634773">
        <w:rPr>
          <w:rFonts w:ascii="ITC Avant Garde" w:hAnsi="ITC Avant Garde"/>
          <w:b/>
          <w:bCs/>
        </w:rPr>
        <w:t>Primero.-</w:t>
      </w:r>
      <w:r w:rsidRPr="00634773">
        <w:rPr>
          <w:rFonts w:ascii="ITC Avant Garde" w:hAnsi="ITC Avant Garde"/>
          <w:bCs/>
        </w:rPr>
        <w:t xml:space="preserve"> </w:t>
      </w:r>
      <w:r w:rsidRPr="00634773">
        <w:rPr>
          <w:rFonts w:ascii="ITC Avant Garde" w:hAnsi="ITC Avant Garde"/>
          <w:b/>
          <w:bCs/>
        </w:rPr>
        <w:t>Competencia.</w:t>
      </w:r>
      <w:r w:rsidRPr="00634773">
        <w:rPr>
          <w:rFonts w:ascii="ITC Avant Garde" w:hAnsi="ITC Avant Garde"/>
          <w:bCs/>
        </w:rPr>
        <w:t xml:space="preserve"> </w:t>
      </w:r>
      <w:r w:rsidR="000167EA" w:rsidRPr="00634773">
        <w:rPr>
          <w:rFonts w:ascii="ITC Avant Garde" w:hAnsi="ITC Avant Garde"/>
          <w:bCs/>
          <w:color w:val="000000"/>
          <w:lang w:eastAsia="es-MX"/>
        </w:rPr>
        <w:t>Conforme lo dispone el artículo 28 párrafos décimo quinto, décimo sexto y décimo séptimo de la Constitución</w:t>
      </w:r>
      <w:r w:rsidR="00BD0EBF" w:rsidRPr="00634773">
        <w:rPr>
          <w:rFonts w:ascii="ITC Avant Garde" w:hAnsi="ITC Avant Garde"/>
          <w:bCs/>
          <w:color w:val="000000"/>
          <w:lang w:eastAsia="es-MX"/>
        </w:rPr>
        <w:t xml:space="preserve"> Política de los Estados Unidos Mexicanos (la “Constitución”)</w:t>
      </w:r>
      <w:r w:rsidR="000167EA" w:rsidRPr="00634773">
        <w:rPr>
          <w:rFonts w:ascii="ITC Avant Garde" w:hAnsi="ITC Avant Garde"/>
          <w:bCs/>
          <w:color w:val="000000"/>
          <w:lang w:eastAsia="es-MX"/>
        </w:rPr>
        <w:t xml:space="preserve">, el Instituto es un órgano autónomo con personalidad jurídica y patrimonio propio, que tiene por objeto el desarrollo eficiente de la radiodifusión y las telecomunicaciones, conforme a lo dispuesto </w:t>
      </w:r>
      <w:r w:rsidR="00745C14" w:rsidRPr="00634773">
        <w:rPr>
          <w:rFonts w:ascii="ITC Avant Garde" w:hAnsi="ITC Avant Garde"/>
          <w:bCs/>
          <w:color w:val="000000"/>
          <w:lang w:eastAsia="es-MX"/>
        </w:rPr>
        <w:t xml:space="preserve">por </w:t>
      </w:r>
      <w:r w:rsidR="000167EA" w:rsidRPr="00634773">
        <w:rPr>
          <w:rFonts w:ascii="ITC Avant Garde" w:hAnsi="ITC Avant Garde"/>
          <w:bCs/>
          <w:color w:val="000000"/>
          <w:lang w:eastAsia="es-MX"/>
        </w:rPr>
        <w:t xml:space="preserve">la </w:t>
      </w:r>
      <w:r w:rsidR="00745C14" w:rsidRPr="00634773">
        <w:rPr>
          <w:rFonts w:ascii="ITC Avant Garde" w:hAnsi="ITC Avant Garde"/>
          <w:bCs/>
          <w:color w:val="000000"/>
          <w:lang w:eastAsia="es-MX"/>
        </w:rPr>
        <w:t xml:space="preserve">propia </w:t>
      </w:r>
      <w:r w:rsidR="000167EA" w:rsidRPr="00634773">
        <w:rPr>
          <w:rFonts w:ascii="ITC Avant Garde" w:hAnsi="ITC Avant Garde"/>
          <w:bCs/>
          <w:color w:val="000000"/>
          <w:lang w:eastAsia="es-MX"/>
        </w:rPr>
        <w:t xml:space="preserve">Constitución y en los términos que fijen las leyes. Para tal efecto, </w:t>
      </w:r>
      <w:r w:rsidR="00710757" w:rsidRPr="00634773">
        <w:rPr>
          <w:rFonts w:ascii="ITC Avant Garde" w:hAnsi="ITC Avant Garde"/>
          <w:bCs/>
          <w:color w:val="000000"/>
          <w:lang w:eastAsia="es-MX"/>
        </w:rPr>
        <w:t xml:space="preserve">tiene </w:t>
      </w:r>
      <w:r w:rsidR="000167EA" w:rsidRPr="00634773">
        <w:rPr>
          <w:rFonts w:ascii="ITC Avant Garde" w:hAnsi="ITC Avant Garde"/>
          <w:bCs/>
          <w:color w:val="000000"/>
          <w:lang w:eastAsia="es-MX"/>
        </w:rPr>
        <w:t xml:space="preserve">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6C61CE" w:rsidRPr="00634773">
        <w:rPr>
          <w:rFonts w:ascii="ITC Avant Garde" w:hAnsi="ITC Avant Garde"/>
          <w:bCs/>
          <w:color w:val="000000"/>
          <w:lang w:eastAsia="es-MX"/>
        </w:rPr>
        <w:t>por</w:t>
      </w:r>
      <w:r w:rsidR="000167EA" w:rsidRPr="00634773">
        <w:rPr>
          <w:rFonts w:ascii="ITC Avant Garde" w:hAnsi="ITC Avant Garde"/>
          <w:bCs/>
          <w:color w:val="000000"/>
          <w:lang w:eastAsia="es-MX"/>
        </w:rPr>
        <w:t xml:space="preserve"> los artículos 6o. y 7o. de la Constitución.</w:t>
      </w:r>
    </w:p>
    <w:p w:rsidR="00634773" w:rsidRPr="00634773" w:rsidRDefault="000167EA" w:rsidP="00634773">
      <w:pPr>
        <w:autoSpaceDE w:val="0"/>
        <w:autoSpaceDN w:val="0"/>
        <w:adjustRightInd w:val="0"/>
        <w:spacing w:before="240" w:line="240" w:lineRule="auto"/>
        <w:jc w:val="both"/>
        <w:rPr>
          <w:rFonts w:ascii="ITC Avant Garde" w:hAnsi="ITC Avant Garde"/>
          <w:bCs/>
          <w:color w:val="000000"/>
          <w:lang w:eastAsia="es-MX"/>
        </w:rPr>
      </w:pPr>
      <w:r w:rsidRPr="00634773">
        <w:rPr>
          <w:rFonts w:ascii="ITC Avant Garde" w:hAnsi="ITC Avant Garde"/>
          <w:bCs/>
          <w:color w:val="000000"/>
          <w:lang w:eastAsia="es-MX"/>
        </w:rPr>
        <w:t>Asimismo, el Instituto es la autoridad en materia de competencia económica de los sectores de radiodifusión y telecomunicaciones, por lo que</w:t>
      </w:r>
      <w:r w:rsidR="00745C14" w:rsidRPr="00634773">
        <w:rPr>
          <w:rFonts w:ascii="ITC Avant Garde" w:hAnsi="ITC Avant Garde"/>
          <w:bCs/>
          <w:color w:val="000000"/>
          <w:lang w:eastAsia="es-MX"/>
        </w:rPr>
        <w:t>,</w:t>
      </w:r>
      <w:r w:rsidRPr="00634773">
        <w:rPr>
          <w:rFonts w:ascii="ITC Avant Garde" w:hAnsi="ITC Avant Garde"/>
          <w:bCs/>
          <w:color w:val="000000"/>
          <w:lang w:eastAsia="es-MX"/>
        </w:rPr>
        <w:t xml:space="preserv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w:t>
      </w:r>
      <w:r w:rsidRPr="00634773">
        <w:rPr>
          <w:rFonts w:ascii="ITC Avant Garde" w:hAnsi="ITC Avant Garde"/>
          <w:bCs/>
          <w:color w:val="000000"/>
          <w:lang w:eastAsia="es-MX"/>
        </w:rPr>
        <w:lastRenderedPageBreak/>
        <w:t xml:space="preserve">telecomunicaciones que sirvan a un mismo mercado o zona de cobertura geográfica, garantizando lo dispuesto </w:t>
      </w:r>
      <w:r w:rsidR="006C61CE" w:rsidRPr="00634773">
        <w:rPr>
          <w:rFonts w:ascii="ITC Avant Garde" w:hAnsi="ITC Avant Garde"/>
          <w:bCs/>
          <w:color w:val="000000"/>
          <w:lang w:eastAsia="es-MX"/>
        </w:rPr>
        <w:t>por</w:t>
      </w:r>
      <w:r w:rsidRPr="00634773">
        <w:rPr>
          <w:rFonts w:ascii="ITC Avant Garde" w:hAnsi="ITC Avant Garde"/>
          <w:bCs/>
          <w:color w:val="000000"/>
          <w:lang w:eastAsia="es-MX"/>
        </w:rPr>
        <w:t xml:space="preserve"> los artículos 6o. y 7o. de la Constitución.</w:t>
      </w:r>
    </w:p>
    <w:p w:rsidR="00634773" w:rsidRPr="00634773" w:rsidRDefault="0097164F" w:rsidP="00634773">
      <w:pPr>
        <w:autoSpaceDE w:val="0"/>
        <w:autoSpaceDN w:val="0"/>
        <w:adjustRightInd w:val="0"/>
        <w:spacing w:before="240" w:line="240" w:lineRule="auto"/>
        <w:jc w:val="both"/>
        <w:rPr>
          <w:rFonts w:ascii="ITC Avant Garde" w:hAnsi="ITC Avant Garde" w:cs="Tahoma"/>
          <w:bCs/>
          <w:lang w:eastAsia="es-MX"/>
        </w:rPr>
      </w:pPr>
      <w:r w:rsidRPr="00634773">
        <w:rPr>
          <w:rFonts w:ascii="ITC Avant Garde" w:hAnsi="ITC Avant Garde"/>
          <w:bCs/>
          <w:color w:val="000000"/>
          <w:lang w:eastAsia="es-MX"/>
        </w:rPr>
        <w:t>De igual forma, corresponde al Instituto el otorgamiento de concesiones en materia de radiodifusión y telecomunicaciones.</w:t>
      </w:r>
      <w:r w:rsidR="0052048E" w:rsidRPr="00634773">
        <w:rPr>
          <w:rFonts w:ascii="ITC Avant Garde" w:hAnsi="ITC Avant Garde"/>
          <w:bCs/>
          <w:color w:val="000000"/>
          <w:lang w:eastAsia="es-MX"/>
        </w:rPr>
        <w:t xml:space="preserve"> </w:t>
      </w:r>
      <w:r w:rsidR="00745C14" w:rsidRPr="00634773">
        <w:rPr>
          <w:rFonts w:ascii="ITC Avant Garde" w:hAnsi="ITC Avant Garde" w:cs="Tahoma"/>
          <w:bCs/>
          <w:lang w:eastAsia="es-MX"/>
        </w:rPr>
        <w:t>En este sentido,</w:t>
      </w:r>
      <w:r w:rsidR="00A354C0" w:rsidRPr="00634773">
        <w:rPr>
          <w:rFonts w:ascii="ITC Avant Garde" w:hAnsi="ITC Avant Garde" w:cs="Tahoma"/>
          <w:bCs/>
          <w:lang w:eastAsia="es-MX"/>
        </w:rPr>
        <w:t xml:space="preserve"> </w:t>
      </w:r>
      <w:r w:rsidR="001965B6" w:rsidRPr="00634773">
        <w:rPr>
          <w:rFonts w:ascii="ITC Avant Garde" w:hAnsi="ITC Avant Garde" w:cs="Tahoma"/>
          <w:bCs/>
          <w:lang w:eastAsia="es-MX"/>
        </w:rPr>
        <w:t xml:space="preserve">el </w:t>
      </w:r>
      <w:r w:rsidR="00A354C0" w:rsidRPr="00634773">
        <w:rPr>
          <w:rFonts w:ascii="ITC Avant Garde" w:hAnsi="ITC Avant Garde" w:cs="Tahoma"/>
          <w:bCs/>
          <w:lang w:eastAsia="es-MX"/>
        </w:rPr>
        <w:t>Ple</w:t>
      </w:r>
      <w:r w:rsidR="009A2CD8" w:rsidRPr="00634773">
        <w:rPr>
          <w:rFonts w:ascii="ITC Avant Garde" w:hAnsi="ITC Avant Garde" w:cs="Tahoma"/>
          <w:bCs/>
          <w:lang w:eastAsia="es-MX"/>
        </w:rPr>
        <w:t xml:space="preserve">no del Instituto </w:t>
      </w:r>
      <w:r w:rsidR="00745C14" w:rsidRPr="00634773">
        <w:rPr>
          <w:rFonts w:ascii="ITC Avant Garde" w:hAnsi="ITC Avant Garde" w:cs="Tahoma"/>
          <w:bCs/>
          <w:lang w:eastAsia="es-MX"/>
        </w:rPr>
        <w:t xml:space="preserve">está facultado, </w:t>
      </w:r>
      <w:r w:rsidR="009A2CD8" w:rsidRPr="00634773">
        <w:rPr>
          <w:rFonts w:ascii="ITC Avant Garde" w:hAnsi="ITC Avant Garde" w:cs="Tahoma"/>
          <w:bCs/>
          <w:lang w:eastAsia="es-MX"/>
        </w:rPr>
        <w:t xml:space="preserve">conforme a lo establecido </w:t>
      </w:r>
      <w:r w:rsidR="00745C14" w:rsidRPr="00634773">
        <w:rPr>
          <w:rFonts w:ascii="ITC Avant Garde" w:hAnsi="ITC Avant Garde" w:cs="Tahoma"/>
          <w:bCs/>
          <w:lang w:eastAsia="es-MX"/>
        </w:rPr>
        <w:t>por</w:t>
      </w:r>
      <w:r w:rsidR="009A2CD8" w:rsidRPr="00634773">
        <w:rPr>
          <w:rFonts w:ascii="ITC Avant Garde" w:hAnsi="ITC Avant Garde" w:cs="Tahoma"/>
          <w:bCs/>
          <w:lang w:eastAsia="es-MX"/>
        </w:rPr>
        <w:t xml:space="preserve"> los </w:t>
      </w:r>
      <w:r w:rsidR="00A77C49" w:rsidRPr="00634773">
        <w:rPr>
          <w:rFonts w:ascii="ITC Avant Garde" w:hAnsi="ITC Avant Garde" w:cs="Tahoma"/>
          <w:bCs/>
          <w:lang w:eastAsia="es-MX"/>
        </w:rPr>
        <w:t>artículos 15 fracciones</w:t>
      </w:r>
      <w:r w:rsidR="00A354C0" w:rsidRPr="00634773">
        <w:rPr>
          <w:rFonts w:ascii="ITC Avant Garde" w:hAnsi="ITC Avant Garde" w:cs="Tahoma"/>
          <w:bCs/>
          <w:lang w:eastAsia="es-MX"/>
        </w:rPr>
        <w:t xml:space="preserve"> IV </w:t>
      </w:r>
      <w:r w:rsidR="00A77C49" w:rsidRPr="00634773">
        <w:rPr>
          <w:rFonts w:ascii="ITC Avant Garde" w:hAnsi="ITC Avant Garde" w:cs="Tahoma"/>
          <w:bCs/>
          <w:lang w:eastAsia="es-MX"/>
        </w:rPr>
        <w:t xml:space="preserve">y LVII </w:t>
      </w:r>
      <w:r w:rsidR="00A354C0" w:rsidRPr="00634773">
        <w:rPr>
          <w:rFonts w:ascii="ITC Avant Garde" w:hAnsi="ITC Avant Garde" w:cs="Tahoma"/>
          <w:bCs/>
          <w:lang w:eastAsia="es-MX"/>
        </w:rPr>
        <w:t xml:space="preserve">y 17 fracción I de la Ley Federal de Telecomunicaciones y Radiodifusión </w:t>
      </w:r>
      <w:r w:rsidR="00B74A5A" w:rsidRPr="00634773">
        <w:rPr>
          <w:rFonts w:ascii="ITC Avant Garde" w:hAnsi="ITC Avant Garde" w:cs="Tahoma"/>
          <w:bCs/>
          <w:lang w:eastAsia="es-MX"/>
        </w:rPr>
        <w:t>(</w:t>
      </w:r>
      <w:r w:rsidR="008106E9" w:rsidRPr="00634773">
        <w:rPr>
          <w:rFonts w:ascii="ITC Avant Garde" w:hAnsi="ITC Avant Garde" w:cs="Tahoma"/>
          <w:bCs/>
          <w:lang w:eastAsia="es-MX"/>
        </w:rPr>
        <w:t>la “Ley”</w:t>
      </w:r>
      <w:r w:rsidR="00B74A5A" w:rsidRPr="00634773">
        <w:rPr>
          <w:rFonts w:ascii="ITC Avant Garde" w:hAnsi="ITC Avant Garde" w:cs="Tahoma"/>
          <w:bCs/>
          <w:lang w:eastAsia="es-MX"/>
        </w:rPr>
        <w:t>)</w:t>
      </w:r>
      <w:r w:rsidR="00745C14" w:rsidRPr="00634773">
        <w:rPr>
          <w:rFonts w:ascii="ITC Avant Garde" w:hAnsi="ITC Avant Garde" w:cs="Tahoma"/>
          <w:bCs/>
          <w:lang w:eastAsia="es-MX"/>
        </w:rPr>
        <w:t>, para resolver sobre</w:t>
      </w:r>
      <w:r w:rsidR="00B74A5A" w:rsidRPr="00634773">
        <w:rPr>
          <w:rFonts w:ascii="ITC Avant Garde" w:hAnsi="ITC Avant Garde" w:cs="Tahoma"/>
          <w:bCs/>
          <w:lang w:eastAsia="es-MX"/>
        </w:rPr>
        <w:t xml:space="preserve"> </w:t>
      </w:r>
      <w:r w:rsidR="00A354C0" w:rsidRPr="00634773">
        <w:rPr>
          <w:rFonts w:ascii="ITC Avant Garde" w:hAnsi="ITC Avant Garde" w:cs="Tahoma"/>
          <w:bCs/>
          <w:lang w:eastAsia="es-MX"/>
        </w:rPr>
        <w:t xml:space="preserve">el otorgamiento de </w:t>
      </w:r>
      <w:r w:rsidR="00745C14" w:rsidRPr="00634773">
        <w:rPr>
          <w:rFonts w:ascii="ITC Avant Garde" w:hAnsi="ITC Avant Garde" w:cs="Tahoma"/>
          <w:bCs/>
          <w:lang w:eastAsia="es-MX"/>
        </w:rPr>
        <w:t xml:space="preserve">las </w:t>
      </w:r>
      <w:r w:rsidR="00A354C0" w:rsidRPr="00634773">
        <w:rPr>
          <w:rFonts w:ascii="ITC Avant Garde" w:hAnsi="ITC Avant Garde" w:cs="Tahoma"/>
          <w:bCs/>
          <w:lang w:eastAsia="es-MX"/>
        </w:rPr>
        <w:t>concesiones</w:t>
      </w:r>
      <w:r w:rsidR="00745C14" w:rsidRPr="00634773">
        <w:rPr>
          <w:rFonts w:ascii="ITC Avant Garde" w:hAnsi="ITC Avant Garde" w:cs="Tahoma"/>
          <w:bCs/>
          <w:lang w:eastAsia="es-MX"/>
        </w:rPr>
        <w:t xml:space="preserve"> señaladas</w:t>
      </w:r>
      <w:r w:rsidR="00A354C0" w:rsidRPr="00634773">
        <w:rPr>
          <w:rFonts w:ascii="ITC Avant Garde" w:hAnsi="ITC Avant Garde" w:cs="Tahoma"/>
          <w:bCs/>
          <w:lang w:eastAsia="es-MX"/>
        </w:rPr>
        <w:t>, así como resolver respecto de la prórroga, modificación o terminación de las mismas</w:t>
      </w:r>
      <w:r w:rsidR="0059543A" w:rsidRPr="00634773">
        <w:rPr>
          <w:rFonts w:ascii="ITC Avant Garde" w:hAnsi="ITC Avant Garde" w:cs="Tahoma"/>
          <w:bCs/>
          <w:lang w:eastAsia="es-MX"/>
        </w:rPr>
        <w:t xml:space="preserve">, </w:t>
      </w:r>
      <w:r w:rsidR="0019490F" w:rsidRPr="00634773">
        <w:rPr>
          <w:rFonts w:ascii="ITC Avant Garde" w:hAnsi="ITC Avant Garde" w:cs="Tahoma"/>
          <w:bCs/>
          <w:lang w:eastAsia="es-MX"/>
        </w:rPr>
        <w:t>e</w:t>
      </w:r>
      <w:r w:rsidR="0059543A" w:rsidRPr="00634773">
        <w:rPr>
          <w:rFonts w:ascii="ITC Avant Garde" w:hAnsi="ITC Avant Garde" w:cs="Tahoma"/>
          <w:bCs/>
          <w:lang w:eastAsia="es-MX"/>
        </w:rPr>
        <w:t xml:space="preserve"> interpretar la Ley y demás disposiciones administrativas en materia de telecomunicaciones y radiodifusión, en el ámbito de sus atribuciones</w:t>
      </w:r>
      <w:r w:rsidR="00A354C0" w:rsidRPr="00634773">
        <w:rPr>
          <w:rFonts w:ascii="ITC Avant Garde" w:hAnsi="ITC Avant Garde" w:cs="Tahoma"/>
          <w:bCs/>
          <w:lang w:eastAsia="es-MX"/>
        </w:rPr>
        <w:t xml:space="preserve">. </w:t>
      </w:r>
    </w:p>
    <w:p w:rsidR="00634773" w:rsidRPr="00634773" w:rsidRDefault="00710757"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cs="Tahoma"/>
          <w:bCs/>
          <w:lang w:eastAsia="es-MX"/>
        </w:rPr>
        <w:t>Por su parte</w:t>
      </w:r>
      <w:r w:rsidR="002D74C6" w:rsidRPr="00634773">
        <w:rPr>
          <w:rFonts w:ascii="ITC Avant Garde" w:hAnsi="ITC Avant Garde" w:cs="Tahoma"/>
          <w:bCs/>
          <w:lang w:eastAsia="es-MX"/>
        </w:rPr>
        <w:t xml:space="preserve"> y en consistencia con lo anterior, </w:t>
      </w:r>
      <w:r w:rsidRPr="00634773">
        <w:rPr>
          <w:rFonts w:ascii="ITC Avant Garde" w:hAnsi="ITC Avant Garde" w:cs="Tahoma"/>
          <w:bCs/>
          <w:lang w:eastAsia="es-MX"/>
        </w:rPr>
        <w:t>e</w:t>
      </w:r>
      <w:r w:rsidR="009A2CD8" w:rsidRPr="00634773">
        <w:rPr>
          <w:rFonts w:ascii="ITC Avant Garde" w:hAnsi="ITC Avant Garde" w:cs="Tahoma"/>
          <w:bCs/>
          <w:lang w:eastAsia="es-MX"/>
        </w:rPr>
        <w:t xml:space="preserve">l artículo 6 fracciones </w:t>
      </w:r>
      <w:r w:rsidR="004951FB" w:rsidRPr="00634773">
        <w:rPr>
          <w:rFonts w:ascii="ITC Avant Garde" w:hAnsi="ITC Avant Garde" w:cs="Tahoma"/>
          <w:bCs/>
          <w:lang w:eastAsia="es-MX"/>
        </w:rPr>
        <w:t>I, VI</w:t>
      </w:r>
      <w:r w:rsidR="0059543A" w:rsidRPr="00634773">
        <w:rPr>
          <w:rFonts w:ascii="ITC Avant Garde" w:hAnsi="ITC Avant Garde" w:cs="Tahoma"/>
          <w:bCs/>
          <w:lang w:eastAsia="es-MX"/>
        </w:rPr>
        <w:t>, XVIII</w:t>
      </w:r>
      <w:r w:rsidR="004951FB" w:rsidRPr="00634773">
        <w:rPr>
          <w:rFonts w:ascii="ITC Avant Garde" w:hAnsi="ITC Avant Garde" w:cs="Tahoma"/>
          <w:bCs/>
          <w:lang w:eastAsia="es-MX"/>
        </w:rPr>
        <w:t xml:space="preserve"> y XXXVII</w:t>
      </w:r>
      <w:r w:rsidR="00F90CF5" w:rsidRPr="00634773">
        <w:rPr>
          <w:rFonts w:ascii="ITC Avant Garde" w:hAnsi="ITC Avant Garde" w:cs="Tahoma"/>
          <w:bCs/>
          <w:lang w:eastAsia="es-MX"/>
        </w:rPr>
        <w:t>I</w:t>
      </w:r>
      <w:r w:rsidR="009A2CD8" w:rsidRPr="00634773">
        <w:rPr>
          <w:rFonts w:ascii="ITC Avant Garde" w:hAnsi="ITC Avant Garde" w:cs="Tahoma"/>
          <w:bCs/>
          <w:lang w:eastAsia="es-MX"/>
        </w:rPr>
        <w:t xml:space="preserve"> del </w:t>
      </w:r>
      <w:r w:rsidR="009A2CD8" w:rsidRPr="00634773">
        <w:rPr>
          <w:rFonts w:ascii="ITC Avant Garde" w:hAnsi="ITC Avant Garde"/>
          <w:bCs/>
          <w:lang w:eastAsia="es-MX"/>
        </w:rPr>
        <w:t>Estatuto Orgánico,</w:t>
      </w:r>
      <w:r w:rsidR="009A2CD8" w:rsidRPr="00634773">
        <w:rPr>
          <w:rFonts w:ascii="ITC Avant Garde" w:hAnsi="ITC Avant Garde" w:cs="Tahoma"/>
          <w:bCs/>
          <w:lang w:eastAsia="es-MX"/>
        </w:rPr>
        <w:t xml:space="preserve"> establece </w:t>
      </w:r>
      <w:r w:rsidR="006D1D70" w:rsidRPr="00634773">
        <w:rPr>
          <w:rFonts w:ascii="ITC Avant Garde" w:hAnsi="ITC Avant Garde" w:cs="Tahoma"/>
          <w:bCs/>
          <w:lang w:eastAsia="es-MX"/>
        </w:rPr>
        <w:t>como atribuciones d</w:t>
      </w:r>
      <w:r w:rsidR="009A2CD8" w:rsidRPr="00634773">
        <w:rPr>
          <w:rFonts w:ascii="ITC Avant Garde" w:hAnsi="ITC Avant Garde" w:cs="Tahoma"/>
          <w:bCs/>
          <w:lang w:eastAsia="es-MX"/>
        </w:rPr>
        <w:t>el Pleno del Instituto</w:t>
      </w:r>
      <w:r w:rsidR="006D1D70" w:rsidRPr="00634773">
        <w:rPr>
          <w:rFonts w:ascii="ITC Avant Garde" w:hAnsi="ITC Avant Garde" w:cs="Tahoma"/>
          <w:bCs/>
          <w:lang w:eastAsia="es-MX"/>
        </w:rPr>
        <w:t>, entre otras</w:t>
      </w:r>
      <w:r w:rsidR="0059543A" w:rsidRPr="00634773">
        <w:rPr>
          <w:rFonts w:ascii="ITC Avant Garde" w:hAnsi="ITC Avant Garde" w:cs="Tahoma"/>
          <w:bCs/>
          <w:lang w:eastAsia="es-MX"/>
        </w:rPr>
        <w:t>,</w:t>
      </w:r>
      <w:r w:rsidR="006D1D70" w:rsidRPr="00634773">
        <w:rPr>
          <w:rFonts w:ascii="ITC Avant Garde" w:hAnsi="ITC Avant Garde" w:cs="Tahoma"/>
          <w:bCs/>
          <w:lang w:eastAsia="es-MX"/>
        </w:rPr>
        <w:t xml:space="preserve"> la</w:t>
      </w:r>
      <w:r w:rsidR="009A2CD8" w:rsidRPr="00634773">
        <w:rPr>
          <w:rFonts w:ascii="ITC Avant Garde" w:hAnsi="ITC Avant Garde" w:cs="Tahoma"/>
          <w:bCs/>
          <w:lang w:eastAsia="es-MX"/>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6D1D70" w:rsidRPr="00634773">
        <w:rPr>
          <w:rFonts w:ascii="ITC Avant Garde" w:hAnsi="ITC Avant Garde" w:cs="Tahoma"/>
          <w:bCs/>
          <w:lang w:eastAsia="es-MX"/>
        </w:rPr>
        <w:t>;</w:t>
      </w:r>
      <w:r w:rsidR="009A2CD8" w:rsidRPr="00634773">
        <w:rPr>
          <w:rFonts w:ascii="ITC Avant Garde" w:hAnsi="ITC Avant Garde" w:cs="Tahoma"/>
          <w:bCs/>
          <w:lang w:eastAsia="es-MX"/>
        </w:rPr>
        <w:t xml:space="preserve"> regular de forma asimétrica a los participantes en los mercados de radiodifusión y telecomunicaciones a fin de eliminar eficazmente las barreras a la competencia y li</w:t>
      </w:r>
      <w:r w:rsidR="00982A94" w:rsidRPr="00634773">
        <w:rPr>
          <w:rFonts w:ascii="ITC Avant Garde" w:hAnsi="ITC Avant Garde" w:cs="Tahoma"/>
          <w:bCs/>
          <w:lang w:eastAsia="es-MX"/>
        </w:rPr>
        <w:t>bre concurrencia</w:t>
      </w:r>
      <w:r w:rsidR="0059543A" w:rsidRPr="00634773">
        <w:rPr>
          <w:rFonts w:ascii="ITC Avant Garde" w:hAnsi="ITC Avant Garde" w:cs="Tahoma"/>
          <w:bCs/>
          <w:lang w:eastAsia="es-MX"/>
        </w:rPr>
        <w:t>; interpretar, en su caso, la Ley y las disposiciones administrativas en materia de telecomunicaciones y radiodifusión, en el ámbito de sus atribuciones, así como las demás que la Ley y otros ordenamientos le confieran</w:t>
      </w:r>
      <w:r w:rsidR="00982A94" w:rsidRPr="00634773">
        <w:rPr>
          <w:rFonts w:ascii="ITC Avant Garde" w:hAnsi="ITC Avant Garde" w:cs="Tahoma"/>
          <w:bCs/>
          <w:lang w:eastAsia="es-MX"/>
        </w:rPr>
        <w:t>.</w:t>
      </w:r>
    </w:p>
    <w:p w:rsidR="00634773" w:rsidRPr="00634773" w:rsidRDefault="006D1D70" w:rsidP="00634773">
      <w:pPr>
        <w:autoSpaceDE w:val="0"/>
        <w:autoSpaceDN w:val="0"/>
        <w:adjustRightInd w:val="0"/>
        <w:spacing w:before="240" w:line="240" w:lineRule="auto"/>
        <w:jc w:val="both"/>
        <w:rPr>
          <w:rFonts w:ascii="ITC Avant Garde" w:hAnsi="ITC Avant Garde" w:cs="Tahoma"/>
          <w:bCs/>
          <w:lang w:eastAsia="es-MX"/>
        </w:rPr>
      </w:pPr>
      <w:r w:rsidRPr="00634773">
        <w:rPr>
          <w:rFonts w:ascii="ITC Avant Garde" w:hAnsi="ITC Avant Garde" w:cs="Tahoma"/>
          <w:bCs/>
          <w:lang w:eastAsia="es-MX"/>
        </w:rPr>
        <w:t>As</w:t>
      </w:r>
      <w:r w:rsidR="00E31A87" w:rsidRPr="00634773">
        <w:rPr>
          <w:rFonts w:ascii="ITC Avant Garde" w:hAnsi="ITC Avant Garde" w:cs="Tahoma"/>
          <w:bCs/>
          <w:lang w:eastAsia="es-MX"/>
        </w:rPr>
        <w:t>í</w:t>
      </w:r>
      <w:r w:rsidRPr="00634773">
        <w:rPr>
          <w:rFonts w:ascii="ITC Avant Garde" w:hAnsi="ITC Avant Garde" w:cs="Tahoma"/>
          <w:bCs/>
          <w:lang w:eastAsia="es-MX"/>
        </w:rPr>
        <w:t>, conforme a los artículos 32 y</w:t>
      </w:r>
      <w:r w:rsidR="00B573B6" w:rsidRPr="00634773">
        <w:rPr>
          <w:rFonts w:ascii="ITC Avant Garde" w:hAnsi="ITC Avant Garde" w:cs="Tahoma"/>
          <w:bCs/>
          <w:lang w:eastAsia="es-MX"/>
        </w:rPr>
        <w:t xml:space="preserve"> </w:t>
      </w:r>
      <w:r w:rsidR="0082518F" w:rsidRPr="00634773">
        <w:rPr>
          <w:rFonts w:ascii="ITC Avant Garde" w:hAnsi="ITC Avant Garde" w:cs="Tahoma"/>
          <w:bCs/>
          <w:lang w:eastAsia="es-MX"/>
        </w:rPr>
        <w:t>33 fracción II del Estatuto Orgánico</w:t>
      </w:r>
      <w:r w:rsidR="00876B09" w:rsidRPr="00634773">
        <w:rPr>
          <w:rFonts w:ascii="ITC Avant Garde" w:hAnsi="ITC Avant Garde" w:cs="Tahoma"/>
          <w:bCs/>
          <w:lang w:eastAsia="es-MX"/>
        </w:rPr>
        <w:t>,</w:t>
      </w:r>
      <w:r w:rsidR="00B048BA" w:rsidRPr="00634773">
        <w:rPr>
          <w:rFonts w:ascii="ITC Avant Garde" w:hAnsi="ITC Avant Garde"/>
          <w:bCs/>
        </w:rPr>
        <w:t xml:space="preserve"> corresponde a</w:t>
      </w:r>
      <w:r w:rsidR="0082518F" w:rsidRPr="00634773">
        <w:rPr>
          <w:rFonts w:ascii="ITC Avant Garde" w:hAnsi="ITC Avant Garde"/>
          <w:bCs/>
        </w:rPr>
        <w:t xml:space="preserve"> </w:t>
      </w:r>
      <w:r w:rsidR="0082518F" w:rsidRPr="00634773">
        <w:rPr>
          <w:rFonts w:ascii="ITC Avant Garde" w:hAnsi="ITC Avant Garde" w:cs="Tahoma"/>
          <w:bCs/>
          <w:lang w:eastAsia="es-MX"/>
        </w:rPr>
        <w:t xml:space="preserve">la </w:t>
      </w:r>
      <w:r w:rsidR="00F86867" w:rsidRPr="00634773">
        <w:rPr>
          <w:rFonts w:ascii="ITC Avant Garde" w:hAnsi="ITC Avant Garde" w:cs="Tahoma"/>
          <w:bCs/>
          <w:lang w:eastAsia="es-MX"/>
        </w:rPr>
        <w:t xml:space="preserve">Unidad de Concesiones y Servicios, a través de la </w:t>
      </w:r>
      <w:r w:rsidR="0082518F" w:rsidRPr="00634773">
        <w:rPr>
          <w:rFonts w:ascii="ITC Avant Garde" w:hAnsi="ITC Avant Garde" w:cs="Tahoma"/>
          <w:bCs/>
          <w:lang w:eastAsia="es-MX"/>
        </w:rPr>
        <w:t xml:space="preserve">Dirección General de Concesiones de Telecomunicaciones, tramitar y evaluar las solicitudes </w:t>
      </w:r>
      <w:r w:rsidR="0071048A" w:rsidRPr="00634773">
        <w:rPr>
          <w:rFonts w:ascii="ITC Avant Garde" w:hAnsi="ITC Avant Garde" w:cs="Tahoma"/>
          <w:bCs/>
          <w:lang w:eastAsia="es-MX"/>
        </w:rPr>
        <w:t xml:space="preserve">de cesión, modificación o prórroga de las concesiones </w:t>
      </w:r>
      <w:r w:rsidR="0082518F" w:rsidRPr="00634773">
        <w:rPr>
          <w:rFonts w:ascii="ITC Avant Garde" w:hAnsi="ITC Avant Garde" w:cs="Tahoma"/>
          <w:bCs/>
          <w:lang w:eastAsia="es-MX"/>
        </w:rPr>
        <w:t>e</w:t>
      </w:r>
      <w:r w:rsidR="0071048A" w:rsidRPr="00634773">
        <w:rPr>
          <w:rFonts w:ascii="ITC Avant Garde" w:hAnsi="ITC Avant Garde" w:cs="Tahoma"/>
          <w:bCs/>
          <w:lang w:eastAsia="es-MX"/>
        </w:rPr>
        <w:t>n materia de telecomunicaciones</w:t>
      </w:r>
      <w:r w:rsidR="0082518F" w:rsidRPr="00634773">
        <w:rPr>
          <w:rFonts w:ascii="ITC Avant Garde" w:hAnsi="ITC Avant Garde" w:cs="Tahoma"/>
          <w:bCs/>
          <w:lang w:eastAsia="es-MX"/>
        </w:rPr>
        <w:t xml:space="preserve"> para somet</w:t>
      </w:r>
      <w:r w:rsidR="0071048A" w:rsidRPr="00634773">
        <w:rPr>
          <w:rFonts w:ascii="ITC Avant Garde" w:hAnsi="ITC Avant Garde" w:cs="Tahoma"/>
          <w:bCs/>
          <w:lang w:eastAsia="es-MX"/>
        </w:rPr>
        <w:t>erlas a consider</w:t>
      </w:r>
      <w:r w:rsidR="009F21AA" w:rsidRPr="00634773">
        <w:rPr>
          <w:rFonts w:ascii="ITC Avant Garde" w:hAnsi="ITC Avant Garde" w:cs="Tahoma"/>
          <w:bCs/>
          <w:lang w:eastAsia="es-MX"/>
        </w:rPr>
        <w:t>ación del Pleno</w:t>
      </w:r>
      <w:r w:rsidR="00B72208" w:rsidRPr="00634773">
        <w:rPr>
          <w:rFonts w:ascii="ITC Avant Garde" w:hAnsi="ITC Avant Garde" w:cs="Tahoma"/>
          <w:bCs/>
          <w:lang w:eastAsia="es-MX"/>
        </w:rPr>
        <w:t>, solicitando opinión previa a la Unidad de Competencia Económica</w:t>
      </w:r>
      <w:r w:rsidR="0009578B" w:rsidRPr="00634773">
        <w:rPr>
          <w:rFonts w:ascii="ITC Avant Garde" w:hAnsi="ITC Avant Garde" w:cs="Tahoma"/>
          <w:bCs/>
          <w:lang w:eastAsia="es-MX"/>
        </w:rPr>
        <w:t>,</w:t>
      </w:r>
      <w:r w:rsidR="00B72208" w:rsidRPr="00634773">
        <w:rPr>
          <w:rFonts w:ascii="ITC Avant Garde" w:hAnsi="ITC Avant Garde" w:cs="Tahoma"/>
          <w:bCs/>
          <w:lang w:eastAsia="es-MX"/>
        </w:rPr>
        <w:t xml:space="preserve"> </w:t>
      </w:r>
      <w:r w:rsidR="009F21AA" w:rsidRPr="00634773">
        <w:rPr>
          <w:rFonts w:ascii="ITC Avant Garde" w:hAnsi="ITC Avant Garde" w:cs="Tahoma"/>
          <w:bCs/>
          <w:lang w:eastAsia="es-MX"/>
        </w:rPr>
        <w:t xml:space="preserve">tratándose de prórrogas de concesión </w:t>
      </w:r>
      <w:r w:rsidR="00E54E96" w:rsidRPr="00634773">
        <w:rPr>
          <w:rFonts w:ascii="ITC Avant Garde" w:hAnsi="ITC Avant Garde" w:cs="Tahoma"/>
          <w:bCs/>
          <w:lang w:eastAsia="es-MX"/>
        </w:rPr>
        <w:t>para</w:t>
      </w:r>
      <w:r w:rsidR="009F21AA" w:rsidRPr="00634773">
        <w:rPr>
          <w:rFonts w:ascii="ITC Avant Garde" w:hAnsi="ITC Avant Garde" w:cs="Tahoma"/>
          <w:bCs/>
          <w:lang w:eastAsia="es-MX"/>
        </w:rPr>
        <w:t xml:space="preserve"> uso comercial</w:t>
      </w:r>
      <w:r w:rsidR="00B72208" w:rsidRPr="00634773">
        <w:rPr>
          <w:rFonts w:ascii="ITC Avant Garde" w:hAnsi="ITC Avant Garde" w:cs="Tahoma"/>
          <w:bCs/>
          <w:lang w:eastAsia="es-MX"/>
        </w:rPr>
        <w:t>.</w:t>
      </w:r>
    </w:p>
    <w:p w:rsidR="00634773" w:rsidRPr="00634773" w:rsidRDefault="00C64648" w:rsidP="00634773">
      <w:pPr>
        <w:autoSpaceDE w:val="0"/>
        <w:autoSpaceDN w:val="0"/>
        <w:adjustRightInd w:val="0"/>
        <w:spacing w:before="240" w:line="240" w:lineRule="auto"/>
        <w:jc w:val="both"/>
        <w:rPr>
          <w:rFonts w:ascii="ITC Avant Garde" w:hAnsi="ITC Avant Garde"/>
          <w:b/>
          <w:bCs/>
        </w:rPr>
      </w:pPr>
      <w:r w:rsidRPr="00634773">
        <w:rPr>
          <w:rFonts w:ascii="ITC Avant Garde" w:hAnsi="ITC Avant Garde"/>
          <w:bCs/>
        </w:rPr>
        <w:t>En este orden de ideas, el Instituto está facultado para otorgar concesiones e</w:t>
      </w:r>
      <w:r w:rsidR="00BB642B" w:rsidRPr="00634773">
        <w:rPr>
          <w:rFonts w:ascii="ITC Avant Garde" w:hAnsi="ITC Avant Garde"/>
          <w:bCs/>
        </w:rPr>
        <w:t>n materia de telecomunicaciones,</w:t>
      </w:r>
      <w:r w:rsidRPr="00634773">
        <w:rPr>
          <w:rFonts w:ascii="ITC Avant Garde" w:hAnsi="ITC Avant Garde"/>
          <w:bCs/>
        </w:rPr>
        <w:t xml:space="preserve"> resolver respecto de </w:t>
      </w:r>
      <w:r w:rsidR="00B72208" w:rsidRPr="00634773">
        <w:rPr>
          <w:rFonts w:ascii="ITC Avant Garde" w:hAnsi="ITC Avant Garde"/>
          <w:bCs/>
        </w:rPr>
        <w:t>la</w:t>
      </w:r>
      <w:r w:rsidRPr="00634773">
        <w:rPr>
          <w:rFonts w:ascii="ITC Avant Garde" w:hAnsi="ITC Avant Garde"/>
          <w:bCs/>
        </w:rPr>
        <w:t xml:space="preserve"> prórroga, modificación o terminación de las mismas, además de tener a su cargo la regulación, promoción y supervisión de</w:t>
      </w:r>
      <w:r w:rsidRPr="00634773">
        <w:rPr>
          <w:rFonts w:ascii="ITC Avant Garde" w:hAnsi="ITC Avant Garde" w:cs="Tahoma"/>
          <w:bCs/>
          <w:lang w:eastAsia="es-MX"/>
        </w:rPr>
        <w:t xml:space="preserve">l uso, aprovechamiento y explotación </w:t>
      </w:r>
      <w:r w:rsidR="0059543A" w:rsidRPr="00634773">
        <w:rPr>
          <w:rFonts w:ascii="ITC Avant Garde" w:hAnsi="ITC Avant Garde" w:cs="Tahoma"/>
          <w:bCs/>
          <w:lang w:eastAsia="es-MX"/>
        </w:rPr>
        <w:t xml:space="preserve">eficiente </w:t>
      </w:r>
      <w:r w:rsidRPr="00634773">
        <w:rPr>
          <w:rFonts w:ascii="ITC Avant Garde" w:hAnsi="ITC Avant Garde" w:cs="Tahoma"/>
          <w:bCs/>
          <w:lang w:eastAsia="es-MX"/>
        </w:rPr>
        <w:t>del espectro radioeléctrico, los recursos orbitales, los servicios satelitales, las redes de telecomunicaciones y la prestación de los servicios de radiodifusión y telecomunicaciones,</w:t>
      </w:r>
      <w:r w:rsidR="00BB642B" w:rsidRPr="00634773">
        <w:rPr>
          <w:rFonts w:ascii="ITC Avant Garde" w:hAnsi="ITC Avant Garde" w:cs="Tahoma"/>
          <w:bCs/>
          <w:lang w:eastAsia="es-MX"/>
        </w:rPr>
        <w:t xml:space="preserve"> entre otros. Asimismo, el Instituto se encuentra facultado para</w:t>
      </w:r>
      <w:r w:rsidR="0059543A" w:rsidRPr="00634773">
        <w:rPr>
          <w:rFonts w:ascii="ITC Avant Garde" w:hAnsi="ITC Avant Garde" w:cs="Tahoma"/>
          <w:bCs/>
          <w:lang w:eastAsia="es-MX"/>
        </w:rPr>
        <w:t xml:space="preserve"> interpretar la Ley y las disposiciones administrativas en materia de telecomunicaciones y radiodifusión en el ámbito de sus atribuciones,</w:t>
      </w:r>
      <w:r w:rsidRPr="00634773">
        <w:rPr>
          <w:rFonts w:ascii="ITC Avant Garde" w:hAnsi="ITC Avant Garde" w:cs="Tahoma"/>
          <w:bCs/>
          <w:lang w:eastAsia="es-MX"/>
        </w:rPr>
        <w:t xml:space="preserve"> por lo que </w:t>
      </w:r>
      <w:r w:rsidRPr="00634773">
        <w:rPr>
          <w:rFonts w:ascii="ITC Avant Garde" w:hAnsi="ITC Avant Garde"/>
          <w:bCs/>
        </w:rPr>
        <w:t>el Pleno, como órgano máximo de gobierno y decisión del Instituto, se encuentra plenamente facultado para resolver la Solicitud de Prórroga</w:t>
      </w:r>
      <w:r w:rsidR="00BB642B" w:rsidRPr="00634773">
        <w:rPr>
          <w:rFonts w:ascii="ITC Avant Garde" w:hAnsi="ITC Avant Garde"/>
          <w:bCs/>
        </w:rPr>
        <w:t>.</w:t>
      </w:r>
    </w:p>
    <w:p w:rsidR="00634773" w:rsidRPr="00634773" w:rsidRDefault="00F41FAD" w:rsidP="00634773">
      <w:pPr>
        <w:autoSpaceDE w:val="0"/>
        <w:autoSpaceDN w:val="0"/>
        <w:adjustRightInd w:val="0"/>
        <w:spacing w:before="240" w:line="240" w:lineRule="auto"/>
        <w:jc w:val="both"/>
        <w:rPr>
          <w:rFonts w:ascii="ITC Avant Garde" w:hAnsi="ITC Avant Garde"/>
          <w:bCs/>
          <w:color w:val="000000"/>
          <w:lang w:eastAsia="es-MX"/>
        </w:rPr>
      </w:pPr>
      <w:r w:rsidRPr="00634773">
        <w:rPr>
          <w:rFonts w:ascii="ITC Avant Garde" w:hAnsi="ITC Avant Garde"/>
          <w:b/>
          <w:bCs/>
        </w:rPr>
        <w:lastRenderedPageBreak/>
        <w:t>Segundo.-</w:t>
      </w:r>
      <w:r w:rsidRPr="00634773">
        <w:rPr>
          <w:rFonts w:ascii="ITC Avant Garde" w:hAnsi="ITC Avant Garde"/>
        </w:rPr>
        <w:t xml:space="preserve"> </w:t>
      </w:r>
      <w:r w:rsidRPr="00634773">
        <w:rPr>
          <w:rFonts w:ascii="ITC Avant Garde" w:hAnsi="ITC Avant Garde"/>
          <w:b/>
          <w:bCs/>
        </w:rPr>
        <w:t xml:space="preserve">Marco </w:t>
      </w:r>
      <w:r w:rsidR="00456B81" w:rsidRPr="00634773">
        <w:rPr>
          <w:rFonts w:ascii="ITC Avant Garde" w:hAnsi="ITC Avant Garde"/>
          <w:b/>
          <w:bCs/>
        </w:rPr>
        <w:t xml:space="preserve">normativo </w:t>
      </w:r>
      <w:r w:rsidRPr="00634773">
        <w:rPr>
          <w:rFonts w:ascii="ITC Avant Garde" w:hAnsi="ITC Avant Garde"/>
          <w:b/>
          <w:bCs/>
        </w:rPr>
        <w:t>aplicable a prórroga</w:t>
      </w:r>
      <w:r w:rsidR="00456B81" w:rsidRPr="00634773">
        <w:rPr>
          <w:rFonts w:ascii="ITC Avant Garde" w:hAnsi="ITC Avant Garde"/>
          <w:b/>
          <w:bCs/>
        </w:rPr>
        <w:t>s</w:t>
      </w:r>
      <w:r w:rsidRPr="00634773">
        <w:rPr>
          <w:rFonts w:ascii="ITC Avant Garde" w:hAnsi="ITC Avant Garde"/>
          <w:b/>
          <w:bCs/>
        </w:rPr>
        <w:t xml:space="preserve"> de vigencia de concesiones en materia de telecomunicaciones.</w:t>
      </w:r>
      <w:r w:rsidRPr="00634773">
        <w:rPr>
          <w:rFonts w:ascii="ITC Avant Garde" w:hAnsi="ITC Avant Garde"/>
        </w:rPr>
        <w:t xml:space="preserve"> </w:t>
      </w:r>
      <w:r w:rsidR="00815233" w:rsidRPr="00634773">
        <w:rPr>
          <w:rFonts w:ascii="ITC Avant Garde" w:hAnsi="ITC Avant Garde"/>
        </w:rPr>
        <w:t>La condición</w:t>
      </w:r>
      <w:r w:rsidR="00183AFE" w:rsidRPr="00634773">
        <w:rPr>
          <w:rFonts w:ascii="ITC Avant Garde" w:hAnsi="ITC Avant Garde"/>
        </w:rPr>
        <w:t xml:space="preserve"> </w:t>
      </w:r>
      <w:r w:rsidR="00815233" w:rsidRPr="00634773">
        <w:rPr>
          <w:rFonts w:ascii="ITC Avant Garde" w:hAnsi="ITC Avant Garde"/>
        </w:rPr>
        <w:t>8</w:t>
      </w:r>
      <w:r w:rsidR="00362D2F" w:rsidRPr="00634773">
        <w:rPr>
          <w:rFonts w:ascii="ITC Avant Garde" w:hAnsi="ITC Avant Garde"/>
        </w:rPr>
        <w:t>-</w:t>
      </w:r>
      <w:r w:rsidR="00815233" w:rsidRPr="00634773">
        <w:rPr>
          <w:rFonts w:ascii="ITC Avant Garde" w:hAnsi="ITC Avant Garde"/>
        </w:rPr>
        <w:t>2</w:t>
      </w:r>
      <w:r w:rsidR="00183AFE" w:rsidRPr="00634773">
        <w:rPr>
          <w:rFonts w:ascii="ITC Avant Garde" w:hAnsi="ITC Avant Garde"/>
        </w:rPr>
        <w:t xml:space="preserve"> de la</w:t>
      </w:r>
      <w:r w:rsidR="00815233" w:rsidRPr="00634773">
        <w:rPr>
          <w:rFonts w:ascii="ITC Avant Garde" w:hAnsi="ITC Avant Garde"/>
        </w:rPr>
        <w:t xml:space="preserve"> Concesión</w:t>
      </w:r>
      <w:r w:rsidR="00E22721" w:rsidRPr="00634773">
        <w:rPr>
          <w:rFonts w:ascii="ITC Avant Garde" w:hAnsi="ITC Avant Garde"/>
        </w:rPr>
        <w:t>,</w:t>
      </w:r>
      <w:r w:rsidR="00815233" w:rsidRPr="00634773">
        <w:rPr>
          <w:rFonts w:ascii="ITC Avant Garde" w:hAnsi="ITC Avant Garde"/>
        </w:rPr>
        <w:t xml:space="preserve"> den</w:t>
      </w:r>
      <w:r w:rsidR="00EB1CD9" w:rsidRPr="00634773">
        <w:rPr>
          <w:rFonts w:ascii="ITC Avant Garde" w:hAnsi="ITC Avant Garde"/>
          <w:bCs/>
          <w:color w:val="000000"/>
          <w:lang w:eastAsia="es-MX"/>
        </w:rPr>
        <w:t>ominada</w:t>
      </w:r>
      <w:r w:rsidR="00815233" w:rsidRPr="00634773">
        <w:rPr>
          <w:rFonts w:ascii="ITC Avant Garde" w:hAnsi="ITC Avant Garde"/>
          <w:bCs/>
          <w:color w:val="000000"/>
          <w:lang w:eastAsia="es-MX"/>
        </w:rPr>
        <w:t xml:space="preserve"> “Prórrogas de la Concesión</w:t>
      </w:r>
      <w:r w:rsidR="00EB1CD9" w:rsidRPr="00634773">
        <w:rPr>
          <w:rFonts w:ascii="ITC Avant Garde" w:hAnsi="ITC Avant Garde"/>
          <w:bCs/>
          <w:color w:val="000000"/>
          <w:lang w:eastAsia="es-MX"/>
        </w:rPr>
        <w:t>”</w:t>
      </w:r>
      <w:r w:rsidR="00C03842" w:rsidRPr="00634773">
        <w:rPr>
          <w:rFonts w:ascii="ITC Avant Garde" w:hAnsi="ITC Avant Garde"/>
          <w:bCs/>
          <w:color w:val="000000"/>
          <w:lang w:eastAsia="es-MX"/>
        </w:rPr>
        <w:t>,</w:t>
      </w:r>
      <w:r w:rsidR="00815233" w:rsidRPr="00634773">
        <w:rPr>
          <w:rFonts w:ascii="ITC Avant Garde" w:hAnsi="ITC Avant Garde"/>
          <w:bCs/>
          <w:color w:val="000000"/>
          <w:lang w:eastAsia="es-MX"/>
        </w:rPr>
        <w:t xml:space="preserve"> señala</w:t>
      </w:r>
      <w:r w:rsidR="00C46D0B" w:rsidRPr="00634773">
        <w:rPr>
          <w:rFonts w:ascii="ITC Avant Garde" w:hAnsi="ITC Avant Garde"/>
          <w:bCs/>
          <w:color w:val="000000"/>
          <w:lang w:eastAsia="es-MX"/>
        </w:rPr>
        <w:t xml:space="preserve"> </w:t>
      </w:r>
      <w:r w:rsidR="00815233" w:rsidRPr="00634773">
        <w:rPr>
          <w:rFonts w:ascii="ITC Avant Garde" w:hAnsi="ITC Avant Garde"/>
          <w:bCs/>
          <w:color w:val="000000"/>
          <w:lang w:eastAsia="es-MX"/>
        </w:rPr>
        <w:t>lo siguiente:</w:t>
      </w:r>
    </w:p>
    <w:p w:rsidR="00634773" w:rsidRPr="00634773" w:rsidRDefault="00CC3CAD" w:rsidP="00634773">
      <w:pPr>
        <w:spacing w:before="240" w:line="240" w:lineRule="auto"/>
        <w:ind w:left="1560"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r w:rsidR="00815233" w:rsidRPr="00634773">
        <w:rPr>
          <w:rFonts w:ascii="ITC Avant Garde" w:hAnsi="ITC Avant Garde"/>
          <w:bCs/>
          <w:color w:val="000000"/>
          <w:sz w:val="18"/>
          <w:szCs w:val="18"/>
          <w:lang w:eastAsia="es-MX"/>
        </w:rPr>
        <w:t xml:space="preserve">8.2 </w:t>
      </w:r>
      <w:r w:rsidR="00815233" w:rsidRPr="00634773">
        <w:rPr>
          <w:rFonts w:ascii="ITC Avant Garde" w:hAnsi="ITC Avant Garde"/>
          <w:bCs/>
          <w:color w:val="000000"/>
          <w:sz w:val="18"/>
          <w:szCs w:val="18"/>
          <w:u w:val="single"/>
          <w:lang w:eastAsia="es-MX"/>
        </w:rPr>
        <w:t>Prórrogas de la Concesión</w:t>
      </w:r>
    </w:p>
    <w:p w:rsidR="00634773" w:rsidRPr="00634773" w:rsidRDefault="00815233" w:rsidP="00634773">
      <w:pPr>
        <w:spacing w:before="240" w:line="240" w:lineRule="auto"/>
        <w:ind w:left="1560" w:right="615" w:hanging="989"/>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ab/>
        <w:t>La presente concesión será prorrogada por 15 años, siempre que ‘Telmex’ hubiese satisfecho las condiciones que le impone este Título, no hubiere incurrido en ninguna causa de caducidad, lo solicite con 10 años de anticipación al vencimiento de esta concesión, y acepte las nuevas condiciones para la prestación del servicio que con vista al interés público imponga ‘La Secretaría’.</w:t>
      </w:r>
    </w:p>
    <w:p w:rsidR="00634773" w:rsidRPr="00634773" w:rsidRDefault="00815233" w:rsidP="00634773">
      <w:pPr>
        <w:spacing w:before="240" w:line="240" w:lineRule="auto"/>
        <w:ind w:left="1560" w:right="615" w:hanging="989"/>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ab/>
        <w:t>‘La Secretaría’ en un plazo no mayor de 180 días contados a partir de la solicitud de ‘Telmex’, otorgará la prórroga en los términos establecidos en el párrafo anterior.</w:t>
      </w:r>
    </w:p>
    <w:p w:rsidR="00634773" w:rsidRPr="00634773" w:rsidRDefault="00815233" w:rsidP="00634773">
      <w:pPr>
        <w:spacing w:before="240" w:line="240" w:lineRule="auto"/>
        <w:ind w:left="1560" w:right="615" w:hanging="989"/>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ab/>
      </w:r>
      <w:r w:rsidR="00DE2836" w:rsidRPr="00634773">
        <w:rPr>
          <w:rFonts w:ascii="ITC Avant Garde" w:hAnsi="ITC Avant Garde"/>
          <w:bCs/>
          <w:color w:val="000000"/>
          <w:sz w:val="18"/>
          <w:szCs w:val="18"/>
          <w:lang w:eastAsia="es-MX"/>
        </w:rPr>
        <w:t>Al término de la primer prórroga, la concesión podrá ser prorrogable nuevamente hasta por el periodo máximo que permita la ley.</w:t>
      </w:r>
      <w:r w:rsidR="00F66FA4" w:rsidRPr="00634773">
        <w:rPr>
          <w:rFonts w:ascii="ITC Avant Garde" w:hAnsi="ITC Avant Garde"/>
          <w:bCs/>
          <w:color w:val="000000"/>
          <w:sz w:val="18"/>
          <w:szCs w:val="18"/>
          <w:lang w:eastAsia="es-MX"/>
        </w:rPr>
        <w:t>”</w:t>
      </w:r>
    </w:p>
    <w:p w:rsidR="00634773" w:rsidRPr="00634773" w:rsidRDefault="00362D2F" w:rsidP="00634773">
      <w:pPr>
        <w:autoSpaceDE w:val="0"/>
        <w:autoSpaceDN w:val="0"/>
        <w:adjustRightInd w:val="0"/>
        <w:spacing w:before="240" w:line="240" w:lineRule="auto"/>
        <w:jc w:val="both"/>
        <w:rPr>
          <w:rFonts w:ascii="ITC Avant Garde" w:hAnsi="ITC Avant Garde"/>
        </w:rPr>
      </w:pPr>
      <w:r w:rsidRPr="00634773">
        <w:rPr>
          <w:rFonts w:ascii="ITC Avant Garde" w:hAnsi="ITC Avant Garde"/>
        </w:rPr>
        <w:t>Asimismo, la condición 2-1 de la Concesión</w:t>
      </w:r>
      <w:r w:rsidR="00E22721" w:rsidRPr="00634773">
        <w:rPr>
          <w:rFonts w:ascii="ITC Avant Garde" w:hAnsi="ITC Avant Garde"/>
        </w:rPr>
        <w:t>,</w:t>
      </w:r>
      <w:r w:rsidRPr="00634773">
        <w:rPr>
          <w:rFonts w:ascii="ITC Avant Garde" w:hAnsi="ITC Avant Garde"/>
        </w:rPr>
        <w:t xml:space="preserve"> denominada “Legislación Aplicable”</w:t>
      </w:r>
      <w:r w:rsidR="00E22721" w:rsidRPr="00634773">
        <w:rPr>
          <w:rFonts w:ascii="ITC Avant Garde" w:hAnsi="ITC Avant Garde"/>
        </w:rPr>
        <w:t>,</w:t>
      </w:r>
      <w:r w:rsidRPr="00634773">
        <w:rPr>
          <w:rFonts w:ascii="ITC Avant Garde" w:hAnsi="ITC Avant Garde"/>
        </w:rPr>
        <w:t xml:space="preserve"> estableció:</w:t>
      </w:r>
    </w:p>
    <w:p w:rsidR="00634773" w:rsidRPr="00634773" w:rsidRDefault="00362D2F" w:rsidP="00634773">
      <w:pPr>
        <w:spacing w:before="240" w:line="240" w:lineRule="auto"/>
        <w:ind w:left="1560" w:right="615" w:hanging="989"/>
        <w:jc w:val="both"/>
        <w:rPr>
          <w:rFonts w:ascii="ITC Avant Garde" w:hAnsi="ITC Avant Garde"/>
          <w:bCs/>
          <w:color w:val="000000"/>
          <w:sz w:val="18"/>
          <w:szCs w:val="18"/>
          <w:lang w:eastAsia="es-MX"/>
        </w:rPr>
      </w:pPr>
      <w:r w:rsidRPr="00634773">
        <w:rPr>
          <w:rFonts w:ascii="ITC Avant Garde" w:hAnsi="ITC Avant Garde"/>
        </w:rPr>
        <w:tab/>
      </w:r>
      <w:r w:rsidRPr="00634773">
        <w:rPr>
          <w:rFonts w:ascii="ITC Avant Garde" w:hAnsi="ITC Avant Garde"/>
          <w:bCs/>
          <w:color w:val="000000"/>
          <w:sz w:val="18"/>
          <w:szCs w:val="18"/>
          <w:lang w:eastAsia="es-MX"/>
        </w:rPr>
        <w:t xml:space="preserve">“2-1 </w:t>
      </w:r>
      <w:r w:rsidRPr="00634773">
        <w:rPr>
          <w:rFonts w:ascii="ITC Avant Garde" w:hAnsi="ITC Avant Garde"/>
          <w:bCs/>
          <w:color w:val="000000"/>
          <w:sz w:val="18"/>
          <w:szCs w:val="18"/>
          <w:u w:val="single"/>
          <w:lang w:eastAsia="es-MX"/>
        </w:rPr>
        <w:t>Legislación Aplicable</w:t>
      </w:r>
    </w:p>
    <w:p w:rsidR="00634773" w:rsidRPr="00634773" w:rsidRDefault="00362D2F" w:rsidP="00634773">
      <w:pPr>
        <w:spacing w:before="240" w:line="240" w:lineRule="auto"/>
        <w:ind w:left="1560" w:right="615" w:hanging="989"/>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ab/>
      </w:r>
      <w:r w:rsidRPr="00634773">
        <w:rPr>
          <w:rFonts w:ascii="ITC Avant Garde" w:hAnsi="ITC Avant Garde"/>
          <w:bCs/>
          <w:color w:val="000000"/>
          <w:sz w:val="18"/>
          <w:szCs w:val="18"/>
          <w:u w:val="single"/>
          <w:lang w:eastAsia="es-MX"/>
        </w:rPr>
        <w:t xml:space="preserve">El servicio público </w:t>
      </w:r>
      <w:r w:rsidR="001E1D9C" w:rsidRPr="00634773">
        <w:rPr>
          <w:rFonts w:ascii="ITC Avant Garde" w:hAnsi="ITC Avant Garde"/>
          <w:bCs/>
          <w:color w:val="000000"/>
          <w:sz w:val="18"/>
          <w:szCs w:val="18"/>
          <w:u w:val="single"/>
          <w:lang w:eastAsia="es-MX"/>
        </w:rPr>
        <w:t>concesionado por medio de este T</w:t>
      </w:r>
      <w:r w:rsidRPr="00634773">
        <w:rPr>
          <w:rFonts w:ascii="ITC Avant Garde" w:hAnsi="ITC Avant Garde"/>
          <w:bCs/>
          <w:color w:val="000000"/>
          <w:sz w:val="18"/>
          <w:szCs w:val="18"/>
          <w:u w:val="single"/>
          <w:lang w:eastAsia="es-MX"/>
        </w:rPr>
        <w:t>ítulo, se rige por la Constitución Política de los Estados Unidos Mexicanos</w:t>
      </w:r>
      <w:r w:rsidR="001E1D9C" w:rsidRPr="00634773">
        <w:rPr>
          <w:rFonts w:ascii="ITC Avant Garde" w:hAnsi="ITC Avant Garde"/>
          <w:bCs/>
          <w:color w:val="000000"/>
          <w:sz w:val="18"/>
          <w:szCs w:val="18"/>
          <w:lang w:eastAsia="es-MX"/>
        </w:rPr>
        <w:t>, la L</w:t>
      </w:r>
      <w:r w:rsidR="009012BA" w:rsidRPr="00634773">
        <w:rPr>
          <w:rFonts w:ascii="ITC Avant Garde" w:hAnsi="ITC Avant Garde"/>
          <w:bCs/>
          <w:color w:val="000000"/>
          <w:sz w:val="18"/>
          <w:szCs w:val="18"/>
          <w:lang w:eastAsia="es-MX"/>
        </w:rPr>
        <w:t>ey de Ví</w:t>
      </w:r>
      <w:r w:rsidRPr="00634773">
        <w:rPr>
          <w:rFonts w:ascii="ITC Avant Garde" w:hAnsi="ITC Avant Garde"/>
          <w:bCs/>
          <w:color w:val="000000"/>
          <w:sz w:val="18"/>
          <w:szCs w:val="18"/>
          <w:lang w:eastAsia="es-MX"/>
        </w:rPr>
        <w:t xml:space="preserve">as Generales de Comunicación, la Ley General de Bienes Nacionales y sus Reglamentos, </w:t>
      </w:r>
      <w:r w:rsidR="001E1D9C" w:rsidRPr="00634773">
        <w:rPr>
          <w:rFonts w:ascii="ITC Avant Garde" w:hAnsi="ITC Avant Garde"/>
          <w:bCs/>
          <w:color w:val="000000"/>
          <w:sz w:val="18"/>
          <w:szCs w:val="18"/>
          <w:u w:val="single"/>
          <w:lang w:eastAsia="es-MX"/>
        </w:rPr>
        <w:t>y por toda</w:t>
      </w:r>
      <w:r w:rsidRPr="00634773">
        <w:rPr>
          <w:rFonts w:ascii="ITC Avant Garde" w:hAnsi="ITC Avant Garde"/>
          <w:bCs/>
          <w:color w:val="000000"/>
          <w:sz w:val="18"/>
          <w:szCs w:val="18"/>
          <w:u w:val="single"/>
          <w:lang w:eastAsia="es-MX"/>
        </w:rPr>
        <w:t xml:space="preserve"> aquella legislación que se emita aplicable a la materia</w:t>
      </w:r>
      <w:r w:rsidRPr="00634773">
        <w:rPr>
          <w:rFonts w:ascii="ITC Avant Garde" w:hAnsi="ITC Avant Garde"/>
          <w:bCs/>
          <w:color w:val="000000"/>
          <w:sz w:val="18"/>
          <w:szCs w:val="18"/>
          <w:lang w:eastAsia="es-MX"/>
        </w:rPr>
        <w:t xml:space="preserve">; por </w:t>
      </w:r>
      <w:r w:rsidR="007939B0" w:rsidRPr="00634773">
        <w:rPr>
          <w:rFonts w:ascii="ITC Avant Garde" w:hAnsi="ITC Avant Garde"/>
          <w:bCs/>
          <w:color w:val="000000"/>
          <w:sz w:val="18"/>
          <w:szCs w:val="18"/>
          <w:lang w:eastAsia="es-MX"/>
        </w:rPr>
        <w:t>los convenios, acuerdos y tratados internacionales suscritos y en los que en un futuro suscriba en la materia el Gobierno Mexicano, y por los términos mismos de esta concesión.”</w:t>
      </w:r>
      <w:r w:rsidR="00E43EDF" w:rsidRPr="00634773">
        <w:rPr>
          <w:rFonts w:ascii="ITC Avant Garde" w:hAnsi="ITC Avant Garde"/>
          <w:bCs/>
          <w:color w:val="000000"/>
          <w:sz w:val="18"/>
          <w:szCs w:val="18"/>
          <w:lang w:eastAsia="es-MX"/>
        </w:rPr>
        <w:t xml:space="preserve"> </w:t>
      </w:r>
    </w:p>
    <w:p w:rsidR="00634773" w:rsidRPr="00634773" w:rsidRDefault="00E43EDF" w:rsidP="00634773">
      <w:pPr>
        <w:spacing w:before="240" w:line="240" w:lineRule="auto"/>
        <w:ind w:left="1560"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r w:rsidR="00F66FA4" w:rsidRPr="00634773">
        <w:rPr>
          <w:rFonts w:ascii="ITC Avant Garde" w:hAnsi="ITC Avant Garde"/>
          <w:bCs/>
          <w:color w:val="000000"/>
          <w:sz w:val="18"/>
          <w:szCs w:val="18"/>
          <w:lang w:eastAsia="es-MX"/>
        </w:rPr>
        <w:t>É</w:t>
      </w:r>
      <w:r w:rsidRPr="00634773">
        <w:rPr>
          <w:rFonts w:ascii="ITC Avant Garde" w:hAnsi="ITC Avant Garde"/>
          <w:bCs/>
          <w:color w:val="000000"/>
          <w:sz w:val="18"/>
          <w:szCs w:val="18"/>
          <w:lang w:eastAsia="es-MX"/>
        </w:rPr>
        <w:t>nfasis añadido).</w:t>
      </w:r>
    </w:p>
    <w:p w:rsidR="00634773" w:rsidRPr="00634773" w:rsidRDefault="004A6CD5" w:rsidP="00634773">
      <w:pPr>
        <w:autoSpaceDE w:val="0"/>
        <w:autoSpaceDN w:val="0"/>
        <w:adjustRightInd w:val="0"/>
        <w:spacing w:before="240" w:line="240" w:lineRule="auto"/>
        <w:jc w:val="both"/>
        <w:rPr>
          <w:rFonts w:ascii="ITC Avant Garde" w:hAnsi="ITC Avant Garde"/>
        </w:rPr>
      </w:pPr>
      <w:r w:rsidRPr="00634773">
        <w:rPr>
          <w:rFonts w:ascii="ITC Avant Garde" w:hAnsi="ITC Avant Garde"/>
        </w:rPr>
        <w:t xml:space="preserve">En atención de lo anterior, </w:t>
      </w:r>
      <w:r w:rsidR="002A33B8" w:rsidRPr="00634773">
        <w:rPr>
          <w:rFonts w:ascii="ITC Avant Garde" w:hAnsi="ITC Avant Garde"/>
        </w:rPr>
        <w:t>si bien la condición 8-2 de la Concesión estableció los términos bajo los cuales debería analizar</w:t>
      </w:r>
      <w:r w:rsidR="00E22721" w:rsidRPr="00634773">
        <w:rPr>
          <w:rFonts w:ascii="ITC Avant Garde" w:hAnsi="ITC Avant Garde"/>
        </w:rPr>
        <w:t>se</w:t>
      </w:r>
      <w:r w:rsidR="002A33B8" w:rsidRPr="00634773">
        <w:rPr>
          <w:rFonts w:ascii="ITC Avant Garde" w:hAnsi="ITC Avant Garde"/>
        </w:rPr>
        <w:t xml:space="preserve"> la prórroga </w:t>
      </w:r>
      <w:r w:rsidR="00E22721" w:rsidRPr="00634773">
        <w:rPr>
          <w:rFonts w:ascii="ITC Avant Garde" w:hAnsi="ITC Avant Garde"/>
        </w:rPr>
        <w:t xml:space="preserve">de vigencia </w:t>
      </w:r>
      <w:r w:rsidR="002A33B8" w:rsidRPr="00634773">
        <w:rPr>
          <w:rFonts w:ascii="ITC Avant Garde" w:hAnsi="ITC Avant Garde"/>
        </w:rPr>
        <w:t xml:space="preserve">que en su momento presentara Telmex con respecto a la Concesión, también lo es que la condición 2-1 señaló que </w:t>
      </w:r>
      <w:r w:rsidR="00A54769" w:rsidRPr="00634773">
        <w:rPr>
          <w:rFonts w:ascii="ITC Avant Garde" w:hAnsi="ITC Avant Garde"/>
        </w:rPr>
        <w:t>el servicio público ob</w:t>
      </w:r>
      <w:r w:rsidR="00E17697" w:rsidRPr="00634773">
        <w:rPr>
          <w:rFonts w:ascii="ITC Avant Garde" w:hAnsi="ITC Avant Garde"/>
        </w:rPr>
        <w:t xml:space="preserve">jeto de la Concesión </w:t>
      </w:r>
      <w:r w:rsidR="006D081E" w:rsidRPr="00634773">
        <w:rPr>
          <w:rFonts w:ascii="ITC Avant Garde" w:hAnsi="ITC Avant Garde"/>
        </w:rPr>
        <w:t>se regirá</w:t>
      </w:r>
      <w:r w:rsidR="00A54769" w:rsidRPr="00634773">
        <w:rPr>
          <w:rFonts w:ascii="ITC Avant Garde" w:hAnsi="ITC Avant Garde"/>
        </w:rPr>
        <w:t>, entre otros, por la Constitución y por aquella legislación que result</w:t>
      </w:r>
      <w:r w:rsidR="002643B5" w:rsidRPr="00634773">
        <w:rPr>
          <w:rFonts w:ascii="ITC Avant Garde" w:hAnsi="ITC Avant Garde"/>
        </w:rPr>
        <w:t>e</w:t>
      </w:r>
      <w:r w:rsidR="00A54769" w:rsidRPr="00634773">
        <w:rPr>
          <w:rFonts w:ascii="ITC Avant Garde" w:hAnsi="ITC Avant Garde"/>
        </w:rPr>
        <w:t xml:space="preserve"> aplicable a la materia.</w:t>
      </w:r>
    </w:p>
    <w:p w:rsidR="00634773" w:rsidRPr="00634773" w:rsidRDefault="00522417"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E</w:t>
      </w:r>
      <w:r w:rsidR="00A54769" w:rsidRPr="00634773">
        <w:rPr>
          <w:rFonts w:ascii="ITC Avant Garde" w:hAnsi="ITC Avant Garde"/>
          <w:bCs/>
        </w:rPr>
        <w:t>n ese sentido, el artículo Séptimo Transitorio del Decreto de Ley estableció, en la parte conducente, lo siguiente:</w:t>
      </w:r>
    </w:p>
    <w:p w:rsidR="00634773" w:rsidRPr="00634773" w:rsidRDefault="00A54769" w:rsidP="00634773">
      <w:pPr>
        <w:spacing w:before="240" w:line="240" w:lineRule="auto"/>
        <w:ind w:left="1560"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p>
    <w:p w:rsidR="00634773" w:rsidRPr="00634773" w:rsidRDefault="00A54769" w:rsidP="00634773">
      <w:pPr>
        <w:spacing w:before="240" w:line="240" w:lineRule="auto"/>
        <w:ind w:left="1560" w:right="615"/>
        <w:jc w:val="both"/>
        <w:rPr>
          <w:rFonts w:ascii="ITC Avant Garde" w:hAnsi="ITC Avant Garde"/>
          <w:bCs/>
          <w:color w:val="000000"/>
          <w:sz w:val="18"/>
          <w:szCs w:val="18"/>
          <w:lang w:eastAsia="es-MX"/>
        </w:rPr>
      </w:pPr>
      <w:r w:rsidRPr="00634773">
        <w:rPr>
          <w:rFonts w:ascii="ITC Avant Garde" w:hAnsi="ITC Avant Garde"/>
          <w:b/>
          <w:bCs/>
          <w:color w:val="000000"/>
          <w:sz w:val="18"/>
          <w:szCs w:val="18"/>
          <w:lang w:eastAsia="es-MX"/>
        </w:rPr>
        <w:t>SÉPTIMO.</w:t>
      </w:r>
      <w:r w:rsidRPr="00634773">
        <w:rPr>
          <w:rFonts w:ascii="ITC Avant Garde" w:hAnsi="ITC Avant Garde"/>
          <w:bCs/>
          <w:color w:val="000000"/>
          <w:sz w:val="18"/>
          <w:szCs w:val="18"/>
          <w:lang w:eastAsia="es-MX"/>
        </w:rPr>
        <w:t xml:space="preserve"> </w:t>
      </w:r>
      <w:r w:rsidRPr="00634773">
        <w:rPr>
          <w:rFonts w:ascii="ITC Avant Garde" w:hAnsi="ITC Avant Garde"/>
          <w:bCs/>
          <w:color w:val="000000"/>
          <w:sz w:val="18"/>
          <w:szCs w:val="18"/>
          <w:u w:val="single"/>
          <w:lang w:eastAsia="es-MX"/>
        </w:rPr>
        <w:t>Sin perjuicio de lo establecido en la Ley Federal de Telecomunicaciones y Radiodifusión que se expide por virtud del Decreto</w:t>
      </w:r>
      <w:r w:rsidRPr="00634773">
        <w:rPr>
          <w:rFonts w:ascii="ITC Avant Garde" w:hAnsi="ITC Avant Garde"/>
          <w:bCs/>
          <w:color w:val="000000"/>
          <w:sz w:val="18"/>
          <w:szCs w:val="18"/>
          <w:lang w:eastAsia="es-MX"/>
        </w:rPr>
        <w:t xml:space="preserve">, en la ley y en la normatividad que al efecto emita el Instituto Federal de Telecomunicaciones, </w:t>
      </w:r>
      <w:r w:rsidRPr="00634773">
        <w:rPr>
          <w:rFonts w:ascii="ITC Avant Garde" w:hAnsi="ITC Avant Garde"/>
          <w:bCs/>
          <w:color w:val="000000"/>
          <w:sz w:val="18"/>
          <w:szCs w:val="18"/>
          <w:u w:val="single"/>
          <w:lang w:eastAsia="es-MX"/>
        </w:rPr>
        <w:t>las concesiones</w:t>
      </w:r>
      <w:r w:rsidRPr="00634773">
        <w:rPr>
          <w:rFonts w:ascii="ITC Avant Garde" w:hAnsi="ITC Avant Garde"/>
          <w:bCs/>
          <w:color w:val="000000"/>
          <w:sz w:val="18"/>
          <w:szCs w:val="18"/>
          <w:lang w:eastAsia="es-MX"/>
        </w:rPr>
        <w:t xml:space="preserve"> y permisos </w:t>
      </w:r>
      <w:r w:rsidRPr="00634773">
        <w:rPr>
          <w:rFonts w:ascii="ITC Avant Garde" w:hAnsi="ITC Avant Garde"/>
          <w:bCs/>
          <w:color w:val="000000"/>
          <w:sz w:val="18"/>
          <w:szCs w:val="18"/>
          <w:u w:val="single"/>
          <w:lang w:eastAsia="es-MX"/>
        </w:rPr>
        <w:t xml:space="preserve">otorgados con anterioridad </w:t>
      </w:r>
      <w:r w:rsidR="001E1D9C" w:rsidRPr="00634773">
        <w:rPr>
          <w:rFonts w:ascii="ITC Avant Garde" w:hAnsi="ITC Avant Garde"/>
          <w:bCs/>
          <w:color w:val="000000"/>
          <w:sz w:val="18"/>
          <w:szCs w:val="18"/>
          <w:u w:val="single"/>
          <w:lang w:eastAsia="es-MX"/>
        </w:rPr>
        <w:lastRenderedPageBreak/>
        <w:t xml:space="preserve">a la entrada en vigor del presente Decreto, se mantendrán en los términos y condiciones consignados en </w:t>
      </w:r>
      <w:r w:rsidR="00F66FA4" w:rsidRPr="00634773">
        <w:rPr>
          <w:rFonts w:ascii="ITC Avant Garde" w:hAnsi="ITC Avant Garde"/>
          <w:bCs/>
          <w:color w:val="000000"/>
          <w:sz w:val="18"/>
          <w:szCs w:val="18"/>
          <w:u w:val="single"/>
          <w:lang w:eastAsia="es-MX"/>
        </w:rPr>
        <w:t>los</w:t>
      </w:r>
      <w:r w:rsidR="001E1D9C" w:rsidRPr="00634773">
        <w:rPr>
          <w:rFonts w:ascii="ITC Avant Garde" w:hAnsi="ITC Avant Garde"/>
          <w:bCs/>
          <w:color w:val="000000"/>
          <w:sz w:val="18"/>
          <w:szCs w:val="18"/>
          <w:u w:val="single"/>
          <w:lang w:eastAsia="es-MX"/>
        </w:rPr>
        <w:t xml:space="preserve"> respectivos títulos o permisos hasta su terminación</w:t>
      </w:r>
      <w:r w:rsidR="001E1D9C" w:rsidRPr="00634773">
        <w:rPr>
          <w:rFonts w:ascii="ITC Avant Garde" w:hAnsi="ITC Avant Garde"/>
          <w:bCs/>
          <w:color w:val="000000"/>
          <w:sz w:val="18"/>
          <w:szCs w:val="18"/>
          <w:lang w:eastAsia="es-MX"/>
        </w:rPr>
        <w:t>, a menos que se obtenga la autorización de prestar servicios adicionales a los que son objeto de su concesión o hubiere transitado a la concesión única prevista en la Ley Federal de Telecomunicaciones y Radiodifusión, en cuyo caso, se estará a los términos y condiciones que el Instituto Federal de Telecomunicaciones establezca.</w:t>
      </w:r>
    </w:p>
    <w:p w:rsidR="00634773" w:rsidRPr="00634773" w:rsidRDefault="001E1D9C" w:rsidP="00634773">
      <w:pPr>
        <w:spacing w:before="240" w:line="240" w:lineRule="auto"/>
        <w:ind w:left="1560"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r w:rsidR="00E43EDF" w:rsidRPr="00634773">
        <w:rPr>
          <w:rFonts w:ascii="ITC Avant Garde" w:hAnsi="ITC Avant Garde"/>
          <w:bCs/>
          <w:color w:val="000000"/>
          <w:sz w:val="18"/>
          <w:szCs w:val="18"/>
          <w:lang w:eastAsia="es-MX"/>
        </w:rPr>
        <w:t xml:space="preserve"> (</w:t>
      </w:r>
      <w:r w:rsidR="00E22721" w:rsidRPr="00634773">
        <w:rPr>
          <w:rFonts w:ascii="ITC Avant Garde" w:hAnsi="ITC Avant Garde"/>
          <w:bCs/>
          <w:color w:val="000000"/>
          <w:sz w:val="18"/>
          <w:szCs w:val="18"/>
          <w:lang w:eastAsia="es-MX"/>
        </w:rPr>
        <w:t xml:space="preserve">Énfasis </w:t>
      </w:r>
      <w:r w:rsidR="00E43EDF" w:rsidRPr="00634773">
        <w:rPr>
          <w:rFonts w:ascii="ITC Avant Garde" w:hAnsi="ITC Avant Garde"/>
          <w:bCs/>
          <w:color w:val="000000"/>
          <w:sz w:val="18"/>
          <w:szCs w:val="18"/>
          <w:lang w:eastAsia="es-MX"/>
        </w:rPr>
        <w:t>añadido).</w:t>
      </w:r>
      <w:r w:rsidR="005F4D46" w:rsidRPr="00634773">
        <w:rPr>
          <w:rFonts w:ascii="ITC Avant Garde" w:hAnsi="ITC Avant Garde"/>
          <w:bCs/>
          <w:color w:val="000000"/>
          <w:sz w:val="18"/>
          <w:szCs w:val="18"/>
          <w:lang w:eastAsia="es-MX"/>
        </w:rPr>
        <w:t xml:space="preserve"> </w:t>
      </w:r>
    </w:p>
    <w:p w:rsidR="00634773" w:rsidRPr="00634773" w:rsidRDefault="00E43EDF" w:rsidP="00634773">
      <w:pPr>
        <w:pStyle w:val="Textoindependiente"/>
        <w:spacing w:before="240" w:after="200"/>
        <w:rPr>
          <w:rFonts w:ascii="ITC Avant Garde" w:eastAsia="Calibri" w:hAnsi="ITC Avant Garde"/>
          <w:bCs/>
          <w:color w:val="000000"/>
          <w:sz w:val="22"/>
          <w:szCs w:val="22"/>
          <w:lang w:eastAsia="es-MX"/>
        </w:rPr>
      </w:pPr>
      <w:r w:rsidRPr="00634773">
        <w:rPr>
          <w:rFonts w:ascii="ITC Avant Garde" w:eastAsia="Calibri" w:hAnsi="ITC Avant Garde"/>
          <w:bCs/>
          <w:color w:val="000000"/>
          <w:sz w:val="22"/>
          <w:szCs w:val="22"/>
          <w:lang w:eastAsia="es-MX"/>
        </w:rPr>
        <w:t>Derivado de l</w:t>
      </w:r>
      <w:r w:rsidR="00E22721" w:rsidRPr="00634773">
        <w:rPr>
          <w:rFonts w:ascii="ITC Avant Garde" w:eastAsia="Calibri" w:hAnsi="ITC Avant Garde"/>
          <w:bCs/>
          <w:color w:val="000000"/>
          <w:sz w:val="22"/>
          <w:szCs w:val="22"/>
          <w:lang w:eastAsia="es-MX"/>
        </w:rPr>
        <w:t>o</w:t>
      </w:r>
      <w:r w:rsidRPr="00634773">
        <w:rPr>
          <w:rFonts w:ascii="ITC Avant Garde" w:eastAsia="Calibri" w:hAnsi="ITC Avant Garde"/>
          <w:bCs/>
          <w:color w:val="000000"/>
          <w:sz w:val="22"/>
          <w:szCs w:val="22"/>
          <w:lang w:eastAsia="es-MX"/>
        </w:rPr>
        <w:t xml:space="preserve"> anterior y </w:t>
      </w:r>
      <w:r w:rsidR="00CC238E" w:rsidRPr="00634773">
        <w:rPr>
          <w:rFonts w:ascii="ITC Avant Garde" w:eastAsia="Calibri" w:hAnsi="ITC Avant Garde"/>
          <w:bCs/>
          <w:color w:val="000000"/>
          <w:sz w:val="22"/>
          <w:szCs w:val="22"/>
          <w:lang w:eastAsia="es-MX"/>
        </w:rPr>
        <w:t>considera</w:t>
      </w:r>
      <w:r w:rsidRPr="00634773">
        <w:rPr>
          <w:rFonts w:ascii="ITC Avant Garde" w:eastAsia="Calibri" w:hAnsi="ITC Avant Garde"/>
          <w:bCs/>
          <w:color w:val="000000"/>
          <w:sz w:val="22"/>
          <w:szCs w:val="22"/>
          <w:lang w:eastAsia="es-MX"/>
        </w:rPr>
        <w:t>ndo</w:t>
      </w:r>
      <w:r w:rsidR="00CC238E" w:rsidRPr="00634773">
        <w:rPr>
          <w:rFonts w:ascii="ITC Avant Garde" w:eastAsia="Calibri" w:hAnsi="ITC Avant Garde"/>
          <w:bCs/>
          <w:color w:val="000000"/>
          <w:sz w:val="22"/>
          <w:szCs w:val="22"/>
          <w:lang w:eastAsia="es-MX"/>
        </w:rPr>
        <w:t xml:space="preserve"> que </w:t>
      </w:r>
      <w:r w:rsidR="00243EBF" w:rsidRPr="00634773">
        <w:rPr>
          <w:rFonts w:ascii="ITC Avant Garde" w:eastAsia="Calibri" w:hAnsi="ITC Avant Garde"/>
          <w:bCs/>
          <w:color w:val="000000"/>
          <w:sz w:val="22"/>
          <w:szCs w:val="22"/>
          <w:lang w:eastAsia="es-MX"/>
        </w:rPr>
        <w:t xml:space="preserve">la Solicitud de Prórroga </w:t>
      </w:r>
      <w:r w:rsidR="006F0A82" w:rsidRPr="00634773">
        <w:rPr>
          <w:rFonts w:ascii="ITC Avant Garde" w:eastAsia="Calibri" w:hAnsi="ITC Avant Garde"/>
          <w:bCs/>
          <w:color w:val="000000"/>
          <w:sz w:val="22"/>
          <w:szCs w:val="22"/>
          <w:lang w:eastAsia="es-MX"/>
        </w:rPr>
        <w:t xml:space="preserve">fue presentada </w:t>
      </w:r>
      <w:r w:rsidRPr="00634773">
        <w:rPr>
          <w:rFonts w:ascii="ITC Avant Garde" w:eastAsia="Calibri" w:hAnsi="ITC Avant Garde"/>
          <w:bCs/>
          <w:color w:val="000000"/>
          <w:sz w:val="22"/>
          <w:szCs w:val="22"/>
          <w:lang w:eastAsia="es-MX"/>
        </w:rPr>
        <w:t xml:space="preserve">al Instituto </w:t>
      </w:r>
      <w:r w:rsidR="006F0A82" w:rsidRPr="00634773">
        <w:rPr>
          <w:rFonts w:ascii="ITC Avant Garde" w:eastAsia="Calibri" w:hAnsi="ITC Avant Garde"/>
          <w:bCs/>
          <w:color w:val="000000"/>
          <w:sz w:val="22"/>
          <w:szCs w:val="22"/>
          <w:lang w:eastAsia="es-MX"/>
        </w:rPr>
        <w:t xml:space="preserve">estando </w:t>
      </w:r>
      <w:r w:rsidR="00E22721" w:rsidRPr="00634773">
        <w:rPr>
          <w:rFonts w:ascii="ITC Avant Garde" w:eastAsia="Calibri" w:hAnsi="ITC Avant Garde"/>
          <w:bCs/>
          <w:color w:val="000000"/>
          <w:sz w:val="22"/>
          <w:szCs w:val="22"/>
          <w:lang w:eastAsia="es-MX"/>
        </w:rPr>
        <w:t xml:space="preserve">ya </w:t>
      </w:r>
      <w:r w:rsidR="006F0A82" w:rsidRPr="00634773">
        <w:rPr>
          <w:rFonts w:ascii="ITC Avant Garde" w:eastAsia="Calibri" w:hAnsi="ITC Avant Garde"/>
          <w:bCs/>
          <w:color w:val="000000"/>
          <w:sz w:val="22"/>
          <w:szCs w:val="22"/>
          <w:lang w:eastAsia="es-MX"/>
        </w:rPr>
        <w:t xml:space="preserve">en vigor la Ley, </w:t>
      </w:r>
      <w:r w:rsidR="003C17BB" w:rsidRPr="00634773">
        <w:rPr>
          <w:rFonts w:ascii="ITC Avant Garde" w:eastAsia="Calibri" w:hAnsi="ITC Avant Garde"/>
          <w:bCs/>
          <w:color w:val="000000"/>
          <w:sz w:val="22"/>
          <w:szCs w:val="22"/>
          <w:lang w:eastAsia="es-MX"/>
        </w:rPr>
        <w:t xml:space="preserve">su </w:t>
      </w:r>
      <w:r w:rsidR="006F0A82" w:rsidRPr="00634773">
        <w:rPr>
          <w:rFonts w:ascii="ITC Avant Garde" w:eastAsia="Calibri" w:hAnsi="ITC Avant Garde"/>
          <w:bCs/>
          <w:color w:val="000000"/>
          <w:sz w:val="22"/>
          <w:szCs w:val="22"/>
          <w:lang w:eastAsia="es-MX"/>
        </w:rPr>
        <w:t>análisis debe llevarse</w:t>
      </w:r>
      <w:r w:rsidR="008F3F16" w:rsidRPr="00634773">
        <w:rPr>
          <w:rFonts w:ascii="ITC Avant Garde" w:eastAsia="Calibri" w:hAnsi="ITC Avant Garde"/>
          <w:bCs/>
          <w:color w:val="000000"/>
          <w:sz w:val="22"/>
          <w:szCs w:val="22"/>
          <w:lang w:eastAsia="es-MX"/>
        </w:rPr>
        <w:t xml:space="preserve"> a cabo</w:t>
      </w:r>
      <w:r w:rsidR="006F0A82" w:rsidRPr="00634773">
        <w:rPr>
          <w:rFonts w:ascii="ITC Avant Garde" w:eastAsia="Calibri" w:hAnsi="ITC Avant Garde"/>
          <w:bCs/>
          <w:color w:val="000000"/>
          <w:sz w:val="22"/>
          <w:szCs w:val="22"/>
          <w:lang w:eastAsia="es-MX"/>
        </w:rPr>
        <w:t xml:space="preserve"> conforme a los términos y requisitos previstos en </w:t>
      </w:r>
      <w:r w:rsidR="00CC238E" w:rsidRPr="00634773">
        <w:rPr>
          <w:rFonts w:ascii="ITC Avant Garde" w:eastAsia="Calibri" w:hAnsi="ITC Avant Garde"/>
          <w:bCs/>
          <w:color w:val="000000"/>
          <w:sz w:val="22"/>
          <w:szCs w:val="22"/>
          <w:lang w:eastAsia="es-MX"/>
        </w:rPr>
        <w:t>dicho ordenamiento legal</w:t>
      </w:r>
      <w:r w:rsidR="006F0A82" w:rsidRPr="00634773">
        <w:rPr>
          <w:rFonts w:ascii="ITC Avant Garde" w:eastAsia="Calibri" w:hAnsi="ITC Avant Garde"/>
          <w:bCs/>
          <w:color w:val="000000"/>
          <w:sz w:val="22"/>
          <w:szCs w:val="22"/>
          <w:lang w:eastAsia="es-MX"/>
        </w:rPr>
        <w:t xml:space="preserve">, </w:t>
      </w:r>
      <w:r w:rsidR="003C17BB" w:rsidRPr="00634773">
        <w:rPr>
          <w:rFonts w:ascii="ITC Avant Garde" w:eastAsia="Calibri" w:hAnsi="ITC Avant Garde"/>
          <w:bCs/>
          <w:color w:val="000000"/>
          <w:sz w:val="22"/>
          <w:szCs w:val="22"/>
          <w:lang w:eastAsia="es-MX"/>
        </w:rPr>
        <w:t xml:space="preserve">toda vez </w:t>
      </w:r>
      <w:r w:rsidR="000D0201" w:rsidRPr="00634773">
        <w:rPr>
          <w:rFonts w:ascii="ITC Avant Garde" w:eastAsia="Calibri" w:hAnsi="ITC Avant Garde"/>
          <w:bCs/>
          <w:color w:val="000000"/>
          <w:sz w:val="22"/>
          <w:szCs w:val="22"/>
          <w:lang w:eastAsia="es-MX"/>
        </w:rPr>
        <w:t xml:space="preserve">que </w:t>
      </w:r>
      <w:r w:rsidR="003C17BB" w:rsidRPr="00634773">
        <w:rPr>
          <w:rFonts w:ascii="ITC Avant Garde" w:eastAsia="Calibri" w:hAnsi="ITC Avant Garde"/>
          <w:bCs/>
          <w:color w:val="000000"/>
          <w:sz w:val="22"/>
          <w:szCs w:val="22"/>
          <w:lang w:eastAsia="es-MX"/>
        </w:rPr>
        <w:t xml:space="preserve">el contenido de la condición 8-2 de la Concesión no podría prevalecer sobre el citado ordenamiento legal. </w:t>
      </w:r>
    </w:p>
    <w:p w:rsidR="00CC238E" w:rsidRPr="00634773" w:rsidRDefault="00E22721" w:rsidP="00634773">
      <w:pPr>
        <w:pStyle w:val="Textoindependiente"/>
        <w:spacing w:before="240" w:after="200"/>
        <w:rPr>
          <w:rFonts w:ascii="ITC Avant Garde" w:eastAsia="Calibri" w:hAnsi="ITC Avant Garde"/>
          <w:bCs/>
          <w:color w:val="000000"/>
          <w:sz w:val="22"/>
          <w:szCs w:val="22"/>
          <w:lang w:eastAsia="es-MX"/>
        </w:rPr>
      </w:pPr>
      <w:r w:rsidRPr="00634773">
        <w:rPr>
          <w:rFonts w:ascii="ITC Avant Garde" w:eastAsia="Calibri" w:hAnsi="ITC Avant Garde"/>
          <w:bCs/>
          <w:color w:val="000000"/>
          <w:sz w:val="22"/>
          <w:szCs w:val="22"/>
          <w:lang w:eastAsia="es-MX"/>
        </w:rPr>
        <w:t xml:space="preserve">Así, en atención del asunto de mérito, </w:t>
      </w:r>
      <w:r w:rsidR="003C17BB" w:rsidRPr="00634773">
        <w:rPr>
          <w:rFonts w:ascii="ITC Avant Garde" w:eastAsia="Calibri" w:hAnsi="ITC Avant Garde"/>
          <w:bCs/>
          <w:color w:val="000000"/>
          <w:sz w:val="22"/>
          <w:szCs w:val="22"/>
          <w:lang w:eastAsia="es-MX"/>
        </w:rPr>
        <w:t>debe considerar</w:t>
      </w:r>
      <w:r w:rsidRPr="00634773">
        <w:rPr>
          <w:rFonts w:ascii="ITC Avant Garde" w:eastAsia="Calibri" w:hAnsi="ITC Avant Garde"/>
          <w:bCs/>
          <w:color w:val="000000"/>
          <w:sz w:val="22"/>
          <w:szCs w:val="22"/>
          <w:lang w:eastAsia="es-MX"/>
        </w:rPr>
        <w:t>se</w:t>
      </w:r>
      <w:r w:rsidR="003C17BB" w:rsidRPr="00634773">
        <w:rPr>
          <w:rFonts w:ascii="ITC Avant Garde" w:eastAsia="Calibri" w:hAnsi="ITC Avant Garde"/>
          <w:bCs/>
          <w:color w:val="000000"/>
          <w:sz w:val="22"/>
          <w:szCs w:val="22"/>
          <w:lang w:eastAsia="es-MX"/>
        </w:rPr>
        <w:t xml:space="preserve"> lo señalado por el </w:t>
      </w:r>
      <w:r w:rsidR="00D40880" w:rsidRPr="00634773">
        <w:rPr>
          <w:rFonts w:ascii="ITC Avant Garde" w:eastAsia="Calibri" w:hAnsi="ITC Avant Garde"/>
          <w:bCs/>
          <w:color w:val="000000"/>
          <w:sz w:val="22"/>
          <w:szCs w:val="22"/>
          <w:lang w:eastAsia="es-MX"/>
        </w:rPr>
        <w:t>artículo 113</w:t>
      </w:r>
      <w:r w:rsidR="00E43EDF" w:rsidRPr="00634773">
        <w:rPr>
          <w:rFonts w:ascii="ITC Avant Garde" w:eastAsia="Calibri" w:hAnsi="ITC Avant Garde"/>
          <w:bCs/>
          <w:color w:val="000000"/>
          <w:sz w:val="22"/>
          <w:szCs w:val="22"/>
          <w:lang w:eastAsia="es-MX"/>
        </w:rPr>
        <w:t xml:space="preserve"> </w:t>
      </w:r>
      <w:r w:rsidR="003C17BB" w:rsidRPr="00634773">
        <w:rPr>
          <w:rFonts w:ascii="ITC Avant Garde" w:eastAsia="Calibri" w:hAnsi="ITC Avant Garde"/>
          <w:bCs/>
          <w:color w:val="000000"/>
          <w:sz w:val="22"/>
          <w:szCs w:val="22"/>
          <w:lang w:eastAsia="es-MX"/>
        </w:rPr>
        <w:t xml:space="preserve">de la Ley, </w:t>
      </w:r>
      <w:r w:rsidR="00E43EDF" w:rsidRPr="00634773">
        <w:rPr>
          <w:rFonts w:ascii="ITC Avant Garde" w:eastAsia="Calibri" w:hAnsi="ITC Avant Garde"/>
          <w:bCs/>
          <w:color w:val="000000"/>
          <w:sz w:val="22"/>
          <w:szCs w:val="22"/>
          <w:lang w:eastAsia="es-MX"/>
        </w:rPr>
        <w:t>el cual</w:t>
      </w:r>
      <w:r w:rsidR="00087A92" w:rsidRPr="00634773">
        <w:rPr>
          <w:rFonts w:ascii="ITC Avant Garde" w:eastAsia="Calibri" w:hAnsi="ITC Avant Garde"/>
          <w:bCs/>
          <w:color w:val="000000"/>
          <w:sz w:val="22"/>
          <w:szCs w:val="22"/>
          <w:lang w:eastAsia="es-MX"/>
        </w:rPr>
        <w:t xml:space="preserve"> </w:t>
      </w:r>
      <w:r w:rsidR="0020071A" w:rsidRPr="00634773">
        <w:rPr>
          <w:rFonts w:ascii="ITC Avant Garde" w:eastAsia="Calibri" w:hAnsi="ITC Avant Garde"/>
          <w:bCs/>
          <w:color w:val="000000"/>
          <w:sz w:val="22"/>
          <w:szCs w:val="22"/>
          <w:lang w:eastAsia="es-MX"/>
        </w:rPr>
        <w:t>establece</w:t>
      </w:r>
      <w:r w:rsidR="00087A92" w:rsidRPr="00634773">
        <w:rPr>
          <w:rFonts w:ascii="ITC Avant Garde" w:eastAsia="Calibri" w:hAnsi="ITC Avant Garde"/>
          <w:bCs/>
          <w:color w:val="000000"/>
          <w:sz w:val="22"/>
          <w:szCs w:val="22"/>
          <w:lang w:eastAsia="es-MX"/>
        </w:rPr>
        <w:t xml:space="preserve"> lo siguiente:</w:t>
      </w:r>
    </w:p>
    <w:p w:rsidR="00634773" w:rsidRPr="00634773" w:rsidRDefault="00D40880" w:rsidP="00634773">
      <w:pPr>
        <w:spacing w:before="240" w:line="240" w:lineRule="auto"/>
        <w:ind w:left="141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r w:rsidRPr="00634773">
        <w:rPr>
          <w:rFonts w:ascii="ITC Avant Garde" w:hAnsi="ITC Avant Garde"/>
          <w:b/>
          <w:bCs/>
          <w:color w:val="000000"/>
          <w:sz w:val="18"/>
          <w:szCs w:val="18"/>
          <w:lang w:eastAsia="es-MX"/>
        </w:rPr>
        <w:t>Artículo 113.</w:t>
      </w:r>
      <w:r w:rsidRPr="00634773">
        <w:rPr>
          <w:rFonts w:ascii="ITC Avant Garde" w:eastAsia="Times New Roman" w:hAnsi="ITC Avant Garde"/>
          <w:b/>
          <w:bCs/>
          <w:color w:val="000000"/>
          <w:sz w:val="18"/>
          <w:szCs w:val="18"/>
          <w:lang w:val="es-ES" w:eastAsia="es-MX"/>
        </w:rPr>
        <w:t xml:space="preserve"> </w:t>
      </w:r>
      <w:r w:rsidRPr="00634773">
        <w:rPr>
          <w:rFonts w:ascii="ITC Avant Garde" w:hAnsi="ITC Avant Garde"/>
          <w:bCs/>
          <w:color w:val="000000"/>
          <w:sz w:val="18"/>
          <w:szCs w:val="18"/>
          <w:lang w:eastAsia="es-MX"/>
        </w:rPr>
        <w:t xml:space="preserve">La concesión única podrá </w:t>
      </w:r>
      <w:r w:rsidR="00087A92" w:rsidRPr="00634773">
        <w:rPr>
          <w:rFonts w:ascii="ITC Avant Garde" w:hAnsi="ITC Avant Garde"/>
          <w:bCs/>
          <w:color w:val="000000"/>
          <w:sz w:val="18"/>
          <w:szCs w:val="18"/>
          <w:lang w:eastAsia="es-MX"/>
        </w:rPr>
        <w:t xml:space="preserve">prorrogarse por el Instituto, siempre </w:t>
      </w:r>
      <w:r w:rsidR="00243EBF" w:rsidRPr="00634773">
        <w:rPr>
          <w:rFonts w:ascii="ITC Avant Garde" w:hAnsi="ITC Avant Garde"/>
          <w:bCs/>
          <w:color w:val="000000"/>
          <w:sz w:val="18"/>
          <w:szCs w:val="18"/>
          <w:lang w:eastAsia="es-MX"/>
        </w:rPr>
        <w:t>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rsidR="00634773" w:rsidRPr="00634773" w:rsidRDefault="00D40880" w:rsidP="00634773">
      <w:pPr>
        <w:spacing w:before="240" w:line="240" w:lineRule="auto"/>
        <w:ind w:left="141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En caso de que el Instituto no resuelva en el plazo señalado en el párrafo anterior, se entenderá prorrogada la concesión única.”</w:t>
      </w:r>
    </w:p>
    <w:p w:rsidR="00634773" w:rsidRPr="00634773" w:rsidRDefault="001C6359" w:rsidP="00634773">
      <w:pPr>
        <w:pStyle w:val="Textoindependiente"/>
        <w:spacing w:before="240" w:after="200"/>
        <w:rPr>
          <w:rFonts w:ascii="ITC Avant Garde" w:eastAsia="Calibri" w:hAnsi="ITC Avant Garde"/>
          <w:bCs/>
          <w:sz w:val="22"/>
          <w:szCs w:val="22"/>
          <w:lang w:eastAsia="en-US"/>
        </w:rPr>
      </w:pPr>
      <w:r w:rsidRPr="00634773">
        <w:rPr>
          <w:rFonts w:ascii="ITC Avant Garde" w:eastAsia="Calibri" w:hAnsi="ITC Avant Garde"/>
          <w:bCs/>
          <w:sz w:val="22"/>
          <w:szCs w:val="22"/>
          <w:lang w:eastAsia="en-US"/>
        </w:rPr>
        <w:t xml:space="preserve">El </w:t>
      </w:r>
      <w:r w:rsidR="003F2CC2" w:rsidRPr="00634773">
        <w:rPr>
          <w:rFonts w:ascii="ITC Avant Garde" w:eastAsia="Calibri" w:hAnsi="ITC Avant Garde"/>
          <w:bCs/>
          <w:sz w:val="22"/>
          <w:szCs w:val="22"/>
          <w:lang w:eastAsia="en-US"/>
        </w:rPr>
        <w:t xml:space="preserve">dispositivo </w:t>
      </w:r>
      <w:r w:rsidR="00E34182" w:rsidRPr="00634773">
        <w:rPr>
          <w:rFonts w:ascii="ITC Avant Garde" w:eastAsia="Calibri" w:hAnsi="ITC Avant Garde"/>
          <w:bCs/>
          <w:sz w:val="22"/>
          <w:szCs w:val="22"/>
          <w:lang w:eastAsia="en-US"/>
        </w:rPr>
        <w:t>lega</w:t>
      </w:r>
      <w:r w:rsidRPr="00634773">
        <w:rPr>
          <w:rFonts w:ascii="ITC Avant Garde" w:eastAsia="Calibri" w:hAnsi="ITC Avant Garde"/>
          <w:bCs/>
          <w:sz w:val="22"/>
          <w:szCs w:val="22"/>
          <w:lang w:eastAsia="en-US"/>
        </w:rPr>
        <w:t>l</w:t>
      </w:r>
      <w:r w:rsidR="00E34182" w:rsidRPr="00634773">
        <w:rPr>
          <w:rFonts w:ascii="ITC Avant Garde" w:eastAsia="Calibri" w:hAnsi="ITC Avant Garde"/>
          <w:bCs/>
          <w:sz w:val="22"/>
          <w:szCs w:val="22"/>
          <w:lang w:eastAsia="en-US"/>
        </w:rPr>
        <w:t xml:space="preserve"> antes </w:t>
      </w:r>
      <w:r w:rsidRPr="00634773">
        <w:rPr>
          <w:rFonts w:ascii="ITC Avant Garde" w:eastAsia="Calibri" w:hAnsi="ITC Avant Garde"/>
          <w:bCs/>
          <w:sz w:val="22"/>
          <w:szCs w:val="22"/>
          <w:lang w:eastAsia="en-US"/>
        </w:rPr>
        <w:t>transcrito</w:t>
      </w:r>
      <w:r w:rsidR="00E34182" w:rsidRPr="00634773">
        <w:rPr>
          <w:rFonts w:ascii="ITC Avant Garde" w:eastAsia="Calibri" w:hAnsi="ITC Avant Garde"/>
          <w:bCs/>
          <w:sz w:val="22"/>
          <w:szCs w:val="22"/>
          <w:lang w:eastAsia="en-US"/>
        </w:rPr>
        <w:t xml:space="preserve"> </w:t>
      </w:r>
      <w:r w:rsidRPr="00634773">
        <w:rPr>
          <w:rFonts w:ascii="ITC Avant Garde" w:eastAsia="Calibri" w:hAnsi="ITC Avant Garde"/>
          <w:bCs/>
          <w:sz w:val="22"/>
          <w:szCs w:val="22"/>
          <w:lang w:eastAsia="en-US"/>
        </w:rPr>
        <w:t>prevé</w:t>
      </w:r>
      <w:r w:rsidR="00E34182" w:rsidRPr="00634773">
        <w:rPr>
          <w:rFonts w:ascii="ITC Avant Garde" w:eastAsia="Calibri" w:hAnsi="ITC Avant Garde"/>
          <w:bCs/>
          <w:sz w:val="22"/>
          <w:szCs w:val="22"/>
          <w:lang w:eastAsia="en-US"/>
        </w:rPr>
        <w:t xml:space="preserve"> que para el otorgamiento de prórrogas </w:t>
      </w:r>
      <w:r w:rsidR="00710757" w:rsidRPr="00634773">
        <w:rPr>
          <w:rFonts w:ascii="ITC Avant Garde" w:eastAsia="Calibri" w:hAnsi="ITC Avant Garde"/>
          <w:bCs/>
          <w:sz w:val="22"/>
          <w:szCs w:val="22"/>
          <w:lang w:eastAsia="en-US"/>
        </w:rPr>
        <w:t>de concesiones únicas</w:t>
      </w:r>
      <w:r w:rsidR="00E34182" w:rsidRPr="00634773">
        <w:rPr>
          <w:rFonts w:ascii="ITC Avant Garde" w:eastAsia="Calibri" w:hAnsi="ITC Avant Garde"/>
          <w:bCs/>
          <w:sz w:val="22"/>
          <w:szCs w:val="22"/>
          <w:lang w:eastAsia="en-US"/>
        </w:rPr>
        <w:t xml:space="preserve">, </w:t>
      </w:r>
      <w:r w:rsidR="00BF4ABA" w:rsidRPr="00634773">
        <w:rPr>
          <w:rFonts w:ascii="ITC Avant Garde" w:eastAsia="Calibri" w:hAnsi="ITC Avant Garde"/>
          <w:bCs/>
          <w:sz w:val="22"/>
          <w:szCs w:val="22"/>
          <w:lang w:eastAsia="en-US"/>
        </w:rPr>
        <w:t>es</w:t>
      </w:r>
      <w:r w:rsidR="00E34182" w:rsidRPr="00634773">
        <w:rPr>
          <w:rFonts w:ascii="ITC Avant Garde" w:eastAsia="Calibri" w:hAnsi="ITC Avant Garde"/>
          <w:bCs/>
          <w:sz w:val="22"/>
          <w:szCs w:val="22"/>
          <w:lang w:eastAsia="en-US"/>
        </w:rPr>
        <w:t xml:space="preserve"> necesario que el concesionario: (i) </w:t>
      </w:r>
      <w:r w:rsidR="003C568C" w:rsidRPr="00634773">
        <w:rPr>
          <w:rFonts w:ascii="ITC Avant Garde" w:eastAsia="Calibri" w:hAnsi="ITC Avant Garde"/>
          <w:bCs/>
          <w:sz w:val="22"/>
          <w:szCs w:val="22"/>
          <w:lang w:eastAsia="en-US"/>
        </w:rPr>
        <w:t>l</w:t>
      </w:r>
      <w:r w:rsidR="0001239A" w:rsidRPr="00634773">
        <w:rPr>
          <w:rFonts w:ascii="ITC Avant Garde" w:eastAsia="Calibri" w:hAnsi="ITC Avant Garde"/>
          <w:bCs/>
          <w:sz w:val="22"/>
          <w:szCs w:val="22"/>
          <w:lang w:eastAsia="en-US"/>
        </w:rPr>
        <w:t>a</w:t>
      </w:r>
      <w:r w:rsidR="003C568C" w:rsidRPr="00634773">
        <w:rPr>
          <w:rFonts w:ascii="ITC Avant Garde" w:eastAsia="Calibri" w:hAnsi="ITC Avant Garde"/>
          <w:bCs/>
          <w:sz w:val="22"/>
          <w:szCs w:val="22"/>
          <w:lang w:eastAsia="en-US"/>
        </w:rPr>
        <w:t xml:space="preserve"> solicit</w:t>
      </w:r>
      <w:r w:rsidR="00BF4ABA" w:rsidRPr="00634773">
        <w:rPr>
          <w:rFonts w:ascii="ITC Avant Garde" w:eastAsia="Calibri" w:hAnsi="ITC Avant Garde"/>
          <w:bCs/>
          <w:sz w:val="22"/>
          <w:szCs w:val="22"/>
          <w:lang w:eastAsia="en-US"/>
        </w:rPr>
        <w:t>e</w:t>
      </w:r>
      <w:r w:rsidR="003C568C" w:rsidRPr="00634773">
        <w:rPr>
          <w:rFonts w:ascii="ITC Avant Garde" w:eastAsia="Calibri" w:hAnsi="ITC Avant Garde"/>
          <w:bCs/>
          <w:sz w:val="22"/>
          <w:szCs w:val="22"/>
          <w:lang w:eastAsia="en-US"/>
        </w:rPr>
        <w:t xml:space="preserve"> </w:t>
      </w:r>
      <w:r w:rsidR="00A67E5A" w:rsidRPr="00634773">
        <w:rPr>
          <w:rFonts w:ascii="ITC Avant Garde" w:eastAsia="Calibri" w:hAnsi="ITC Avant Garde"/>
          <w:bCs/>
          <w:sz w:val="22"/>
          <w:szCs w:val="22"/>
          <w:lang w:eastAsia="en-US"/>
        </w:rPr>
        <w:t>dentro del año previo al inicio de</w:t>
      </w:r>
      <w:r w:rsidR="003C568C" w:rsidRPr="00634773">
        <w:rPr>
          <w:rFonts w:ascii="ITC Avant Garde" w:eastAsia="Calibri" w:hAnsi="ITC Avant Garde"/>
          <w:bCs/>
          <w:sz w:val="22"/>
          <w:szCs w:val="22"/>
          <w:lang w:eastAsia="en-US"/>
        </w:rPr>
        <w:t xml:space="preserve"> la última quinta parte del plazo de la concesión; </w:t>
      </w:r>
      <w:r w:rsidR="00E34182" w:rsidRPr="00634773">
        <w:rPr>
          <w:rFonts w:ascii="ITC Avant Garde" w:eastAsia="Calibri" w:hAnsi="ITC Avant Garde"/>
          <w:bCs/>
          <w:sz w:val="22"/>
          <w:szCs w:val="22"/>
          <w:lang w:eastAsia="en-US"/>
        </w:rPr>
        <w:t xml:space="preserve">(ii) </w:t>
      </w:r>
      <w:r w:rsidR="003C568C" w:rsidRPr="00634773">
        <w:rPr>
          <w:rFonts w:ascii="ITC Avant Garde" w:eastAsia="Calibri" w:hAnsi="ITC Avant Garde"/>
          <w:bCs/>
          <w:sz w:val="22"/>
          <w:szCs w:val="22"/>
          <w:lang w:eastAsia="en-US"/>
        </w:rPr>
        <w:t xml:space="preserve">se encuentre al corriente en el cumplimiento de las obligaciones establecidas en la Ley y demás disposiciones aplicables, así como en su título de concesión, </w:t>
      </w:r>
      <w:r w:rsidR="00E34182" w:rsidRPr="00634773">
        <w:rPr>
          <w:rFonts w:ascii="ITC Avant Garde" w:eastAsia="Calibri" w:hAnsi="ITC Avant Garde"/>
          <w:bCs/>
          <w:sz w:val="22"/>
          <w:szCs w:val="22"/>
          <w:lang w:eastAsia="en-US"/>
        </w:rPr>
        <w:t>y (iii) acepte las nuevas condiciones que</w:t>
      </w:r>
      <w:r w:rsidRPr="00634773">
        <w:rPr>
          <w:rFonts w:ascii="ITC Avant Garde" w:eastAsia="Calibri" w:hAnsi="ITC Avant Garde"/>
          <w:bCs/>
          <w:sz w:val="22"/>
          <w:szCs w:val="22"/>
          <w:lang w:eastAsia="en-US"/>
        </w:rPr>
        <w:t>, en su caso,</w:t>
      </w:r>
      <w:r w:rsidR="003C568C" w:rsidRPr="00634773">
        <w:rPr>
          <w:rFonts w:ascii="ITC Avant Garde" w:eastAsia="Calibri" w:hAnsi="ITC Avant Garde"/>
          <w:bCs/>
          <w:sz w:val="22"/>
          <w:szCs w:val="22"/>
          <w:lang w:eastAsia="en-US"/>
        </w:rPr>
        <w:t xml:space="preserve"> fije el Instituto</w:t>
      </w:r>
      <w:r w:rsidRPr="00634773">
        <w:rPr>
          <w:rFonts w:ascii="ITC Avant Garde" w:eastAsia="Calibri" w:hAnsi="ITC Avant Garde"/>
          <w:bCs/>
          <w:sz w:val="22"/>
          <w:szCs w:val="22"/>
          <w:lang w:eastAsia="en-US"/>
        </w:rPr>
        <w:t>.</w:t>
      </w:r>
    </w:p>
    <w:p w:rsidR="00634773" w:rsidRPr="00634773" w:rsidRDefault="00BB28D3" w:rsidP="00634773">
      <w:pPr>
        <w:pStyle w:val="Textoindependiente"/>
        <w:spacing w:before="240" w:after="200"/>
        <w:rPr>
          <w:rFonts w:ascii="ITC Avant Garde" w:hAnsi="ITC Avant Garde"/>
          <w:bCs/>
          <w:sz w:val="22"/>
          <w:szCs w:val="22"/>
        </w:rPr>
      </w:pPr>
      <w:r w:rsidRPr="00634773">
        <w:rPr>
          <w:rFonts w:ascii="ITC Avant Garde" w:hAnsi="ITC Avant Garde"/>
          <w:bCs/>
          <w:color w:val="000000"/>
          <w:sz w:val="22"/>
          <w:szCs w:val="22"/>
          <w:lang w:eastAsia="es-MX"/>
        </w:rPr>
        <w:t xml:space="preserve">En virtud de lo anterior, </w:t>
      </w:r>
      <w:r w:rsidR="001C6359" w:rsidRPr="00634773">
        <w:rPr>
          <w:rFonts w:ascii="ITC Avant Garde" w:hAnsi="ITC Avant Garde"/>
          <w:bCs/>
          <w:color w:val="000000"/>
          <w:sz w:val="22"/>
          <w:szCs w:val="22"/>
          <w:lang w:eastAsia="es-MX"/>
        </w:rPr>
        <w:t>para</w:t>
      </w:r>
      <w:r w:rsidR="005821E2" w:rsidRPr="00634773">
        <w:rPr>
          <w:rFonts w:ascii="ITC Avant Garde" w:hAnsi="ITC Avant Garde"/>
          <w:bCs/>
          <w:color w:val="000000"/>
          <w:sz w:val="22"/>
          <w:szCs w:val="22"/>
          <w:lang w:eastAsia="es-MX"/>
        </w:rPr>
        <w:t xml:space="preserve"> resolver </w:t>
      </w:r>
      <w:r w:rsidR="00C24929" w:rsidRPr="00634773">
        <w:rPr>
          <w:rFonts w:ascii="ITC Avant Garde" w:hAnsi="ITC Avant Garde"/>
          <w:bCs/>
          <w:color w:val="000000"/>
          <w:sz w:val="22"/>
          <w:szCs w:val="22"/>
          <w:lang w:eastAsia="es-MX"/>
        </w:rPr>
        <w:t xml:space="preserve">la </w:t>
      </w:r>
      <w:r w:rsidR="00EC4F83" w:rsidRPr="00634773">
        <w:rPr>
          <w:rFonts w:ascii="ITC Avant Garde" w:hAnsi="ITC Avant Garde"/>
          <w:bCs/>
          <w:color w:val="000000"/>
          <w:sz w:val="22"/>
          <w:szCs w:val="22"/>
          <w:lang w:eastAsia="es-MX"/>
        </w:rPr>
        <w:t>Solicitud</w:t>
      </w:r>
      <w:r w:rsidR="001C6359" w:rsidRPr="00634773">
        <w:rPr>
          <w:rFonts w:ascii="ITC Avant Garde" w:hAnsi="ITC Avant Garde"/>
          <w:bCs/>
          <w:color w:val="000000"/>
          <w:sz w:val="22"/>
          <w:szCs w:val="22"/>
          <w:lang w:eastAsia="es-MX"/>
        </w:rPr>
        <w:t xml:space="preserve"> de Prórroga</w:t>
      </w:r>
      <w:r w:rsidR="005821E2" w:rsidRPr="00634773">
        <w:rPr>
          <w:rFonts w:ascii="ITC Avant Garde" w:hAnsi="ITC Avant Garde"/>
          <w:bCs/>
          <w:color w:val="000000"/>
          <w:sz w:val="22"/>
          <w:szCs w:val="22"/>
          <w:lang w:eastAsia="es-MX"/>
        </w:rPr>
        <w:t xml:space="preserve"> debe </w:t>
      </w:r>
      <w:r w:rsidR="00BE3C54" w:rsidRPr="00634773">
        <w:rPr>
          <w:rFonts w:ascii="ITC Avant Garde" w:hAnsi="ITC Avant Garde"/>
          <w:bCs/>
          <w:color w:val="000000"/>
          <w:sz w:val="22"/>
          <w:szCs w:val="22"/>
          <w:lang w:eastAsia="es-MX"/>
        </w:rPr>
        <w:t>considerarse e</w:t>
      </w:r>
      <w:r w:rsidR="005821E2" w:rsidRPr="00634773">
        <w:rPr>
          <w:rFonts w:ascii="ITC Avant Garde" w:hAnsi="ITC Avant Garde"/>
          <w:bCs/>
          <w:color w:val="000000"/>
          <w:sz w:val="22"/>
          <w:szCs w:val="22"/>
          <w:lang w:eastAsia="es-MX"/>
        </w:rPr>
        <w:t xml:space="preserve">l procedimiento de </w:t>
      </w:r>
      <w:r w:rsidR="00BE3C54" w:rsidRPr="00634773">
        <w:rPr>
          <w:rFonts w:ascii="ITC Avant Garde" w:hAnsi="ITC Avant Garde"/>
          <w:bCs/>
          <w:color w:val="000000"/>
          <w:sz w:val="22"/>
          <w:szCs w:val="22"/>
          <w:lang w:eastAsia="es-MX"/>
        </w:rPr>
        <w:t xml:space="preserve">prórroga de concesiones </w:t>
      </w:r>
      <w:r w:rsidR="005821E2" w:rsidRPr="00634773">
        <w:rPr>
          <w:rFonts w:ascii="ITC Avant Garde" w:hAnsi="ITC Avant Garde"/>
          <w:bCs/>
          <w:color w:val="000000"/>
          <w:sz w:val="22"/>
          <w:szCs w:val="22"/>
          <w:lang w:eastAsia="es-MX"/>
        </w:rPr>
        <w:t xml:space="preserve">que </w:t>
      </w:r>
      <w:r w:rsidR="00BE3C54" w:rsidRPr="00634773">
        <w:rPr>
          <w:rFonts w:ascii="ITC Avant Garde" w:hAnsi="ITC Avant Garde"/>
          <w:bCs/>
          <w:color w:val="000000"/>
          <w:sz w:val="22"/>
          <w:szCs w:val="22"/>
          <w:lang w:eastAsia="es-MX"/>
        </w:rPr>
        <w:t>se</w:t>
      </w:r>
      <w:r w:rsidR="00E17697" w:rsidRPr="00634773">
        <w:rPr>
          <w:rFonts w:ascii="ITC Avant Garde" w:hAnsi="ITC Avant Garde"/>
          <w:bCs/>
          <w:color w:val="000000"/>
          <w:sz w:val="22"/>
          <w:szCs w:val="22"/>
          <w:lang w:eastAsia="es-MX"/>
        </w:rPr>
        <w:t xml:space="preserve"> encuentra previsto en la Ley y, </w:t>
      </w:r>
      <w:r w:rsidR="00BE3C54" w:rsidRPr="00634773">
        <w:rPr>
          <w:rFonts w:ascii="ITC Avant Garde" w:hAnsi="ITC Avant Garde"/>
          <w:bCs/>
          <w:color w:val="000000"/>
          <w:sz w:val="22"/>
          <w:szCs w:val="22"/>
          <w:lang w:eastAsia="es-MX"/>
        </w:rPr>
        <w:t>además</w:t>
      </w:r>
      <w:r w:rsidR="00E17697" w:rsidRPr="00634773">
        <w:rPr>
          <w:rFonts w:ascii="ITC Avant Garde" w:hAnsi="ITC Avant Garde"/>
          <w:bCs/>
          <w:color w:val="000000"/>
          <w:sz w:val="22"/>
          <w:szCs w:val="22"/>
          <w:lang w:eastAsia="es-MX"/>
        </w:rPr>
        <w:t>,</w:t>
      </w:r>
      <w:r w:rsidR="00BE3C54" w:rsidRPr="00634773">
        <w:rPr>
          <w:rFonts w:ascii="ITC Avant Garde" w:hAnsi="ITC Avant Garde"/>
          <w:bCs/>
          <w:color w:val="000000"/>
          <w:sz w:val="22"/>
          <w:szCs w:val="22"/>
          <w:lang w:eastAsia="es-MX"/>
        </w:rPr>
        <w:t xml:space="preserve"> </w:t>
      </w:r>
      <w:r w:rsidR="005821E2" w:rsidRPr="00634773">
        <w:rPr>
          <w:rFonts w:ascii="ITC Avant Garde" w:hAnsi="ITC Avant Garde"/>
          <w:bCs/>
          <w:color w:val="000000"/>
          <w:sz w:val="22"/>
          <w:szCs w:val="22"/>
          <w:lang w:eastAsia="es-MX"/>
        </w:rPr>
        <w:t xml:space="preserve">observarse el actual régimen de concesionamiento previsto </w:t>
      </w:r>
      <w:r w:rsidR="003F2CC2" w:rsidRPr="00634773">
        <w:rPr>
          <w:rFonts w:ascii="ITC Avant Garde" w:hAnsi="ITC Avant Garde"/>
          <w:bCs/>
          <w:color w:val="000000"/>
          <w:sz w:val="22"/>
          <w:szCs w:val="22"/>
          <w:lang w:eastAsia="es-MX"/>
        </w:rPr>
        <w:t>por</w:t>
      </w:r>
      <w:r w:rsidR="005821E2" w:rsidRPr="00634773">
        <w:rPr>
          <w:rFonts w:ascii="ITC Avant Garde" w:hAnsi="ITC Avant Garde"/>
          <w:bCs/>
          <w:color w:val="000000"/>
          <w:sz w:val="22"/>
          <w:szCs w:val="22"/>
          <w:lang w:eastAsia="es-MX"/>
        </w:rPr>
        <w:t xml:space="preserve"> los </w:t>
      </w:r>
      <w:r w:rsidR="005821E2" w:rsidRPr="00634773">
        <w:rPr>
          <w:rFonts w:ascii="ITC Avant Garde" w:hAnsi="ITC Avant Garde"/>
          <w:bCs/>
          <w:sz w:val="22"/>
          <w:szCs w:val="22"/>
        </w:rPr>
        <w:t xml:space="preserve">artículos </w:t>
      </w:r>
      <w:r w:rsidR="00B1172D" w:rsidRPr="00634773">
        <w:rPr>
          <w:rFonts w:ascii="ITC Avant Garde" w:hAnsi="ITC Avant Garde"/>
          <w:bCs/>
          <w:sz w:val="22"/>
          <w:szCs w:val="22"/>
        </w:rPr>
        <w:t>66 y 67 fr</w:t>
      </w:r>
      <w:r w:rsidR="00BE3C54" w:rsidRPr="00634773">
        <w:rPr>
          <w:rFonts w:ascii="ITC Avant Garde" w:hAnsi="ITC Avant Garde"/>
          <w:bCs/>
          <w:sz w:val="22"/>
          <w:szCs w:val="22"/>
        </w:rPr>
        <w:t>acción I</w:t>
      </w:r>
      <w:r w:rsidR="00AF2B59" w:rsidRPr="00634773">
        <w:rPr>
          <w:rFonts w:ascii="ITC Avant Garde" w:hAnsi="ITC Avant Garde"/>
          <w:bCs/>
          <w:sz w:val="22"/>
          <w:szCs w:val="22"/>
        </w:rPr>
        <w:t xml:space="preserve"> de la Ley</w:t>
      </w:r>
      <w:r w:rsidR="00BE3C54" w:rsidRPr="00634773">
        <w:rPr>
          <w:rFonts w:ascii="ITC Avant Garde" w:hAnsi="ITC Avant Garde"/>
          <w:bCs/>
          <w:sz w:val="22"/>
          <w:szCs w:val="22"/>
        </w:rPr>
        <w:t xml:space="preserve"> respecto de la Concesión</w:t>
      </w:r>
      <w:r w:rsidR="00B1172D" w:rsidRPr="00634773">
        <w:rPr>
          <w:rFonts w:ascii="ITC Avant Garde" w:hAnsi="ITC Avant Garde"/>
          <w:bCs/>
          <w:sz w:val="22"/>
          <w:szCs w:val="22"/>
        </w:rPr>
        <w:t>.</w:t>
      </w:r>
    </w:p>
    <w:p w:rsidR="00634773" w:rsidRPr="00634773" w:rsidRDefault="00070EF0" w:rsidP="00634773">
      <w:pPr>
        <w:autoSpaceDE w:val="0"/>
        <w:autoSpaceDN w:val="0"/>
        <w:adjustRightInd w:val="0"/>
        <w:spacing w:before="240" w:line="240" w:lineRule="auto"/>
        <w:jc w:val="both"/>
        <w:rPr>
          <w:rFonts w:ascii="ITC Avant Garde" w:hAnsi="ITC Avant Garde"/>
          <w:bCs/>
          <w:color w:val="000000"/>
          <w:lang w:val="es-ES" w:eastAsia="es-MX"/>
        </w:rPr>
      </w:pPr>
      <w:r w:rsidRPr="00634773">
        <w:rPr>
          <w:rFonts w:ascii="ITC Avant Garde" w:hAnsi="ITC Avant Garde"/>
          <w:bCs/>
        </w:rPr>
        <w:t xml:space="preserve">Finalmente, cabe destacar que para este tipo de solicitudes debe acatarse el requisito de procedencia establecido en el artículo 174-B fracción I inciso b) de la Ley Federal de Derechos, que establece la obligación a cargo del solicitante de prórroga de vigencia de concesión en materia de telecomunicaciones, de pagar </w:t>
      </w:r>
      <w:r w:rsidRPr="00634773">
        <w:rPr>
          <w:rFonts w:ascii="ITC Avant Garde" w:hAnsi="ITC Avant Garde"/>
          <w:bCs/>
        </w:rPr>
        <w:lastRenderedPageBreak/>
        <w:t xml:space="preserve">los </w:t>
      </w:r>
      <w:r w:rsidRPr="00634773">
        <w:rPr>
          <w:rFonts w:ascii="ITC Avant Garde" w:hAnsi="ITC Avant Garde"/>
          <w:bCs/>
          <w:color w:val="000000"/>
          <w:lang w:val="es-ES" w:eastAsia="es-MX"/>
        </w:rPr>
        <w:t>derechos por el trámite relativo al estudio y, en su caso, la expedición del tít</w:t>
      </w:r>
      <w:r w:rsidR="00634773" w:rsidRPr="00634773">
        <w:rPr>
          <w:rFonts w:ascii="ITC Avant Garde" w:hAnsi="ITC Avant Garde"/>
          <w:bCs/>
          <w:color w:val="000000"/>
          <w:lang w:val="es-ES" w:eastAsia="es-MX"/>
        </w:rPr>
        <w:t>ulo o prórroga de la concesión.</w:t>
      </w:r>
    </w:p>
    <w:p w:rsidR="00634773" w:rsidRPr="00634773" w:rsidRDefault="001269DF"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
          <w:bCs/>
          <w:color w:val="000000"/>
          <w:lang w:val="es-ES" w:eastAsia="es-MX"/>
        </w:rPr>
        <w:t xml:space="preserve">Tercero.- Prórroga de </w:t>
      </w:r>
      <w:r w:rsidR="00660EE7" w:rsidRPr="00634773">
        <w:rPr>
          <w:rFonts w:ascii="ITC Avant Garde" w:hAnsi="ITC Avant Garde"/>
          <w:b/>
          <w:bCs/>
          <w:color w:val="000000"/>
          <w:lang w:val="es-ES" w:eastAsia="es-MX"/>
        </w:rPr>
        <w:t>concesiones para construir, instalar, mantener, operar y explotar redes públicas</w:t>
      </w:r>
      <w:r w:rsidR="00152E6E" w:rsidRPr="00634773">
        <w:rPr>
          <w:rFonts w:ascii="ITC Avant Garde" w:hAnsi="ITC Avant Garde"/>
          <w:b/>
          <w:bCs/>
          <w:color w:val="000000"/>
          <w:lang w:val="es-ES" w:eastAsia="es-MX"/>
        </w:rPr>
        <w:t xml:space="preserve"> telefónicas</w:t>
      </w:r>
      <w:r w:rsidRPr="00634773">
        <w:rPr>
          <w:rFonts w:ascii="ITC Avant Garde" w:hAnsi="ITC Avant Garde"/>
          <w:b/>
          <w:bCs/>
          <w:color w:val="000000"/>
          <w:lang w:val="es-ES" w:eastAsia="es-MX"/>
        </w:rPr>
        <w:t>.</w:t>
      </w:r>
      <w:r w:rsidRPr="00634773">
        <w:rPr>
          <w:rFonts w:ascii="ITC Avant Garde" w:hAnsi="ITC Avant Garde"/>
          <w:bCs/>
          <w:color w:val="000000"/>
          <w:lang w:val="es-ES" w:eastAsia="es-MX"/>
        </w:rPr>
        <w:t xml:space="preserve"> </w:t>
      </w:r>
      <w:r w:rsidR="002C6AB9" w:rsidRPr="00634773">
        <w:rPr>
          <w:rFonts w:ascii="ITC Avant Garde" w:hAnsi="ITC Avant Garde"/>
          <w:bCs/>
          <w:color w:val="000000"/>
          <w:lang w:val="es-ES" w:eastAsia="es-MX"/>
        </w:rPr>
        <w:t xml:space="preserve">Por lo que toca </w:t>
      </w:r>
      <w:r w:rsidR="002F594E" w:rsidRPr="00634773">
        <w:rPr>
          <w:rFonts w:ascii="ITC Avant Garde" w:hAnsi="ITC Avant Garde"/>
          <w:bCs/>
          <w:color w:val="000000"/>
          <w:lang w:val="es-ES" w:eastAsia="es-MX"/>
        </w:rPr>
        <w:t xml:space="preserve">a la </w:t>
      </w:r>
      <w:r w:rsidR="0045021A" w:rsidRPr="00634773">
        <w:rPr>
          <w:rFonts w:ascii="ITC Avant Garde" w:hAnsi="ITC Avant Garde"/>
          <w:bCs/>
          <w:color w:val="000000"/>
          <w:lang w:val="es-ES" w:eastAsia="es-MX"/>
        </w:rPr>
        <w:t xml:space="preserve">prórroga </w:t>
      </w:r>
      <w:r w:rsidR="002F594E" w:rsidRPr="00634773">
        <w:rPr>
          <w:rFonts w:ascii="ITC Avant Garde" w:hAnsi="ITC Avant Garde"/>
          <w:bCs/>
          <w:color w:val="000000"/>
          <w:lang w:val="es-ES" w:eastAsia="es-MX"/>
        </w:rPr>
        <w:t>de la Concesi</w:t>
      </w:r>
      <w:r w:rsidR="001A20B6" w:rsidRPr="00634773">
        <w:rPr>
          <w:rFonts w:ascii="ITC Avant Garde" w:hAnsi="ITC Avant Garde"/>
          <w:bCs/>
          <w:color w:val="000000"/>
          <w:lang w:val="es-ES" w:eastAsia="es-MX"/>
        </w:rPr>
        <w:t>ón</w:t>
      </w:r>
      <w:r w:rsidR="002F594E" w:rsidRPr="00634773">
        <w:rPr>
          <w:rFonts w:ascii="ITC Avant Garde" w:hAnsi="ITC Avant Garde"/>
          <w:bCs/>
          <w:color w:val="000000"/>
          <w:lang w:val="es-ES" w:eastAsia="es-MX"/>
        </w:rPr>
        <w:t>, s</w:t>
      </w:r>
      <w:r w:rsidR="00BB28D3" w:rsidRPr="00634773">
        <w:rPr>
          <w:rFonts w:ascii="ITC Avant Garde" w:hAnsi="ITC Avant Garde"/>
          <w:bCs/>
          <w:color w:val="000000"/>
          <w:lang w:val="es-ES" w:eastAsia="es-MX"/>
        </w:rPr>
        <w:t>i bien es cierto que el artículo 72 de la Ley únicamente señala a las concesiones</w:t>
      </w:r>
      <w:r w:rsidR="001A20B6" w:rsidRPr="00634773">
        <w:rPr>
          <w:rFonts w:ascii="ITC Avant Garde" w:hAnsi="ITC Avant Garde"/>
          <w:bCs/>
          <w:color w:val="000000"/>
          <w:lang w:val="es-ES" w:eastAsia="es-MX"/>
        </w:rPr>
        <w:t xml:space="preserve"> únicas como susceptibles de pro</w:t>
      </w:r>
      <w:r w:rsidR="00BB28D3" w:rsidRPr="00634773">
        <w:rPr>
          <w:rFonts w:ascii="ITC Avant Garde" w:hAnsi="ITC Avant Garde"/>
          <w:bCs/>
          <w:color w:val="000000"/>
          <w:lang w:val="es-ES" w:eastAsia="es-MX"/>
        </w:rPr>
        <w:t>rroga</w:t>
      </w:r>
      <w:r w:rsidR="001A20B6" w:rsidRPr="00634773">
        <w:rPr>
          <w:rFonts w:ascii="ITC Avant Garde" w:hAnsi="ITC Avant Garde"/>
          <w:bCs/>
          <w:color w:val="000000"/>
          <w:lang w:val="es-ES" w:eastAsia="es-MX"/>
        </w:rPr>
        <w:t>r</w:t>
      </w:r>
      <w:r w:rsidR="00BB28D3" w:rsidRPr="00634773">
        <w:rPr>
          <w:rFonts w:ascii="ITC Avant Garde" w:hAnsi="ITC Avant Garde"/>
          <w:bCs/>
          <w:color w:val="000000"/>
          <w:lang w:val="es-ES" w:eastAsia="es-MX"/>
        </w:rPr>
        <w:t xml:space="preserve"> su vigencia, esto no debe en</w:t>
      </w:r>
      <w:r w:rsidR="001A20B6" w:rsidRPr="00634773">
        <w:rPr>
          <w:rFonts w:ascii="ITC Avant Garde" w:hAnsi="ITC Avant Garde"/>
          <w:bCs/>
          <w:color w:val="000000"/>
          <w:lang w:val="es-ES" w:eastAsia="es-MX"/>
        </w:rPr>
        <w:t>tenderse en el sentido de que</w:t>
      </w:r>
      <w:r w:rsidR="001A20B6" w:rsidRPr="00634773">
        <w:rPr>
          <w:rFonts w:ascii="ITC Avant Garde" w:hAnsi="ITC Avant Garde"/>
          <w:bCs/>
        </w:rPr>
        <w:t xml:space="preserve"> </w:t>
      </w:r>
      <w:r w:rsidR="00DF03EE" w:rsidRPr="00634773">
        <w:rPr>
          <w:rFonts w:ascii="ITC Avant Garde" w:hAnsi="ITC Avant Garde"/>
          <w:bCs/>
        </w:rPr>
        <w:t xml:space="preserve">otras </w:t>
      </w:r>
      <w:r w:rsidR="00B40FE0" w:rsidRPr="00634773">
        <w:rPr>
          <w:rFonts w:ascii="ITC Avant Garde" w:hAnsi="ITC Avant Garde"/>
          <w:bCs/>
        </w:rPr>
        <w:t xml:space="preserve">concesiones </w:t>
      </w:r>
      <w:r w:rsidR="00DF03EE" w:rsidRPr="00634773">
        <w:rPr>
          <w:rFonts w:ascii="ITC Avant Garde" w:hAnsi="ITC Avant Garde"/>
          <w:bCs/>
        </w:rPr>
        <w:t xml:space="preserve">para prestar servicios de telecomunicaciones, otorgadas en su oportunidad al amparo de la Ley de Vías Generales de Comunicación o la Ley Federal de Telecomunicaciones, </w:t>
      </w:r>
      <w:r w:rsidR="00BB28D3" w:rsidRPr="00634773">
        <w:rPr>
          <w:rFonts w:ascii="ITC Avant Garde" w:hAnsi="ITC Avant Garde"/>
          <w:bCs/>
        </w:rPr>
        <w:t>escapan del alcance del supuesto normativo contenido en dicho precepto legal.</w:t>
      </w:r>
      <w:r w:rsidR="001807A1" w:rsidRPr="00634773">
        <w:rPr>
          <w:rFonts w:ascii="ITC Avant Garde" w:hAnsi="ITC Avant Garde"/>
          <w:bCs/>
        </w:rPr>
        <w:t xml:space="preserve"> </w:t>
      </w:r>
      <w:r w:rsidR="00BB28D3" w:rsidRPr="00634773">
        <w:rPr>
          <w:rFonts w:ascii="ITC Avant Garde" w:hAnsi="ITC Avant Garde"/>
          <w:bCs/>
        </w:rPr>
        <w:t xml:space="preserve">Considerar que el marco jurídico actual no contempla a </w:t>
      </w:r>
      <w:r w:rsidR="006911D3" w:rsidRPr="00634773">
        <w:rPr>
          <w:rFonts w:ascii="ITC Avant Garde" w:hAnsi="ITC Avant Garde"/>
          <w:bCs/>
        </w:rPr>
        <w:t>este tipo de</w:t>
      </w:r>
      <w:r w:rsidR="00BB28D3" w:rsidRPr="00634773">
        <w:rPr>
          <w:rFonts w:ascii="ITC Avant Garde" w:hAnsi="ITC Avant Garde"/>
          <w:bCs/>
        </w:rPr>
        <w:t xml:space="preserve"> concesion</w:t>
      </w:r>
      <w:r w:rsidR="00DF03EE" w:rsidRPr="00634773">
        <w:rPr>
          <w:rFonts w:ascii="ITC Avant Garde" w:hAnsi="ITC Avant Garde"/>
          <w:bCs/>
        </w:rPr>
        <w:t>es</w:t>
      </w:r>
      <w:r w:rsidR="00BB28D3" w:rsidRPr="00634773">
        <w:rPr>
          <w:rFonts w:ascii="ITC Avant Garde" w:hAnsi="ITC Avant Garde"/>
          <w:bCs/>
        </w:rPr>
        <w:t>, conllevaría a la interpretación de que l</w:t>
      </w:r>
      <w:r w:rsidR="00DF03EE" w:rsidRPr="00634773">
        <w:rPr>
          <w:rFonts w:ascii="ITC Avant Garde" w:hAnsi="ITC Avant Garde"/>
          <w:bCs/>
        </w:rPr>
        <w:t>a</w:t>
      </w:r>
      <w:r w:rsidR="00BB28D3" w:rsidRPr="00634773">
        <w:rPr>
          <w:rFonts w:ascii="ITC Avant Garde" w:hAnsi="ITC Avant Garde"/>
          <w:bCs/>
        </w:rPr>
        <w:t>s mism</w:t>
      </w:r>
      <w:r w:rsidR="00DF03EE" w:rsidRPr="00634773">
        <w:rPr>
          <w:rFonts w:ascii="ITC Avant Garde" w:hAnsi="ITC Avant Garde"/>
          <w:bCs/>
        </w:rPr>
        <w:t>a</w:t>
      </w:r>
      <w:r w:rsidR="00BB28D3" w:rsidRPr="00634773">
        <w:rPr>
          <w:rFonts w:ascii="ITC Avant Garde" w:hAnsi="ITC Avant Garde"/>
          <w:bCs/>
        </w:rPr>
        <w:t>s no se encuentran regulad</w:t>
      </w:r>
      <w:r w:rsidR="00DF03EE" w:rsidRPr="00634773">
        <w:rPr>
          <w:rFonts w:ascii="ITC Avant Garde" w:hAnsi="ITC Avant Garde"/>
          <w:bCs/>
        </w:rPr>
        <w:t>a</w:t>
      </w:r>
      <w:r w:rsidR="00BB28D3" w:rsidRPr="00634773">
        <w:rPr>
          <w:rFonts w:ascii="ITC Avant Garde" w:hAnsi="ITC Avant Garde"/>
          <w:bCs/>
        </w:rPr>
        <w:t>s por el actual marco normativo.</w:t>
      </w:r>
    </w:p>
    <w:p w:rsidR="00634773" w:rsidRPr="00634773" w:rsidRDefault="002C6AB9"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 xml:space="preserve">Así, </w:t>
      </w:r>
      <w:r w:rsidR="00BB28D3" w:rsidRPr="00634773">
        <w:rPr>
          <w:rFonts w:ascii="ITC Avant Garde" w:hAnsi="ITC Avant Garde"/>
          <w:bCs/>
        </w:rPr>
        <w:t>no debe pasarse por alto que los servicios de telecomunicaciones que se prestan al amparo de la Concesi</w:t>
      </w:r>
      <w:r w:rsidR="006911D3" w:rsidRPr="00634773">
        <w:rPr>
          <w:rFonts w:ascii="ITC Avant Garde" w:hAnsi="ITC Avant Garde"/>
          <w:bCs/>
        </w:rPr>
        <w:t>ó</w:t>
      </w:r>
      <w:bookmarkStart w:id="0" w:name="_GoBack"/>
      <w:bookmarkEnd w:id="0"/>
      <w:r w:rsidR="006911D3" w:rsidRPr="00634773">
        <w:rPr>
          <w:rFonts w:ascii="ITC Avant Garde" w:hAnsi="ITC Avant Garde"/>
          <w:bCs/>
        </w:rPr>
        <w:t>n</w:t>
      </w:r>
      <w:r w:rsidR="00BB28D3" w:rsidRPr="00634773">
        <w:rPr>
          <w:rFonts w:ascii="ITC Avant Garde" w:hAnsi="ITC Avant Garde"/>
          <w:bCs/>
        </w:rPr>
        <w:t xml:space="preserve">, </w:t>
      </w:r>
      <w:r w:rsidR="000A7CC3" w:rsidRPr="00634773">
        <w:rPr>
          <w:rFonts w:ascii="ITC Avant Garde" w:hAnsi="ITC Avant Garde"/>
          <w:bCs/>
        </w:rPr>
        <w:t>son</w:t>
      </w:r>
      <w:r w:rsidR="00BB28D3" w:rsidRPr="00634773">
        <w:rPr>
          <w:rFonts w:ascii="ITC Avant Garde" w:hAnsi="ITC Avant Garde"/>
          <w:bCs/>
        </w:rPr>
        <w:t xml:space="preserve"> servicios públicos de interés general en virtud de lo señalado </w:t>
      </w:r>
      <w:r w:rsidRPr="00634773">
        <w:rPr>
          <w:rFonts w:ascii="ITC Avant Garde" w:hAnsi="ITC Avant Garde"/>
          <w:bCs/>
        </w:rPr>
        <w:t>por</w:t>
      </w:r>
      <w:r w:rsidR="00BB28D3" w:rsidRPr="00634773">
        <w:rPr>
          <w:rFonts w:ascii="ITC Avant Garde" w:hAnsi="ITC Avant Garde"/>
          <w:bCs/>
        </w:rPr>
        <w:t xml:space="preserve"> el artículo 6o. Apartado B fracción II de la Constitución, por lo que el Estado debe garantizar que los mismos sean prestados en condiciones de competencia y continuidad</w:t>
      </w:r>
      <w:r w:rsidRPr="00634773">
        <w:rPr>
          <w:rFonts w:ascii="ITC Avant Garde" w:hAnsi="ITC Avant Garde"/>
          <w:bCs/>
        </w:rPr>
        <w:t>, entre otras</w:t>
      </w:r>
      <w:r w:rsidR="001315FA" w:rsidRPr="00634773">
        <w:rPr>
          <w:rFonts w:ascii="ITC Avant Garde" w:hAnsi="ITC Avant Garde"/>
          <w:bCs/>
        </w:rPr>
        <w:t xml:space="preserve">. </w:t>
      </w:r>
      <w:r w:rsidR="00BB28D3" w:rsidRPr="00634773">
        <w:rPr>
          <w:rFonts w:ascii="ITC Avant Garde" w:hAnsi="ITC Avant Garde"/>
          <w:bCs/>
        </w:rPr>
        <w:t>En ese sentido, el ar</w:t>
      </w:r>
      <w:r w:rsidR="001269DF" w:rsidRPr="00634773">
        <w:rPr>
          <w:rFonts w:ascii="ITC Avant Garde" w:hAnsi="ITC Avant Garde"/>
          <w:bCs/>
        </w:rPr>
        <w:t xml:space="preserve">tículo </w:t>
      </w:r>
      <w:r w:rsidR="000F34F2" w:rsidRPr="00634773">
        <w:rPr>
          <w:rFonts w:ascii="ITC Avant Garde" w:hAnsi="ITC Avant Garde"/>
          <w:bCs/>
        </w:rPr>
        <w:t>67</w:t>
      </w:r>
      <w:r w:rsidR="001269DF" w:rsidRPr="00634773">
        <w:rPr>
          <w:rFonts w:ascii="ITC Avant Garde" w:hAnsi="ITC Avant Garde"/>
          <w:bCs/>
        </w:rPr>
        <w:t xml:space="preserve"> fracción I de la Ley</w:t>
      </w:r>
      <w:r w:rsidR="00BB28D3" w:rsidRPr="00634773">
        <w:rPr>
          <w:rFonts w:ascii="ITC Avant Garde" w:hAnsi="ITC Avant Garde"/>
          <w:bCs/>
        </w:rPr>
        <w:t xml:space="preserve"> define a la concesión única </w:t>
      </w:r>
      <w:r w:rsidR="000F34F2" w:rsidRPr="00634773">
        <w:rPr>
          <w:rFonts w:ascii="ITC Avant Garde" w:hAnsi="ITC Avant Garde"/>
          <w:bCs/>
        </w:rPr>
        <w:t xml:space="preserve">para uso comercial </w:t>
      </w:r>
      <w:r w:rsidR="00BB28D3" w:rsidRPr="00634773">
        <w:rPr>
          <w:rFonts w:ascii="ITC Avant Garde" w:hAnsi="ITC Avant Garde"/>
          <w:bCs/>
        </w:rPr>
        <w:t xml:space="preserve">como el acto administrativo mediante el cual el Instituto confiere el derecho </w:t>
      </w:r>
      <w:r w:rsidR="000F34F2" w:rsidRPr="00634773">
        <w:rPr>
          <w:rFonts w:ascii="ITC Avant Garde" w:hAnsi="ITC Avant Garde"/>
          <w:bCs/>
        </w:rPr>
        <w:t xml:space="preserve">a personas físicas o morales para prestar servicios públicos de telecomunicaciones y de radiodifusión, con fines de lucro a través de una red pública de telecomunicaciones. </w:t>
      </w:r>
    </w:p>
    <w:p w:rsidR="00634773" w:rsidRPr="00634773" w:rsidRDefault="00957CD7"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Asimismo</w:t>
      </w:r>
      <w:r w:rsidR="001315FA" w:rsidRPr="00634773">
        <w:rPr>
          <w:rFonts w:ascii="ITC Avant Garde" w:hAnsi="ITC Avant Garde"/>
          <w:bCs/>
        </w:rPr>
        <w:t>, la</w:t>
      </w:r>
      <w:r w:rsidR="006911D3" w:rsidRPr="00634773">
        <w:rPr>
          <w:rFonts w:ascii="ITC Avant Garde" w:hAnsi="ITC Avant Garde"/>
          <w:bCs/>
        </w:rPr>
        <w:t xml:space="preserve"> red pública telefónica a que se refiere la condición 1-1 de la Concesión se define como la vía general de comunicación que se integra por el conjunto de canales, circuitos o cualquier otro medio de transmisión, así como dispositivos o centrales de conmutación que permiten prestar al público en general el servicio de conducción de señales</w:t>
      </w:r>
      <w:r w:rsidR="002A0C72" w:rsidRPr="00634773">
        <w:rPr>
          <w:rFonts w:ascii="ITC Avant Garde" w:hAnsi="ITC Avant Garde"/>
          <w:bCs/>
        </w:rPr>
        <w:t xml:space="preserve"> de voz, sonidos, datos, textos e imágenes, por líneas físicas conductoras eléctricas, radioelectricidad, medios ópticos u otros sistemas electromagnéticos o de cualquier otro tipo. </w:t>
      </w:r>
    </w:p>
    <w:p w:rsidR="00634773" w:rsidRPr="00634773" w:rsidRDefault="00535664"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Por su parte</w:t>
      </w:r>
      <w:r w:rsidR="002A0C72" w:rsidRPr="00634773">
        <w:rPr>
          <w:rFonts w:ascii="ITC Avant Garde" w:hAnsi="ITC Avant Garde"/>
          <w:bCs/>
        </w:rPr>
        <w:t xml:space="preserve">, la fracción LVII </w:t>
      </w:r>
      <w:r w:rsidR="00B5035F" w:rsidRPr="00634773">
        <w:rPr>
          <w:rFonts w:ascii="ITC Avant Garde" w:hAnsi="ITC Avant Garde"/>
          <w:bCs/>
        </w:rPr>
        <w:t xml:space="preserve">del artículo 3 </w:t>
      </w:r>
      <w:r w:rsidR="000F34F2" w:rsidRPr="00634773">
        <w:rPr>
          <w:rFonts w:ascii="ITC Avant Garde" w:hAnsi="ITC Avant Garde"/>
          <w:bCs/>
        </w:rPr>
        <w:t>de la Ley</w:t>
      </w:r>
      <w:r w:rsidR="00B5035F" w:rsidRPr="00634773">
        <w:rPr>
          <w:rFonts w:ascii="ITC Avant Garde" w:hAnsi="ITC Avant Garde"/>
          <w:bCs/>
        </w:rPr>
        <w:t>,</w:t>
      </w:r>
      <w:r w:rsidR="000F34F2" w:rsidRPr="00634773">
        <w:rPr>
          <w:rFonts w:ascii="ITC Avant Garde" w:hAnsi="ITC Avant Garde"/>
          <w:bCs/>
        </w:rPr>
        <w:t xml:space="preserve"> define</w:t>
      </w:r>
      <w:r w:rsidR="002A0C72" w:rsidRPr="00634773">
        <w:rPr>
          <w:rFonts w:ascii="ITC Avant Garde" w:hAnsi="ITC Avant Garde"/>
          <w:bCs/>
        </w:rPr>
        <w:t xml:space="preserve"> a la red de telecomunicaciones como el sistema integrado por medios de transmisión, tales como canales o circuitos que utilicen, entre otros, cableados, redes de transmisión eléctrica o cualquier otro medio de transmisión, así como en su caso, centrales, dispositivos de conmutación o cualquie</w:t>
      </w:r>
      <w:r w:rsidR="00957CD7" w:rsidRPr="00634773">
        <w:rPr>
          <w:rFonts w:ascii="ITC Avant Garde" w:hAnsi="ITC Avant Garde"/>
          <w:bCs/>
        </w:rPr>
        <w:t xml:space="preserve">r equipo necesario. </w:t>
      </w:r>
    </w:p>
    <w:p w:rsidR="00634773" w:rsidRPr="00634773" w:rsidRDefault="00957CD7"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Adicionalmente</w:t>
      </w:r>
      <w:r w:rsidR="002A0C72" w:rsidRPr="00634773">
        <w:rPr>
          <w:rFonts w:ascii="ITC Avant Garde" w:hAnsi="ITC Avant Garde"/>
          <w:bCs/>
        </w:rPr>
        <w:t>, la fracc</w:t>
      </w:r>
      <w:r w:rsidR="00B5035F" w:rsidRPr="00634773">
        <w:rPr>
          <w:rFonts w:ascii="ITC Avant Garde" w:hAnsi="ITC Avant Garde"/>
          <w:bCs/>
        </w:rPr>
        <w:t>ión LVIII del mismo artículo</w:t>
      </w:r>
      <w:r w:rsidR="002A0C72" w:rsidRPr="00634773">
        <w:rPr>
          <w:rFonts w:ascii="ITC Avant Garde" w:hAnsi="ITC Avant Garde"/>
          <w:bCs/>
        </w:rPr>
        <w:t xml:space="preserve"> define a la red pública de telecomunicaciones como la red de telecomunicaciones a través de la cual se explotan comercialmente servicios de telecomunicaciones. La red no comprende los equipos terminales de telecomunicaciones de los usuarios, ni las redes de telecomunicaciones que se encuentren más allá del punto de conexión terminal. </w:t>
      </w:r>
    </w:p>
    <w:p w:rsidR="00634773" w:rsidRPr="00634773" w:rsidRDefault="003F2CC2"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lastRenderedPageBreak/>
        <w:t xml:space="preserve">De lo señalado anteriormente se deduce que </w:t>
      </w:r>
      <w:r w:rsidR="000F34F2" w:rsidRPr="00634773">
        <w:rPr>
          <w:rFonts w:ascii="ITC Avant Garde" w:hAnsi="ITC Avant Garde"/>
          <w:bCs/>
        </w:rPr>
        <w:t xml:space="preserve">la red pública telefónica definida por la Concesión es considerada una red pública de telecomunicaciones, de </w:t>
      </w:r>
      <w:r w:rsidRPr="00634773">
        <w:rPr>
          <w:rFonts w:ascii="ITC Avant Garde" w:hAnsi="ITC Avant Garde"/>
          <w:bCs/>
        </w:rPr>
        <w:t xml:space="preserve">conformidad con lo establecido al efecto por </w:t>
      </w:r>
      <w:r w:rsidR="000F34F2" w:rsidRPr="00634773">
        <w:rPr>
          <w:rFonts w:ascii="ITC Avant Garde" w:hAnsi="ITC Avant Garde"/>
          <w:bCs/>
        </w:rPr>
        <w:t>la Ley</w:t>
      </w:r>
      <w:r w:rsidRPr="00634773">
        <w:rPr>
          <w:rFonts w:ascii="ITC Avant Garde" w:hAnsi="ITC Avant Garde"/>
          <w:bCs/>
        </w:rPr>
        <w:t xml:space="preserve">, por lo </w:t>
      </w:r>
      <w:r w:rsidR="00BB28D3" w:rsidRPr="00634773">
        <w:rPr>
          <w:rFonts w:ascii="ITC Avant Garde" w:hAnsi="ITC Avant Garde"/>
          <w:bCs/>
        </w:rPr>
        <w:t xml:space="preserve">que en la resolución que emita el Instituto respecto de la </w:t>
      </w:r>
      <w:r w:rsidR="00ED0E9B" w:rsidRPr="00634773">
        <w:rPr>
          <w:rFonts w:ascii="ITC Avant Garde" w:hAnsi="ITC Avant Garde"/>
          <w:bCs/>
        </w:rPr>
        <w:t xml:space="preserve">Solicitud </w:t>
      </w:r>
      <w:r w:rsidR="00BB28D3" w:rsidRPr="00634773">
        <w:rPr>
          <w:rFonts w:ascii="ITC Avant Garde" w:hAnsi="ITC Avant Garde"/>
          <w:bCs/>
        </w:rPr>
        <w:t xml:space="preserve">de </w:t>
      </w:r>
      <w:r w:rsidR="00ED0E9B" w:rsidRPr="00634773">
        <w:rPr>
          <w:rFonts w:ascii="ITC Avant Garde" w:hAnsi="ITC Avant Garde"/>
          <w:bCs/>
        </w:rPr>
        <w:t>Prórroga</w:t>
      </w:r>
      <w:r w:rsidR="00BB28D3" w:rsidRPr="00634773">
        <w:rPr>
          <w:rFonts w:ascii="ITC Avant Garde" w:hAnsi="ITC Avant Garde"/>
          <w:bCs/>
        </w:rPr>
        <w:t xml:space="preserve">, debe observarse el actual régimen de concesionamiento previsto en la </w:t>
      </w:r>
      <w:r w:rsidR="005C48B6" w:rsidRPr="00634773">
        <w:rPr>
          <w:rFonts w:ascii="ITC Avant Garde" w:hAnsi="ITC Avant Garde"/>
          <w:bCs/>
        </w:rPr>
        <w:t>Ley</w:t>
      </w:r>
      <w:r w:rsidR="00535664" w:rsidRPr="00634773">
        <w:rPr>
          <w:rFonts w:ascii="ITC Avant Garde" w:hAnsi="ITC Avant Garde"/>
          <w:bCs/>
        </w:rPr>
        <w:t xml:space="preserve">. </w:t>
      </w:r>
    </w:p>
    <w:p w:rsidR="00634773" w:rsidRPr="00634773" w:rsidRDefault="006F1569"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 xml:space="preserve">En ese sentido, para el caso de solicitudes de prórroga de vigencia de concesiones en materia de telecomunicaciones que el Instituto resuelva de manera favorable, la regla general implica, como consecuencia, el otorgamiento de una concesión única para uso comercial, ya que como se señaló, la misma confiere el derecho para prestar servicios públicos de telecomunicaciones y de radiodifusión con fines de lucro. </w:t>
      </w:r>
    </w:p>
    <w:p w:rsidR="00634773" w:rsidRPr="00634773" w:rsidRDefault="00C963D6" w:rsidP="00634773">
      <w:pPr>
        <w:autoSpaceDE w:val="0"/>
        <w:autoSpaceDN w:val="0"/>
        <w:adjustRightInd w:val="0"/>
        <w:spacing w:before="240" w:line="240" w:lineRule="auto"/>
        <w:jc w:val="both"/>
        <w:rPr>
          <w:rFonts w:ascii="ITC Avant Garde" w:hAnsi="ITC Avant Garde"/>
          <w:b/>
          <w:bCs/>
        </w:rPr>
      </w:pPr>
      <w:r w:rsidRPr="00634773">
        <w:rPr>
          <w:rFonts w:ascii="ITC Avant Garde" w:hAnsi="ITC Avant Garde"/>
          <w:bCs/>
        </w:rPr>
        <w:t xml:space="preserve">Sin embargo y como ya quedó señalado, si bien para la atención de la </w:t>
      </w:r>
      <w:r w:rsidR="00C05F67" w:rsidRPr="00634773">
        <w:rPr>
          <w:rFonts w:ascii="ITC Avant Garde" w:hAnsi="ITC Avant Garde"/>
          <w:bCs/>
          <w:color w:val="000000"/>
          <w:lang w:eastAsia="es-MX"/>
        </w:rPr>
        <w:t xml:space="preserve">Solicitud de Prórroga resulta procedente atender los requisitos previstos </w:t>
      </w:r>
      <w:r w:rsidRPr="00634773">
        <w:rPr>
          <w:rFonts w:ascii="ITC Avant Garde" w:hAnsi="ITC Avant Garde"/>
          <w:bCs/>
          <w:color w:val="000000"/>
          <w:lang w:eastAsia="es-MX"/>
        </w:rPr>
        <w:t>por</w:t>
      </w:r>
      <w:r w:rsidR="00C05F67" w:rsidRPr="00634773">
        <w:rPr>
          <w:rFonts w:ascii="ITC Avant Garde" w:hAnsi="ITC Avant Garde"/>
          <w:bCs/>
          <w:color w:val="000000"/>
          <w:lang w:eastAsia="es-MX"/>
        </w:rPr>
        <w:t xml:space="preserve"> el artículo 113 de la Ley</w:t>
      </w:r>
      <w:r w:rsidR="006F1569" w:rsidRPr="00634773">
        <w:rPr>
          <w:rFonts w:ascii="ITC Avant Garde" w:hAnsi="ITC Avant Garde"/>
          <w:bCs/>
          <w:color w:val="000000"/>
          <w:lang w:eastAsia="es-MX"/>
        </w:rPr>
        <w:t xml:space="preserve">, también lo es que </w:t>
      </w:r>
      <w:r w:rsidR="00C05F67" w:rsidRPr="00634773">
        <w:rPr>
          <w:rFonts w:ascii="ITC Avant Garde" w:hAnsi="ITC Avant Garde"/>
          <w:bCs/>
          <w:color w:val="000000"/>
          <w:lang w:eastAsia="es-MX"/>
        </w:rPr>
        <w:t>al resolver en sentido favorable la Solicitud de Prórroga</w:t>
      </w:r>
      <w:r w:rsidR="00C05F67" w:rsidRPr="00634773">
        <w:rPr>
          <w:rFonts w:ascii="ITC Avant Garde" w:hAnsi="ITC Avant Garde"/>
          <w:bCs/>
          <w:color w:val="000000"/>
          <w:lang w:val="es-ES" w:eastAsia="es-MX"/>
        </w:rPr>
        <w:t xml:space="preserve">, </w:t>
      </w:r>
      <w:r w:rsidR="009B53D4" w:rsidRPr="00634773">
        <w:rPr>
          <w:rFonts w:ascii="ITC Avant Garde" w:hAnsi="ITC Avant Garde"/>
          <w:bCs/>
          <w:color w:val="000000"/>
          <w:lang w:val="es-ES" w:eastAsia="es-MX"/>
        </w:rPr>
        <w:t xml:space="preserve">debe </w:t>
      </w:r>
      <w:r w:rsidR="00C05F67" w:rsidRPr="00634773">
        <w:rPr>
          <w:rFonts w:ascii="ITC Avant Garde" w:hAnsi="ITC Avant Garde"/>
          <w:bCs/>
          <w:color w:val="000000"/>
          <w:lang w:val="es-ES" w:eastAsia="es-MX"/>
        </w:rPr>
        <w:t>consider</w:t>
      </w:r>
      <w:r w:rsidR="00DF03EE" w:rsidRPr="00634773">
        <w:rPr>
          <w:rFonts w:ascii="ITC Avant Garde" w:hAnsi="ITC Avant Garde"/>
          <w:bCs/>
          <w:color w:val="000000"/>
          <w:lang w:val="es-ES" w:eastAsia="es-MX"/>
        </w:rPr>
        <w:t>arse</w:t>
      </w:r>
      <w:r w:rsidR="00C05F67" w:rsidRPr="00634773">
        <w:rPr>
          <w:rFonts w:ascii="ITC Avant Garde" w:hAnsi="ITC Avant Garde"/>
          <w:bCs/>
          <w:color w:val="000000"/>
          <w:lang w:val="es-ES" w:eastAsia="es-MX"/>
        </w:rPr>
        <w:t xml:space="preserve"> la imposibilidad jurídica que tiene Telmex en su calidad de Agente Económico Preponderante para acceder a un título de concesión única</w:t>
      </w:r>
      <w:r w:rsidR="005C70A4" w:rsidRPr="00634773">
        <w:rPr>
          <w:rFonts w:ascii="ITC Avant Garde" w:hAnsi="ITC Avant Garde"/>
          <w:bCs/>
          <w:color w:val="000000"/>
          <w:lang w:val="es-ES" w:eastAsia="es-MX"/>
        </w:rPr>
        <w:t xml:space="preserve">, </w:t>
      </w:r>
      <w:r w:rsidRPr="00634773">
        <w:rPr>
          <w:rFonts w:ascii="ITC Avant Garde" w:hAnsi="ITC Avant Garde"/>
          <w:bCs/>
          <w:color w:val="000000"/>
          <w:lang w:val="es-ES" w:eastAsia="es-MX"/>
        </w:rPr>
        <w:t xml:space="preserve">derivado de </w:t>
      </w:r>
      <w:r w:rsidR="005C70A4" w:rsidRPr="00634773">
        <w:rPr>
          <w:rFonts w:ascii="ITC Avant Garde" w:hAnsi="ITC Avant Garde"/>
          <w:bCs/>
          <w:color w:val="000000"/>
          <w:lang w:val="es-ES" w:eastAsia="es-MX"/>
        </w:rPr>
        <w:t>lo cual deberá atenderse lo señalado en el Considerando Cuarto siguiente.</w:t>
      </w:r>
    </w:p>
    <w:p w:rsidR="00634773" w:rsidRPr="00634773" w:rsidRDefault="001269DF" w:rsidP="00634773">
      <w:pPr>
        <w:autoSpaceDE w:val="0"/>
        <w:autoSpaceDN w:val="0"/>
        <w:adjustRightInd w:val="0"/>
        <w:spacing w:before="240" w:line="240" w:lineRule="auto"/>
        <w:jc w:val="both"/>
        <w:rPr>
          <w:rFonts w:ascii="ITC Avant Garde" w:hAnsi="ITC Avant Garde" w:cs="Tahoma"/>
          <w:bCs/>
          <w:lang w:eastAsia="es-MX"/>
        </w:rPr>
      </w:pPr>
      <w:r w:rsidRPr="00634773">
        <w:rPr>
          <w:rFonts w:ascii="ITC Avant Garde" w:hAnsi="ITC Avant Garde"/>
          <w:b/>
          <w:bCs/>
        </w:rPr>
        <w:t>Cuarto</w:t>
      </w:r>
      <w:r w:rsidR="00147968" w:rsidRPr="00634773">
        <w:rPr>
          <w:rFonts w:ascii="ITC Avant Garde" w:hAnsi="ITC Avant Garde"/>
          <w:b/>
          <w:bCs/>
        </w:rPr>
        <w:t xml:space="preserve">.- </w:t>
      </w:r>
      <w:r w:rsidR="001D6297" w:rsidRPr="00634773">
        <w:rPr>
          <w:rFonts w:ascii="ITC Avant Garde" w:hAnsi="ITC Avant Garde"/>
          <w:b/>
          <w:bCs/>
        </w:rPr>
        <w:t xml:space="preserve">Prórrogas de vigencia presentadas por concesionarios que formen parte del </w:t>
      </w:r>
      <w:r w:rsidR="00456B81" w:rsidRPr="00634773">
        <w:rPr>
          <w:rFonts w:ascii="ITC Avant Garde" w:hAnsi="ITC Avant Garde"/>
          <w:b/>
          <w:bCs/>
        </w:rPr>
        <w:t xml:space="preserve">Agente Económico </w:t>
      </w:r>
      <w:r w:rsidR="00166285" w:rsidRPr="00634773">
        <w:rPr>
          <w:rFonts w:ascii="ITC Avant Garde" w:hAnsi="ITC Avant Garde"/>
          <w:b/>
          <w:bCs/>
        </w:rPr>
        <w:t>Preponderan</w:t>
      </w:r>
      <w:r w:rsidR="001D6297" w:rsidRPr="00634773">
        <w:rPr>
          <w:rFonts w:ascii="ITC Avant Garde" w:hAnsi="ITC Avant Garde"/>
          <w:b/>
          <w:bCs/>
        </w:rPr>
        <w:t>te en materia de telecomunicaciones</w:t>
      </w:r>
      <w:r w:rsidR="00166285" w:rsidRPr="00634773">
        <w:rPr>
          <w:rFonts w:ascii="ITC Avant Garde" w:hAnsi="ITC Avant Garde"/>
          <w:b/>
          <w:bCs/>
        </w:rPr>
        <w:t>.</w:t>
      </w:r>
      <w:r w:rsidR="00A0156D" w:rsidRPr="00634773">
        <w:rPr>
          <w:rFonts w:ascii="ITC Avant Garde" w:hAnsi="ITC Avant Garde" w:cs="Tahoma"/>
          <w:bCs/>
          <w:lang w:eastAsia="es-MX"/>
        </w:rPr>
        <w:t xml:space="preserve"> </w:t>
      </w:r>
      <w:r w:rsidR="00C04D76" w:rsidRPr="00634773">
        <w:rPr>
          <w:rFonts w:ascii="ITC Avant Garde" w:hAnsi="ITC Avant Garde" w:cs="Tahoma"/>
          <w:bCs/>
          <w:lang w:eastAsia="es-MX"/>
        </w:rPr>
        <w:t>El artículo Cuarto Transitorio del Decreto de Reforma Constitucional establece la posibilidad de que los actuales concesionarios de radiodifusión, telecomunicaciones y telefonía obtengan autorización para prestar servicios adicionales a los que son objeto de su concesión o para transitar al modelo de concesión única, siempre que se encuentren en cumplimiento de las obligaciones previstas en las leyes y en sus títulos</w:t>
      </w:r>
      <w:r w:rsidR="00A910C3" w:rsidRPr="00634773">
        <w:rPr>
          <w:rFonts w:ascii="ITC Avant Garde" w:hAnsi="ITC Avant Garde" w:cs="Tahoma"/>
          <w:bCs/>
          <w:lang w:eastAsia="es-MX"/>
        </w:rPr>
        <w:t xml:space="preserve"> de concesión. Para el caso de los </w:t>
      </w:r>
      <w:r w:rsidR="000B0AD6" w:rsidRPr="00634773">
        <w:rPr>
          <w:rFonts w:ascii="ITC Avant Garde" w:hAnsi="ITC Avant Garde" w:cs="Tahoma"/>
          <w:bCs/>
          <w:lang w:eastAsia="es-MX"/>
        </w:rPr>
        <w:t>A</w:t>
      </w:r>
      <w:r w:rsidR="00A910C3" w:rsidRPr="00634773">
        <w:rPr>
          <w:rFonts w:ascii="ITC Avant Garde" w:hAnsi="ITC Avant Garde" w:cs="Tahoma"/>
          <w:bCs/>
          <w:lang w:eastAsia="es-MX"/>
        </w:rPr>
        <w:t xml:space="preserve">gentes </w:t>
      </w:r>
      <w:r w:rsidR="000B0AD6" w:rsidRPr="00634773">
        <w:rPr>
          <w:rFonts w:ascii="ITC Avant Garde" w:hAnsi="ITC Avant Garde" w:cs="Tahoma"/>
          <w:bCs/>
          <w:lang w:eastAsia="es-MX"/>
        </w:rPr>
        <w:t>E</w:t>
      </w:r>
      <w:r w:rsidR="00A910C3" w:rsidRPr="00634773">
        <w:rPr>
          <w:rFonts w:ascii="ITC Avant Garde" w:hAnsi="ITC Avant Garde" w:cs="Tahoma"/>
          <w:bCs/>
          <w:lang w:eastAsia="es-MX"/>
        </w:rPr>
        <w:t xml:space="preserve">conómicos </w:t>
      </w:r>
      <w:r w:rsidR="000B0AD6" w:rsidRPr="00634773">
        <w:rPr>
          <w:rFonts w:ascii="ITC Avant Garde" w:hAnsi="ITC Avant Garde" w:cs="Tahoma"/>
          <w:bCs/>
          <w:lang w:eastAsia="es-MX"/>
        </w:rPr>
        <w:t>P</w:t>
      </w:r>
      <w:r w:rsidR="00A910C3" w:rsidRPr="00634773">
        <w:rPr>
          <w:rFonts w:ascii="ITC Avant Garde" w:hAnsi="ITC Avant Garde" w:cs="Tahoma"/>
          <w:bCs/>
          <w:lang w:eastAsia="es-MX"/>
        </w:rPr>
        <w:t xml:space="preserve">reponderantes, se establece que sólo podrán obtener dicha autorización cuando se encuentren en cumplimiento de las medidas que se les hayan impuesto conforme a lo previsto </w:t>
      </w:r>
      <w:r w:rsidR="00C022CA" w:rsidRPr="00634773">
        <w:rPr>
          <w:rFonts w:ascii="ITC Avant Garde" w:hAnsi="ITC Avant Garde" w:cs="Tahoma"/>
          <w:bCs/>
          <w:lang w:eastAsia="es-MX"/>
        </w:rPr>
        <w:t>por</w:t>
      </w:r>
      <w:r w:rsidR="00A910C3" w:rsidRPr="00634773">
        <w:rPr>
          <w:rFonts w:ascii="ITC Avant Garde" w:hAnsi="ITC Avant Garde" w:cs="Tahoma"/>
          <w:bCs/>
          <w:lang w:eastAsia="es-MX"/>
        </w:rPr>
        <w:t xml:space="preserve"> las fracciones III y IV del artículo Octavo Transitorio del propio Decreto de Reforma Constitucional.</w:t>
      </w:r>
    </w:p>
    <w:p w:rsidR="00634773" w:rsidRPr="00634773" w:rsidRDefault="00F61792" w:rsidP="00634773">
      <w:pPr>
        <w:autoSpaceDE w:val="0"/>
        <w:autoSpaceDN w:val="0"/>
        <w:adjustRightInd w:val="0"/>
        <w:spacing w:before="240" w:line="240" w:lineRule="auto"/>
        <w:jc w:val="both"/>
        <w:rPr>
          <w:rFonts w:ascii="ITC Avant Garde" w:hAnsi="ITC Avant Garde" w:cs="Tahoma"/>
          <w:bCs/>
          <w:lang w:eastAsia="es-MX"/>
        </w:rPr>
      </w:pPr>
      <w:r w:rsidRPr="00634773">
        <w:rPr>
          <w:rFonts w:ascii="ITC Avant Garde" w:hAnsi="ITC Avant Garde" w:cs="Tahoma"/>
          <w:bCs/>
          <w:lang w:eastAsia="es-MX"/>
        </w:rPr>
        <w:t xml:space="preserve">De lo anterior se desprende </w:t>
      </w:r>
      <w:r w:rsidR="005F7BA9" w:rsidRPr="00634773">
        <w:rPr>
          <w:rFonts w:ascii="ITC Avant Garde" w:hAnsi="ITC Avant Garde" w:cs="Tahoma"/>
          <w:bCs/>
          <w:lang w:eastAsia="es-MX"/>
        </w:rPr>
        <w:t xml:space="preserve">que el marco </w:t>
      </w:r>
      <w:r w:rsidRPr="00634773">
        <w:rPr>
          <w:rFonts w:ascii="ITC Avant Garde" w:hAnsi="ITC Avant Garde" w:cs="Tahoma"/>
          <w:bCs/>
          <w:lang w:eastAsia="es-MX"/>
        </w:rPr>
        <w:t>jurídico</w:t>
      </w:r>
      <w:r w:rsidR="005F7BA9" w:rsidRPr="00634773">
        <w:rPr>
          <w:rFonts w:ascii="ITC Avant Garde" w:hAnsi="ITC Avant Garde" w:cs="Tahoma"/>
          <w:bCs/>
          <w:lang w:eastAsia="es-MX"/>
        </w:rPr>
        <w:t xml:space="preserve"> vigente establece disposiciones específicas para los </w:t>
      </w:r>
      <w:r w:rsidR="001619EE" w:rsidRPr="00634773">
        <w:rPr>
          <w:rFonts w:ascii="ITC Avant Garde" w:hAnsi="ITC Avant Garde" w:cs="Tahoma"/>
          <w:bCs/>
          <w:lang w:eastAsia="es-MX"/>
        </w:rPr>
        <w:t>A</w:t>
      </w:r>
      <w:r w:rsidR="005F7BA9" w:rsidRPr="00634773">
        <w:rPr>
          <w:rFonts w:ascii="ITC Avant Garde" w:hAnsi="ITC Avant Garde" w:cs="Tahoma"/>
          <w:bCs/>
          <w:lang w:eastAsia="es-MX"/>
        </w:rPr>
        <w:t xml:space="preserve">gentes </w:t>
      </w:r>
      <w:r w:rsidR="001619EE" w:rsidRPr="00634773">
        <w:rPr>
          <w:rFonts w:ascii="ITC Avant Garde" w:hAnsi="ITC Avant Garde" w:cs="Tahoma"/>
          <w:bCs/>
          <w:lang w:eastAsia="es-MX"/>
        </w:rPr>
        <w:t>E</w:t>
      </w:r>
      <w:r w:rsidR="005F7BA9" w:rsidRPr="00634773">
        <w:rPr>
          <w:rFonts w:ascii="ITC Avant Garde" w:hAnsi="ITC Avant Garde" w:cs="Tahoma"/>
          <w:bCs/>
          <w:lang w:eastAsia="es-MX"/>
        </w:rPr>
        <w:t xml:space="preserve">conómicos declarados como </w:t>
      </w:r>
      <w:r w:rsidR="001619EE" w:rsidRPr="00634773">
        <w:rPr>
          <w:rFonts w:ascii="ITC Avant Garde" w:hAnsi="ITC Avant Garde" w:cs="Tahoma"/>
          <w:bCs/>
          <w:lang w:eastAsia="es-MX"/>
        </w:rPr>
        <w:t>P</w:t>
      </w:r>
      <w:r w:rsidR="005F7BA9" w:rsidRPr="00634773">
        <w:rPr>
          <w:rFonts w:ascii="ITC Avant Garde" w:hAnsi="ITC Avant Garde" w:cs="Tahoma"/>
          <w:bCs/>
          <w:lang w:eastAsia="es-MX"/>
        </w:rPr>
        <w:t>reponderantes,</w:t>
      </w:r>
      <w:r w:rsidR="00DC6EAA" w:rsidRPr="00634773">
        <w:rPr>
          <w:rFonts w:ascii="ITC Avant Garde" w:hAnsi="ITC Avant Garde" w:cs="Tahoma"/>
          <w:bCs/>
          <w:lang w:eastAsia="es-MX"/>
        </w:rPr>
        <w:t xml:space="preserve"> con respecto al régimen </w:t>
      </w:r>
      <w:r w:rsidRPr="00634773">
        <w:rPr>
          <w:rFonts w:ascii="ITC Avant Garde" w:hAnsi="ITC Avant Garde" w:cs="Tahoma"/>
          <w:bCs/>
          <w:lang w:eastAsia="es-MX"/>
        </w:rPr>
        <w:t>que deberá</w:t>
      </w:r>
      <w:r w:rsidR="00232B5F" w:rsidRPr="00634773">
        <w:rPr>
          <w:rFonts w:ascii="ITC Avant Garde" w:hAnsi="ITC Avant Garde" w:cs="Tahoma"/>
          <w:bCs/>
          <w:lang w:eastAsia="es-MX"/>
        </w:rPr>
        <w:t>n</w:t>
      </w:r>
      <w:r w:rsidRPr="00634773">
        <w:rPr>
          <w:rFonts w:ascii="ITC Avant Garde" w:hAnsi="ITC Avant Garde" w:cs="Tahoma"/>
          <w:bCs/>
          <w:lang w:eastAsia="es-MX"/>
        </w:rPr>
        <w:t xml:space="preserve"> observar </w:t>
      </w:r>
      <w:r w:rsidR="0076136A" w:rsidRPr="00634773">
        <w:rPr>
          <w:rFonts w:ascii="ITC Avant Garde" w:hAnsi="ITC Avant Garde" w:cs="Tahoma"/>
          <w:bCs/>
          <w:lang w:eastAsia="es-MX"/>
        </w:rPr>
        <w:t>para</w:t>
      </w:r>
      <w:r w:rsidR="00696C48" w:rsidRPr="00634773">
        <w:rPr>
          <w:rFonts w:ascii="ITC Avant Garde" w:hAnsi="ITC Avant Garde" w:cs="Tahoma"/>
          <w:bCs/>
          <w:lang w:eastAsia="es-MX"/>
        </w:rPr>
        <w:t xml:space="preserve"> transitar a la concesión única</w:t>
      </w:r>
      <w:r w:rsidR="00603288" w:rsidRPr="00634773">
        <w:rPr>
          <w:rFonts w:ascii="ITC Avant Garde" w:hAnsi="ITC Avant Garde" w:cs="Tahoma"/>
          <w:bCs/>
          <w:lang w:eastAsia="es-MX"/>
        </w:rPr>
        <w:t xml:space="preserve"> o para prestar servicio</w:t>
      </w:r>
      <w:r w:rsidRPr="00634773">
        <w:rPr>
          <w:rFonts w:ascii="ITC Avant Garde" w:hAnsi="ITC Avant Garde" w:cs="Tahoma"/>
          <w:bCs/>
          <w:lang w:eastAsia="es-MX"/>
        </w:rPr>
        <w:t>s</w:t>
      </w:r>
      <w:r w:rsidR="00603288" w:rsidRPr="00634773">
        <w:rPr>
          <w:rFonts w:ascii="ITC Avant Garde" w:hAnsi="ITC Avant Garde" w:cs="Tahoma"/>
          <w:bCs/>
          <w:lang w:eastAsia="es-MX"/>
        </w:rPr>
        <w:t xml:space="preserve"> adicionales</w:t>
      </w:r>
      <w:r w:rsidR="00696C48" w:rsidRPr="00634773">
        <w:rPr>
          <w:rFonts w:ascii="ITC Avant Garde" w:hAnsi="ITC Avant Garde" w:cs="Tahoma"/>
          <w:bCs/>
          <w:lang w:eastAsia="es-MX"/>
        </w:rPr>
        <w:t>.</w:t>
      </w:r>
      <w:r w:rsidRPr="00634773">
        <w:rPr>
          <w:rFonts w:ascii="ITC Avant Garde" w:hAnsi="ITC Avant Garde" w:cs="Tahoma"/>
          <w:bCs/>
          <w:lang w:eastAsia="es-MX"/>
        </w:rPr>
        <w:t xml:space="preserve"> </w:t>
      </w:r>
    </w:p>
    <w:p w:rsidR="00634773" w:rsidRPr="00634773" w:rsidRDefault="005F2EBE" w:rsidP="00634773">
      <w:pPr>
        <w:autoSpaceDE w:val="0"/>
        <w:autoSpaceDN w:val="0"/>
        <w:adjustRightInd w:val="0"/>
        <w:spacing w:before="240" w:line="240" w:lineRule="auto"/>
        <w:jc w:val="both"/>
        <w:rPr>
          <w:rFonts w:ascii="ITC Avant Garde" w:hAnsi="ITC Avant Garde" w:cs="Tahoma"/>
          <w:bCs/>
          <w:lang w:eastAsia="es-MX"/>
        </w:rPr>
      </w:pPr>
      <w:r w:rsidRPr="00634773">
        <w:rPr>
          <w:rFonts w:ascii="ITC Avant Garde" w:hAnsi="ITC Avant Garde" w:cs="Tahoma"/>
          <w:bCs/>
          <w:lang w:eastAsia="es-MX"/>
        </w:rPr>
        <w:t>En tal virtud</w:t>
      </w:r>
      <w:r w:rsidR="00C05F67" w:rsidRPr="00634773">
        <w:rPr>
          <w:rFonts w:ascii="ITC Avant Garde" w:hAnsi="ITC Avant Garde" w:cs="Tahoma"/>
          <w:bCs/>
          <w:lang w:eastAsia="es-MX"/>
        </w:rPr>
        <w:t>,</w:t>
      </w:r>
      <w:r w:rsidR="00937BE2" w:rsidRPr="00634773">
        <w:rPr>
          <w:rFonts w:ascii="ITC Avant Garde" w:hAnsi="ITC Avant Garde" w:cs="Tahoma"/>
          <w:bCs/>
          <w:lang w:eastAsia="es-MX"/>
        </w:rPr>
        <w:t xml:space="preserve"> </w:t>
      </w:r>
      <w:r w:rsidR="000B0AD6" w:rsidRPr="00634773">
        <w:rPr>
          <w:rFonts w:ascii="ITC Avant Garde" w:hAnsi="ITC Avant Garde" w:cs="Tahoma"/>
          <w:bCs/>
          <w:lang w:eastAsia="es-MX"/>
        </w:rPr>
        <w:t>y como ya se señaló en el Considerando Tercero</w:t>
      </w:r>
      <w:r w:rsidR="00EE31E2" w:rsidRPr="00634773">
        <w:rPr>
          <w:rFonts w:ascii="ITC Avant Garde" w:hAnsi="ITC Avant Garde" w:cs="Tahoma"/>
          <w:bCs/>
          <w:lang w:eastAsia="es-MX"/>
        </w:rPr>
        <w:t xml:space="preserve"> anterior</w:t>
      </w:r>
      <w:r w:rsidR="000B0AD6" w:rsidRPr="00634773">
        <w:rPr>
          <w:rFonts w:ascii="ITC Avant Garde" w:hAnsi="ITC Avant Garde" w:cs="Tahoma"/>
          <w:bCs/>
          <w:lang w:eastAsia="es-MX"/>
        </w:rPr>
        <w:t xml:space="preserve">, </w:t>
      </w:r>
      <w:r w:rsidR="00937BE2" w:rsidRPr="00634773">
        <w:rPr>
          <w:rFonts w:ascii="ITC Avant Garde" w:hAnsi="ITC Avant Garde" w:cs="Tahoma"/>
          <w:bCs/>
          <w:lang w:eastAsia="es-MX"/>
        </w:rPr>
        <w:t xml:space="preserve">para el caso de solicitudes de prórroga de vigencia de concesiones </w:t>
      </w:r>
      <w:r w:rsidR="00232B5F" w:rsidRPr="00634773">
        <w:rPr>
          <w:rFonts w:ascii="ITC Avant Garde" w:hAnsi="ITC Avant Garde" w:cs="Tahoma"/>
          <w:bCs/>
          <w:lang w:eastAsia="es-MX"/>
        </w:rPr>
        <w:t xml:space="preserve">en materia de </w:t>
      </w:r>
      <w:r w:rsidR="00937BE2" w:rsidRPr="00634773">
        <w:rPr>
          <w:rFonts w:ascii="ITC Avant Garde" w:hAnsi="ITC Avant Garde" w:cs="Tahoma"/>
          <w:bCs/>
          <w:lang w:eastAsia="es-MX"/>
        </w:rPr>
        <w:t>telecomunicacione</w:t>
      </w:r>
      <w:r w:rsidR="000720FE" w:rsidRPr="00634773">
        <w:rPr>
          <w:rFonts w:ascii="ITC Avant Garde" w:hAnsi="ITC Avant Garde" w:cs="Tahoma"/>
          <w:bCs/>
          <w:lang w:eastAsia="es-MX"/>
        </w:rPr>
        <w:t xml:space="preserve">s que el Instituto resuelva favorablemente, </w:t>
      </w:r>
      <w:r w:rsidR="00937BE2" w:rsidRPr="00634773">
        <w:rPr>
          <w:rFonts w:ascii="ITC Avant Garde" w:hAnsi="ITC Avant Garde" w:cs="Tahoma"/>
          <w:bCs/>
          <w:lang w:eastAsia="es-MX"/>
        </w:rPr>
        <w:t xml:space="preserve">la </w:t>
      </w:r>
      <w:r w:rsidR="00232B5F" w:rsidRPr="00634773">
        <w:rPr>
          <w:rFonts w:ascii="ITC Avant Garde" w:hAnsi="ITC Avant Garde" w:cs="Tahoma"/>
          <w:bCs/>
          <w:lang w:eastAsia="es-MX"/>
        </w:rPr>
        <w:t xml:space="preserve">regla general </w:t>
      </w:r>
      <w:r w:rsidR="000B0AD6" w:rsidRPr="00634773">
        <w:rPr>
          <w:rFonts w:ascii="ITC Avant Garde" w:hAnsi="ITC Avant Garde" w:cs="Tahoma"/>
          <w:bCs/>
          <w:lang w:eastAsia="es-MX"/>
        </w:rPr>
        <w:t xml:space="preserve">implica otorgar </w:t>
      </w:r>
      <w:r w:rsidR="00937BE2" w:rsidRPr="00634773">
        <w:rPr>
          <w:rFonts w:ascii="ITC Avant Garde" w:hAnsi="ITC Avant Garde" w:cs="Tahoma"/>
          <w:bCs/>
          <w:lang w:eastAsia="es-MX"/>
        </w:rPr>
        <w:t xml:space="preserve">una concesión única. No obstante lo anterior, </w:t>
      </w:r>
      <w:r w:rsidR="00E96B0A" w:rsidRPr="00634773">
        <w:rPr>
          <w:rFonts w:ascii="ITC Avant Garde" w:hAnsi="ITC Avant Garde" w:cs="Tahoma"/>
          <w:bCs/>
          <w:lang w:eastAsia="es-MX"/>
        </w:rPr>
        <w:t>para el</w:t>
      </w:r>
      <w:r w:rsidR="00937BE2" w:rsidRPr="00634773">
        <w:rPr>
          <w:rFonts w:ascii="ITC Avant Garde" w:hAnsi="ITC Avant Garde" w:cs="Tahoma"/>
          <w:bCs/>
          <w:lang w:eastAsia="es-MX"/>
        </w:rPr>
        <w:t xml:space="preserve"> caso </w:t>
      </w:r>
      <w:r w:rsidR="00E96B0A" w:rsidRPr="00634773">
        <w:rPr>
          <w:rFonts w:ascii="ITC Avant Garde" w:hAnsi="ITC Avant Garde" w:cs="Tahoma"/>
          <w:bCs/>
          <w:lang w:eastAsia="es-MX"/>
        </w:rPr>
        <w:t>en</w:t>
      </w:r>
      <w:r w:rsidR="00937BE2" w:rsidRPr="00634773">
        <w:rPr>
          <w:rFonts w:ascii="ITC Avant Garde" w:hAnsi="ITC Avant Garde" w:cs="Tahoma"/>
          <w:bCs/>
          <w:lang w:eastAsia="es-MX"/>
        </w:rPr>
        <w:t xml:space="preserve"> que el solicitante de la prórroga forme parte del </w:t>
      </w:r>
      <w:r w:rsidR="000B0AD6" w:rsidRPr="00634773">
        <w:rPr>
          <w:rFonts w:ascii="ITC Avant Garde" w:hAnsi="ITC Avant Garde" w:cs="Tahoma"/>
          <w:bCs/>
          <w:lang w:eastAsia="es-MX"/>
        </w:rPr>
        <w:t>A</w:t>
      </w:r>
      <w:r w:rsidR="00937BE2" w:rsidRPr="00634773">
        <w:rPr>
          <w:rFonts w:ascii="ITC Avant Garde" w:hAnsi="ITC Avant Garde" w:cs="Tahoma"/>
          <w:bCs/>
          <w:lang w:eastAsia="es-MX"/>
        </w:rPr>
        <w:t xml:space="preserve">gente </w:t>
      </w:r>
      <w:r w:rsidR="000B0AD6" w:rsidRPr="00634773">
        <w:rPr>
          <w:rFonts w:ascii="ITC Avant Garde" w:hAnsi="ITC Avant Garde" w:cs="Tahoma"/>
          <w:bCs/>
          <w:lang w:eastAsia="es-MX"/>
        </w:rPr>
        <w:t>E</w:t>
      </w:r>
      <w:r w:rsidR="00937BE2" w:rsidRPr="00634773">
        <w:rPr>
          <w:rFonts w:ascii="ITC Avant Garde" w:hAnsi="ITC Avant Garde" w:cs="Tahoma"/>
          <w:bCs/>
          <w:lang w:eastAsia="es-MX"/>
        </w:rPr>
        <w:t xml:space="preserve">conómico </w:t>
      </w:r>
      <w:r w:rsidR="000B0AD6" w:rsidRPr="00634773">
        <w:rPr>
          <w:rFonts w:ascii="ITC Avant Garde" w:hAnsi="ITC Avant Garde" w:cs="Tahoma"/>
          <w:bCs/>
          <w:lang w:eastAsia="es-MX"/>
        </w:rPr>
        <w:t>P</w:t>
      </w:r>
      <w:r w:rsidR="00937BE2" w:rsidRPr="00634773">
        <w:rPr>
          <w:rFonts w:ascii="ITC Avant Garde" w:hAnsi="ITC Avant Garde" w:cs="Tahoma"/>
          <w:bCs/>
          <w:lang w:eastAsia="es-MX"/>
        </w:rPr>
        <w:t>reponderante</w:t>
      </w:r>
      <w:r w:rsidR="00E96B0A" w:rsidRPr="00634773">
        <w:rPr>
          <w:rFonts w:ascii="ITC Avant Garde" w:hAnsi="ITC Avant Garde" w:cs="Tahoma"/>
          <w:bCs/>
          <w:lang w:eastAsia="es-MX"/>
        </w:rPr>
        <w:t>,</w:t>
      </w:r>
      <w:r w:rsidR="00937BE2" w:rsidRPr="00634773">
        <w:rPr>
          <w:rFonts w:ascii="ITC Avant Garde" w:hAnsi="ITC Avant Garde" w:cs="Tahoma"/>
          <w:bCs/>
          <w:lang w:eastAsia="es-MX"/>
        </w:rPr>
        <w:t xml:space="preserve"> deberá observarse </w:t>
      </w:r>
      <w:r w:rsidR="006D19C1" w:rsidRPr="00634773">
        <w:rPr>
          <w:rFonts w:ascii="ITC Avant Garde" w:hAnsi="ITC Avant Garde" w:cs="Tahoma"/>
          <w:bCs/>
          <w:lang w:eastAsia="es-MX"/>
        </w:rPr>
        <w:t>lo señalado por el artículo Décimo Transitorio del Decreto de Ley</w:t>
      </w:r>
      <w:r w:rsidR="00432CE4" w:rsidRPr="00634773">
        <w:rPr>
          <w:rFonts w:ascii="ITC Avant Garde" w:hAnsi="ITC Avant Garde" w:cs="Tahoma"/>
          <w:bCs/>
          <w:lang w:eastAsia="es-MX"/>
        </w:rPr>
        <w:t xml:space="preserve">, </w:t>
      </w:r>
      <w:r w:rsidR="00432CE4" w:rsidRPr="00634773">
        <w:rPr>
          <w:rFonts w:ascii="ITC Avant Garde" w:hAnsi="ITC Avant Garde" w:cs="Tahoma"/>
          <w:bCs/>
          <w:lang w:eastAsia="es-MX"/>
        </w:rPr>
        <w:lastRenderedPageBreak/>
        <w:t>previamente a que obtenga la concesión única</w:t>
      </w:r>
      <w:r w:rsidR="00EE31E2" w:rsidRPr="00634773">
        <w:rPr>
          <w:rFonts w:ascii="ITC Avant Garde" w:hAnsi="ITC Avant Garde" w:cs="Tahoma"/>
          <w:bCs/>
          <w:lang w:eastAsia="es-MX"/>
        </w:rPr>
        <w:t xml:space="preserve"> o se autorice la prestación de servicios adicionales</w:t>
      </w:r>
      <w:r w:rsidR="00432CE4" w:rsidRPr="00634773">
        <w:rPr>
          <w:rFonts w:ascii="ITC Avant Garde" w:hAnsi="ITC Avant Garde" w:cs="Tahoma"/>
          <w:bCs/>
          <w:lang w:eastAsia="es-MX"/>
        </w:rPr>
        <w:t>.</w:t>
      </w:r>
      <w:r w:rsidR="009752B5" w:rsidRPr="00634773">
        <w:rPr>
          <w:rFonts w:ascii="ITC Avant Garde" w:hAnsi="ITC Avant Garde" w:cs="Tahoma"/>
          <w:bCs/>
          <w:lang w:eastAsia="es-MX"/>
        </w:rPr>
        <w:t xml:space="preserve"> </w:t>
      </w:r>
    </w:p>
    <w:p w:rsidR="00634773" w:rsidRPr="00634773" w:rsidRDefault="001619EE" w:rsidP="00634773">
      <w:pPr>
        <w:autoSpaceDE w:val="0"/>
        <w:autoSpaceDN w:val="0"/>
        <w:adjustRightInd w:val="0"/>
        <w:spacing w:before="240" w:line="240" w:lineRule="auto"/>
        <w:jc w:val="both"/>
        <w:rPr>
          <w:rFonts w:ascii="ITC Avant Garde" w:hAnsi="ITC Avant Garde" w:cs="Tahoma"/>
          <w:bCs/>
          <w:lang w:eastAsia="es-MX"/>
        </w:rPr>
      </w:pPr>
      <w:r w:rsidRPr="00634773">
        <w:rPr>
          <w:rFonts w:ascii="ITC Avant Garde" w:hAnsi="ITC Avant Garde" w:cs="Tahoma"/>
          <w:bCs/>
          <w:lang w:eastAsia="es-MX"/>
        </w:rPr>
        <w:t>En es</w:t>
      </w:r>
      <w:r w:rsidR="00930134" w:rsidRPr="00634773">
        <w:rPr>
          <w:rFonts w:ascii="ITC Avant Garde" w:hAnsi="ITC Avant Garde" w:cs="Tahoma"/>
          <w:bCs/>
          <w:lang w:eastAsia="es-MX"/>
        </w:rPr>
        <w:t>e</w:t>
      </w:r>
      <w:r w:rsidRPr="00634773">
        <w:rPr>
          <w:rFonts w:ascii="ITC Avant Garde" w:hAnsi="ITC Avant Garde" w:cs="Tahoma"/>
          <w:bCs/>
          <w:lang w:eastAsia="es-MX"/>
        </w:rPr>
        <w:t xml:space="preserve"> sentido</w:t>
      </w:r>
      <w:r w:rsidR="004D1997" w:rsidRPr="00634773">
        <w:rPr>
          <w:rFonts w:ascii="ITC Avant Garde" w:hAnsi="ITC Avant Garde" w:cs="Tahoma"/>
          <w:bCs/>
          <w:lang w:eastAsia="es-MX"/>
        </w:rPr>
        <w:t xml:space="preserve">, </w:t>
      </w:r>
      <w:r w:rsidR="000E4E59" w:rsidRPr="00634773">
        <w:rPr>
          <w:rFonts w:ascii="ITC Avant Garde" w:hAnsi="ITC Avant Garde" w:cs="Tahoma"/>
          <w:bCs/>
          <w:lang w:eastAsia="es-MX"/>
        </w:rPr>
        <w:t>resulta conveniente señalar</w:t>
      </w:r>
      <w:r w:rsidRPr="00634773">
        <w:rPr>
          <w:rFonts w:ascii="ITC Avant Garde" w:hAnsi="ITC Avant Garde" w:cs="Tahoma"/>
          <w:bCs/>
          <w:lang w:eastAsia="es-MX"/>
        </w:rPr>
        <w:t xml:space="preserve"> algunas de las consideraciones vertidas por la Unidad de Asuntos Jurídicos en su opinión:</w:t>
      </w:r>
      <w:r w:rsidR="0031794A" w:rsidRPr="00634773">
        <w:rPr>
          <w:rFonts w:ascii="ITC Avant Garde" w:hAnsi="ITC Avant Garde" w:cs="Tahoma"/>
          <w:bCs/>
          <w:lang w:eastAsia="es-MX"/>
        </w:rPr>
        <w:t xml:space="preserve"> </w:t>
      </w:r>
    </w:p>
    <w:p w:rsidR="00634773" w:rsidRPr="00634773" w:rsidRDefault="0031794A" w:rsidP="00634773">
      <w:pPr>
        <w:spacing w:before="240" w:line="240" w:lineRule="auto"/>
        <w:ind w:left="141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p>
    <w:p w:rsidR="00634773" w:rsidRPr="00634773" w:rsidRDefault="0031794A" w:rsidP="00634773">
      <w:pPr>
        <w:spacing w:before="240" w:line="240" w:lineRule="auto"/>
        <w:ind w:left="141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Al respecto, esta Unidad de Asuntos Jurídicos considera que para efectos del trámite de prórroga, de conformidad con el artículo 113 de la LFTR, no se requiere verificar el cumplimiento de las medidas de preponderancia expedidas por el Instituto, atendiendo a lo siguiente:</w:t>
      </w:r>
    </w:p>
    <w:p w:rsidR="00634773" w:rsidRPr="00634773" w:rsidRDefault="0031794A" w:rsidP="00634773">
      <w:pPr>
        <w:pStyle w:val="Prrafodelista"/>
        <w:numPr>
          <w:ilvl w:val="0"/>
          <w:numId w:val="15"/>
        </w:numPr>
        <w:spacing w:before="240" w:after="200"/>
        <w:ind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Las medidas impuestas por el Instituto a los AEP fueron dictadas como un acto administrativo de carácter individual, aplicable únicamente a aquellos sujetos que expresamente fueron considerados como parte de dichos agentes, y</w:t>
      </w:r>
    </w:p>
    <w:p w:rsidR="00634773" w:rsidRPr="00634773" w:rsidRDefault="0031794A" w:rsidP="00634773">
      <w:pPr>
        <w:pStyle w:val="Prrafodelista"/>
        <w:numPr>
          <w:ilvl w:val="0"/>
          <w:numId w:val="15"/>
        </w:numPr>
        <w:spacing w:before="240" w:after="200"/>
        <w:ind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El artículo 113 de la LFTR, como norma de carácter general, tiene por objeto establecer los requisitos que debe cumplir cualquier concesionario que solicite prórroga de su concesión, por lo que no es posible concluir que el requisito relativo al cumplimiento de obligaciones establecidas en las ‘demás disposiciones aplicables’ que prevé dicho precepto, incluya la verificación de las medidas impuestas por el Instituto de manera exclusiva a los AEP que, como ya se dijo, constituyen un acto de carácter individual.</w:t>
      </w:r>
    </w:p>
    <w:p w:rsidR="00FC29FC" w:rsidRPr="00634773" w:rsidRDefault="00FC29FC" w:rsidP="00634773">
      <w:pPr>
        <w:spacing w:before="240" w:line="240" w:lineRule="auto"/>
        <w:ind w:left="141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En este contexto, es importante señalar que el cumplimiento de obligaciones a que se refiere el artículo 113 de la LFTR para el caso de prórrogas, es distinto al ‘cumplimiento efectivo’ previsto en el artículo Décimo transitorio del Decreto de Ley, en virtud de lo siguiente:</w:t>
      </w:r>
    </w:p>
    <w:p w:rsidR="00634773" w:rsidRPr="00634773" w:rsidRDefault="00FC29FC" w:rsidP="00634773">
      <w:pPr>
        <w:pStyle w:val="Prrafodelista"/>
        <w:numPr>
          <w:ilvl w:val="0"/>
          <w:numId w:val="15"/>
        </w:numPr>
        <w:spacing w:before="240" w:after="200"/>
        <w:ind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 xml:space="preserve">La hipótesis contenida en el artículo Décimo transitorio del Decreto de Ley se actualiza únicamente a solicitud </w:t>
      </w:r>
      <w:r w:rsidR="007F51ED" w:rsidRPr="00634773">
        <w:rPr>
          <w:rFonts w:ascii="ITC Avant Garde" w:hAnsi="ITC Avant Garde"/>
          <w:bCs/>
          <w:color w:val="000000"/>
          <w:sz w:val="18"/>
          <w:szCs w:val="18"/>
          <w:lang w:eastAsia="es-MX"/>
        </w:rPr>
        <w:t xml:space="preserve">expresa de los interesados, con el único fin de obtener dictamen de ‘cumplimiento efectivo’ indispensable para la autorización de servicios adicionales o para transitar a la concesión única; </w:t>
      </w:r>
    </w:p>
    <w:p w:rsidR="00634773" w:rsidRPr="00634773" w:rsidRDefault="007F51ED" w:rsidP="00634773">
      <w:pPr>
        <w:pStyle w:val="Prrafodelista"/>
        <w:numPr>
          <w:ilvl w:val="0"/>
          <w:numId w:val="15"/>
        </w:numPr>
        <w:spacing w:before="240" w:after="200"/>
        <w:ind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El dictamen de ‘cumplimiento efectivo’ comprende únicamente un periodo determinado de 18 meses, y</w:t>
      </w:r>
    </w:p>
    <w:p w:rsidR="00634773" w:rsidRPr="00634773" w:rsidRDefault="007F51ED" w:rsidP="00634773">
      <w:pPr>
        <w:pStyle w:val="Prrafodelista"/>
        <w:numPr>
          <w:ilvl w:val="0"/>
          <w:numId w:val="15"/>
        </w:numPr>
        <w:spacing w:before="240" w:after="200"/>
        <w:ind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El ‘cumplimiento efectivo’ previsto en el artículo Décimo transitorio del Decreto de Ley está referido al efecto que tengan las medidas asimétricas en los mercados, tal y como se corrobora con lo expuesto en el Dictamen de la Cámara de Origen emitido durante el proceso legislativo de la LFTR, mismo que señala:</w:t>
      </w:r>
    </w:p>
    <w:p w:rsidR="00634773" w:rsidRPr="00634773" w:rsidRDefault="00671220" w:rsidP="00634773">
      <w:pPr>
        <w:pStyle w:val="Prrafodelista"/>
        <w:spacing w:before="240" w:after="200"/>
        <w:ind w:left="2124"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‘Si el Congreso tiene la atribución constitucional para fijar en las leyes las obligaciones de los concesionarios en materia de competencia económica, adicionales a las que la propia Constitución estableció, es dable que el mismo fije plazos para que la autoridad verifique que un agente económico preponderante haya cumplido los requisitos, términos y condiciones establecidos por la propia Constitución.</w:t>
      </w:r>
    </w:p>
    <w:p w:rsidR="00671220" w:rsidRPr="00634773" w:rsidRDefault="00671220" w:rsidP="00634773">
      <w:pPr>
        <w:pStyle w:val="Prrafodelista"/>
        <w:spacing w:before="240" w:after="200"/>
        <w:ind w:left="2124"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lastRenderedPageBreak/>
        <w:t xml:space="preserve">Estas Comisiones Unidas consideran que se trata de una determinación razonable que pretende dar efectividad a las medidas establecidas en la Constitución y la Ley a los agentes económicos preponderantes, </w:t>
      </w:r>
      <w:r w:rsidRPr="00634773">
        <w:rPr>
          <w:rFonts w:ascii="ITC Avant Garde" w:hAnsi="ITC Avant Garde"/>
          <w:bCs/>
          <w:color w:val="000000"/>
          <w:sz w:val="18"/>
          <w:szCs w:val="18"/>
          <w:u w:val="single"/>
          <w:lang w:eastAsia="es-MX"/>
        </w:rPr>
        <w:t>para que dichas medidas puedan surtir los efectos buscados y generar una mayor competencia ya que, de lo contrario, si los servicios adicionales se autorizaran antes de que las medidas hubieren generado competencia efectiva, ello tendría un efecto de una mayor concentración de servicios en el agente preponderante</w:t>
      </w:r>
      <w:r w:rsidRPr="00634773">
        <w:rPr>
          <w:rFonts w:ascii="ITC Avant Garde" w:hAnsi="ITC Avant Garde"/>
          <w:bCs/>
          <w:color w:val="000000"/>
          <w:sz w:val="18"/>
          <w:szCs w:val="18"/>
          <w:lang w:eastAsia="es-MX"/>
        </w:rPr>
        <w:t xml:space="preserve"> que le permitiría no solo continuar realizando la prácticas anticompetitivas que hasta ahora han desplazado a sus competidores e impedido su crecimiento, sino entrar en un nicho de servicios que, sin controles efectivos, podrá dar lugar al deterioro intempestivo de la competencia, afectando la viabilidad de las redes alternativas de telecomunicaciones para la distribución de diversos servicios, entre ellos el de banda ancha…’ (Énfasis añadido)</w:t>
      </w:r>
    </w:p>
    <w:p w:rsidR="005F7BA9" w:rsidRPr="00634773" w:rsidRDefault="00C17CAA" w:rsidP="00634773">
      <w:pPr>
        <w:spacing w:before="240" w:line="240" w:lineRule="auto"/>
        <w:ind w:left="141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En virtud de lo anterior, resulta evidente que los artículos 113 de la LFTR y Décimo transitorio del Decreto de Ley establecen trámites con requisitos y finalidades distintas, por lo que el cumplimiento de obligaciones a que hace referencia cada uno de ellos es también distinto. Dicho en otras palabras, el trámite de prórroga no puede ser usado como un mecanismo para determinar el cumplimiento de las medidas impuestas al AEP, ya que existe disposición expresa para tal fin (Décimo transitorio del Decreto de Ley).</w:t>
      </w:r>
    </w:p>
    <w:p w:rsidR="00634773" w:rsidRPr="00634773" w:rsidRDefault="00FE3192" w:rsidP="00634773">
      <w:pPr>
        <w:spacing w:before="240" w:line="240" w:lineRule="auto"/>
        <w:ind w:left="1418" w:right="612"/>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r w:rsidR="00F3480B" w:rsidRPr="00634773">
        <w:rPr>
          <w:rFonts w:ascii="ITC Avant Garde" w:hAnsi="ITC Avant Garde"/>
          <w:bCs/>
          <w:color w:val="000000"/>
          <w:sz w:val="18"/>
          <w:szCs w:val="18"/>
          <w:lang w:eastAsia="es-MX"/>
        </w:rPr>
        <w:t>.</w:t>
      </w:r>
    </w:p>
    <w:p w:rsidR="00634773" w:rsidRPr="00634773" w:rsidRDefault="003E66ED"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Derivado de las consideraciones anteriores, puede concluir</w:t>
      </w:r>
      <w:r w:rsidR="000E4E59" w:rsidRPr="00634773">
        <w:rPr>
          <w:rFonts w:ascii="ITC Avant Garde" w:hAnsi="ITC Avant Garde"/>
          <w:bCs/>
        </w:rPr>
        <w:t>se</w:t>
      </w:r>
      <w:r w:rsidRPr="00634773">
        <w:rPr>
          <w:rFonts w:ascii="ITC Avant Garde" w:hAnsi="ITC Avant Garde"/>
          <w:bCs/>
        </w:rPr>
        <w:t xml:space="preserve"> que: (i) en caso de resolverse favorablemente la Solicitud de Prórroga, no resultaría procedente el otorgamiento de una concesión única a Telmex, en virtud de que a la fecha forma parte del Agente Económico Preponderante en materia de telecomunicaciones, tal como quedó establecido por </w:t>
      </w:r>
      <w:r w:rsidR="00806AA9" w:rsidRPr="00634773">
        <w:rPr>
          <w:rFonts w:ascii="ITC Avant Garde" w:hAnsi="ITC Avant Garde"/>
          <w:bCs/>
        </w:rPr>
        <w:t>la Resolución de Preponderancia</w:t>
      </w:r>
      <w:r w:rsidR="00E116F3" w:rsidRPr="00634773">
        <w:rPr>
          <w:rFonts w:ascii="ITC Avant Garde" w:hAnsi="ITC Avant Garde"/>
          <w:bCs/>
        </w:rPr>
        <w:t xml:space="preserve"> </w:t>
      </w:r>
      <w:r w:rsidR="00340F9F" w:rsidRPr="00634773">
        <w:rPr>
          <w:rFonts w:ascii="ITC Avant Garde" w:hAnsi="ITC Avant Garde"/>
          <w:bCs/>
        </w:rPr>
        <w:t xml:space="preserve">y, en este sentido, </w:t>
      </w:r>
      <w:r w:rsidR="00E116F3" w:rsidRPr="00634773">
        <w:rPr>
          <w:rFonts w:ascii="ITC Avant Garde" w:hAnsi="ITC Avant Garde"/>
          <w:bCs/>
        </w:rPr>
        <w:t xml:space="preserve">para </w:t>
      </w:r>
      <w:r w:rsidR="00340F9F" w:rsidRPr="00634773">
        <w:rPr>
          <w:rFonts w:ascii="ITC Avant Garde" w:hAnsi="ITC Avant Garde"/>
          <w:bCs/>
        </w:rPr>
        <w:t xml:space="preserve">obtener </w:t>
      </w:r>
      <w:r w:rsidR="00E116F3" w:rsidRPr="00634773">
        <w:rPr>
          <w:rFonts w:ascii="ITC Avant Garde" w:hAnsi="ITC Avant Garde"/>
          <w:bCs/>
        </w:rPr>
        <w:t xml:space="preserve">una autorización </w:t>
      </w:r>
      <w:r w:rsidR="00340F9F" w:rsidRPr="00634773">
        <w:rPr>
          <w:rFonts w:ascii="ITC Avant Garde" w:hAnsi="ITC Avant Garde"/>
          <w:bCs/>
        </w:rPr>
        <w:t xml:space="preserve">para la prestación de </w:t>
      </w:r>
      <w:r w:rsidR="00E116F3" w:rsidRPr="00634773">
        <w:rPr>
          <w:rFonts w:ascii="ITC Avant Garde" w:hAnsi="ITC Avant Garde"/>
          <w:bCs/>
        </w:rPr>
        <w:t xml:space="preserve">servicios adicionales o </w:t>
      </w:r>
      <w:r w:rsidR="00340F9F" w:rsidRPr="00634773">
        <w:rPr>
          <w:rFonts w:ascii="ITC Avant Garde" w:hAnsi="ITC Avant Garde"/>
          <w:bCs/>
        </w:rPr>
        <w:t xml:space="preserve">el otorgamiento de </w:t>
      </w:r>
      <w:r w:rsidR="00E116F3" w:rsidRPr="00634773">
        <w:rPr>
          <w:rFonts w:ascii="ITC Avant Garde" w:hAnsi="ITC Avant Garde"/>
          <w:bCs/>
        </w:rPr>
        <w:t xml:space="preserve">una concesión única debe </w:t>
      </w:r>
      <w:r w:rsidR="00340F9F" w:rsidRPr="00634773">
        <w:rPr>
          <w:rFonts w:ascii="ITC Avant Garde" w:hAnsi="ITC Avant Garde"/>
          <w:bCs/>
        </w:rPr>
        <w:t xml:space="preserve">actualizarse el supuesto </w:t>
      </w:r>
      <w:r w:rsidR="00E116F3" w:rsidRPr="00634773">
        <w:rPr>
          <w:rFonts w:ascii="ITC Avant Garde" w:hAnsi="ITC Avant Garde"/>
          <w:bCs/>
        </w:rPr>
        <w:t xml:space="preserve">establecido </w:t>
      </w:r>
      <w:r w:rsidR="00340F9F" w:rsidRPr="00634773">
        <w:rPr>
          <w:rFonts w:ascii="ITC Avant Garde" w:hAnsi="ITC Avant Garde"/>
          <w:bCs/>
        </w:rPr>
        <w:t>por</w:t>
      </w:r>
      <w:r w:rsidR="00E116F3" w:rsidRPr="00634773">
        <w:rPr>
          <w:rFonts w:ascii="ITC Avant Garde" w:hAnsi="ITC Avant Garde"/>
          <w:bCs/>
        </w:rPr>
        <w:t xml:space="preserve"> el artículo Décimo Transitorio del Decreto de Ley, lo cual a la fecha no ha sucedido y no es materia del presente trámite</w:t>
      </w:r>
      <w:r w:rsidR="00806AA9" w:rsidRPr="00634773">
        <w:rPr>
          <w:rFonts w:ascii="ITC Avant Garde" w:hAnsi="ITC Avant Garde"/>
          <w:bCs/>
        </w:rPr>
        <w:t xml:space="preserve"> y,</w:t>
      </w:r>
      <w:r w:rsidRPr="00634773">
        <w:rPr>
          <w:rFonts w:ascii="ITC Avant Garde" w:hAnsi="ITC Avant Garde"/>
          <w:bCs/>
        </w:rPr>
        <w:t xml:space="preserve"> (ii) </w:t>
      </w:r>
      <w:r w:rsidR="004908E3" w:rsidRPr="00634773">
        <w:rPr>
          <w:rFonts w:ascii="ITC Avant Garde" w:hAnsi="ITC Avant Garde"/>
          <w:bCs/>
        </w:rPr>
        <w:t xml:space="preserve">para analizar el requisito previsto </w:t>
      </w:r>
      <w:r w:rsidR="00EE31E2" w:rsidRPr="00634773">
        <w:rPr>
          <w:rFonts w:ascii="ITC Avant Garde" w:hAnsi="ITC Avant Garde"/>
          <w:bCs/>
        </w:rPr>
        <w:t>por</w:t>
      </w:r>
      <w:r w:rsidR="004908E3" w:rsidRPr="00634773">
        <w:rPr>
          <w:rFonts w:ascii="ITC Avant Garde" w:hAnsi="ITC Avant Garde"/>
          <w:bCs/>
        </w:rPr>
        <w:t xml:space="preserve"> el artículo 113 de la Ley, consistente en que el concesionario que </w:t>
      </w:r>
      <w:r w:rsidR="00341D2B" w:rsidRPr="00634773">
        <w:rPr>
          <w:rFonts w:ascii="ITC Avant Garde" w:hAnsi="ITC Avant Garde"/>
          <w:bCs/>
        </w:rPr>
        <w:t>solicite la prórroga de su concesión</w:t>
      </w:r>
      <w:r w:rsidR="00EE31E2" w:rsidRPr="00634773">
        <w:rPr>
          <w:rFonts w:ascii="ITC Avant Garde" w:hAnsi="ITC Avant Garde"/>
          <w:bCs/>
        </w:rPr>
        <w:t>,</w:t>
      </w:r>
      <w:r w:rsidR="00341D2B" w:rsidRPr="00634773">
        <w:rPr>
          <w:rFonts w:ascii="ITC Avant Garde" w:hAnsi="ITC Avant Garde"/>
          <w:bCs/>
        </w:rPr>
        <w:t xml:space="preserve"> </w:t>
      </w:r>
      <w:r w:rsidR="004908E3" w:rsidRPr="00634773">
        <w:rPr>
          <w:rFonts w:ascii="ITC Avant Garde" w:hAnsi="ITC Avant Garde"/>
          <w:bCs/>
        </w:rPr>
        <w:t xml:space="preserve">se encuentre al corriente en el cumplimiento de las obligaciones establecidas en la Ley </w:t>
      </w:r>
      <w:r w:rsidR="00AF1912" w:rsidRPr="00634773">
        <w:rPr>
          <w:rFonts w:ascii="ITC Avant Garde" w:hAnsi="ITC Avant Garde"/>
          <w:bCs/>
        </w:rPr>
        <w:t xml:space="preserve">y </w:t>
      </w:r>
      <w:r w:rsidR="004908E3" w:rsidRPr="00634773">
        <w:rPr>
          <w:rFonts w:ascii="ITC Avant Garde" w:hAnsi="ITC Avant Garde"/>
          <w:bCs/>
        </w:rPr>
        <w:t xml:space="preserve">demás disposiciones aplicables, así como en su título de concesión, no </w:t>
      </w:r>
      <w:r w:rsidR="00E116F3" w:rsidRPr="00634773">
        <w:rPr>
          <w:rFonts w:ascii="ITC Avant Garde" w:hAnsi="ITC Avant Garde"/>
          <w:bCs/>
        </w:rPr>
        <w:t xml:space="preserve">debe </w:t>
      </w:r>
      <w:r w:rsidR="004908E3" w:rsidRPr="00634773">
        <w:rPr>
          <w:rFonts w:ascii="ITC Avant Garde" w:hAnsi="ITC Avant Garde"/>
          <w:bCs/>
        </w:rPr>
        <w:t>considerar</w:t>
      </w:r>
      <w:r w:rsidR="00340F9F" w:rsidRPr="00634773">
        <w:rPr>
          <w:rFonts w:ascii="ITC Avant Garde" w:hAnsi="ITC Avant Garde"/>
          <w:bCs/>
        </w:rPr>
        <w:t>se</w:t>
      </w:r>
      <w:r w:rsidR="004908E3" w:rsidRPr="00634773">
        <w:rPr>
          <w:rFonts w:ascii="ITC Avant Garde" w:hAnsi="ITC Avant Garde"/>
          <w:bCs/>
        </w:rPr>
        <w:t xml:space="preserve"> la verificación de las medidas impuestas por la Resolución de Preponderancia</w:t>
      </w:r>
      <w:r w:rsidR="00967DEC" w:rsidRPr="00634773">
        <w:rPr>
          <w:rFonts w:ascii="ITC Avant Garde" w:hAnsi="ITC Avant Garde"/>
          <w:bCs/>
        </w:rPr>
        <w:t>, puesto que las mismas son disposiciones de carácter individual que no son aplicables para este tipo de solicitudes</w:t>
      </w:r>
      <w:r w:rsidR="00634773" w:rsidRPr="00634773">
        <w:rPr>
          <w:rFonts w:ascii="ITC Avant Garde" w:hAnsi="ITC Avant Garde"/>
          <w:bCs/>
        </w:rPr>
        <w:t>.</w:t>
      </w:r>
    </w:p>
    <w:p w:rsidR="00634773" w:rsidRPr="00634773" w:rsidRDefault="00967DEC"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 xml:space="preserve">En efecto, lo anterior resulta congruente, toda vez que el trámite de prórroga no puede utilizarse para evadir el procedimiento que al efecto establece el artículo Décimo Transitorio del Decreto de Ley para que el Concesionario acceda a servicios adicionales o una concesión única sin cumplir con los requisitos que establecen las disposiciones aplicables, pero tampoco puede entenderse que no es factible </w:t>
      </w:r>
      <w:r w:rsidRPr="00634773">
        <w:rPr>
          <w:rFonts w:ascii="ITC Avant Garde" w:hAnsi="ITC Avant Garde"/>
          <w:bCs/>
        </w:rPr>
        <w:lastRenderedPageBreak/>
        <w:t xml:space="preserve">prorrogarse la Concesión para continuar prestando los servicios públicos de telecomunicaciones que actualmente está facultado a prestar en términos de la misma. </w:t>
      </w:r>
    </w:p>
    <w:p w:rsidR="009B53D4" w:rsidRPr="00634773" w:rsidRDefault="009B53D4"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color w:val="000000"/>
          <w:lang w:val="es-ES" w:eastAsia="es-MX"/>
        </w:rPr>
        <w:t xml:space="preserve">Dadas las conclusiones anteriores, se estima que de resolverse favorablemente la Solicitud de Prórroga, este Instituto podrá pronunciarse únicamente respecto del otorgamiento de la prórroga de la Concesión y su vigencia, </w:t>
      </w:r>
      <w:r w:rsidR="00967DEC" w:rsidRPr="00634773">
        <w:rPr>
          <w:rFonts w:ascii="ITC Avant Garde" w:hAnsi="ITC Avant Garde"/>
          <w:bCs/>
          <w:color w:val="000000"/>
          <w:lang w:val="es-ES" w:eastAsia="es-MX"/>
        </w:rPr>
        <w:t xml:space="preserve">exclusivamente con los servicios que Telmex actualmente tiene autorizados a prestar, </w:t>
      </w:r>
      <w:r w:rsidRPr="00634773">
        <w:rPr>
          <w:rFonts w:ascii="ITC Avant Garde" w:hAnsi="ITC Avant Garde"/>
          <w:bCs/>
          <w:color w:val="000000"/>
          <w:lang w:val="es-ES" w:eastAsia="es-MX"/>
        </w:rPr>
        <w:t xml:space="preserve">sin que sea necesario que en </w:t>
      </w:r>
      <w:r w:rsidR="00967DEC" w:rsidRPr="00634773">
        <w:rPr>
          <w:rFonts w:ascii="ITC Avant Garde" w:hAnsi="ITC Avant Garde"/>
          <w:bCs/>
          <w:color w:val="000000"/>
          <w:lang w:val="es-ES" w:eastAsia="es-MX"/>
        </w:rPr>
        <w:t xml:space="preserve">este </w:t>
      </w:r>
      <w:r w:rsidRPr="00634773">
        <w:rPr>
          <w:rFonts w:ascii="ITC Avant Garde" w:hAnsi="ITC Avant Garde"/>
          <w:bCs/>
          <w:color w:val="000000"/>
          <w:lang w:val="es-ES" w:eastAsia="es-MX"/>
        </w:rPr>
        <w:t xml:space="preserve">mismo acto se </w:t>
      </w:r>
      <w:r w:rsidR="00967DEC" w:rsidRPr="00634773">
        <w:rPr>
          <w:rFonts w:ascii="ITC Avant Garde" w:hAnsi="ITC Avant Garde"/>
          <w:bCs/>
          <w:color w:val="000000"/>
          <w:lang w:val="es-ES" w:eastAsia="es-MX"/>
        </w:rPr>
        <w:t xml:space="preserve">hagan del conocimiento de </w:t>
      </w:r>
      <w:r w:rsidR="00403621" w:rsidRPr="00634773">
        <w:rPr>
          <w:rFonts w:ascii="ITC Avant Garde" w:hAnsi="ITC Avant Garde"/>
          <w:bCs/>
          <w:color w:val="000000"/>
          <w:lang w:val="es-ES" w:eastAsia="es-MX"/>
        </w:rPr>
        <w:t>dicha empresa</w:t>
      </w:r>
      <w:r w:rsidR="00967DEC" w:rsidRPr="00634773">
        <w:rPr>
          <w:rFonts w:ascii="ITC Avant Garde" w:hAnsi="ITC Avant Garde"/>
          <w:bCs/>
          <w:color w:val="000000"/>
          <w:lang w:val="es-ES" w:eastAsia="es-MX"/>
        </w:rPr>
        <w:t xml:space="preserve"> </w:t>
      </w:r>
      <w:r w:rsidRPr="00634773">
        <w:rPr>
          <w:rFonts w:ascii="ITC Avant Garde" w:hAnsi="ITC Avant Garde"/>
          <w:bCs/>
          <w:color w:val="000000"/>
          <w:lang w:val="es-ES" w:eastAsia="es-MX"/>
        </w:rPr>
        <w:t>nuevas condiciones</w:t>
      </w:r>
      <w:r w:rsidR="00967DEC" w:rsidRPr="00634773">
        <w:rPr>
          <w:rFonts w:ascii="ITC Avant Garde" w:hAnsi="ITC Avant Garde"/>
          <w:bCs/>
          <w:color w:val="000000"/>
          <w:lang w:val="es-ES" w:eastAsia="es-MX"/>
        </w:rPr>
        <w:t xml:space="preserve"> a través del título de concesión </w:t>
      </w:r>
      <w:r w:rsidR="00403621" w:rsidRPr="00634773">
        <w:rPr>
          <w:rFonts w:ascii="ITC Avant Garde" w:hAnsi="ITC Avant Garde"/>
          <w:bCs/>
          <w:color w:val="000000"/>
          <w:lang w:val="es-ES" w:eastAsia="es-MX"/>
        </w:rPr>
        <w:t>respectivo</w:t>
      </w:r>
      <w:r w:rsidRPr="00634773">
        <w:rPr>
          <w:rFonts w:ascii="ITC Avant Garde" w:hAnsi="ITC Avant Garde"/>
          <w:bCs/>
          <w:color w:val="000000"/>
          <w:lang w:val="es-ES" w:eastAsia="es-MX"/>
        </w:rPr>
        <w:t>,</w:t>
      </w:r>
      <w:r w:rsidRPr="00634773">
        <w:rPr>
          <w:rFonts w:ascii="ITC Avant Garde" w:hAnsi="ITC Avant Garde"/>
          <w:bCs/>
          <w:color w:val="000000"/>
          <w:lang w:eastAsia="es-MX"/>
        </w:rPr>
        <w:t xml:space="preserve"> </w:t>
      </w:r>
      <w:r w:rsidR="00F2220F" w:rsidRPr="00634773">
        <w:rPr>
          <w:rFonts w:ascii="ITC Avant Garde" w:hAnsi="ITC Avant Garde"/>
          <w:bCs/>
          <w:color w:val="000000"/>
          <w:lang w:eastAsia="es-MX"/>
        </w:rPr>
        <w:t>debido a que</w:t>
      </w:r>
      <w:r w:rsidR="00B645A1" w:rsidRPr="00634773">
        <w:rPr>
          <w:rFonts w:ascii="ITC Avant Garde" w:hAnsi="ITC Avant Garde"/>
          <w:bCs/>
          <w:color w:val="000000"/>
          <w:lang w:eastAsia="es-MX"/>
        </w:rPr>
        <w:t xml:space="preserve"> la Concesión estará vigente hasta el 10 de marzo de 2026. </w:t>
      </w:r>
      <w:r w:rsidR="00F2220F" w:rsidRPr="00634773">
        <w:rPr>
          <w:rFonts w:ascii="ITC Avant Garde" w:hAnsi="ITC Avant Garde"/>
          <w:bCs/>
          <w:color w:val="000000"/>
          <w:lang w:eastAsia="es-MX"/>
        </w:rPr>
        <w:t>Esto último</w:t>
      </w:r>
      <w:r w:rsidR="00B645A1" w:rsidRPr="00634773">
        <w:rPr>
          <w:rFonts w:ascii="ITC Avant Garde" w:hAnsi="ITC Avant Garde"/>
          <w:bCs/>
          <w:color w:val="000000"/>
          <w:lang w:eastAsia="es-MX"/>
        </w:rPr>
        <w:t xml:space="preserve"> se analiza con mayor precisión y detalle en el siguiente </w:t>
      </w:r>
      <w:r w:rsidRPr="00634773">
        <w:rPr>
          <w:rFonts w:ascii="ITC Avant Garde" w:hAnsi="ITC Avant Garde"/>
          <w:bCs/>
          <w:color w:val="000000"/>
          <w:lang w:eastAsia="es-MX"/>
        </w:rPr>
        <w:t>Considerando.</w:t>
      </w:r>
    </w:p>
    <w:p w:rsidR="00634773" w:rsidRPr="00634773" w:rsidRDefault="00F5125A" w:rsidP="00634773">
      <w:pPr>
        <w:spacing w:before="240" w:line="240" w:lineRule="auto"/>
        <w:jc w:val="both"/>
        <w:rPr>
          <w:rFonts w:ascii="ITC Avant Garde" w:hAnsi="ITC Avant Garde"/>
          <w:color w:val="000000"/>
          <w:lang w:eastAsia="es-MX"/>
        </w:rPr>
      </w:pPr>
      <w:r w:rsidRPr="00634773">
        <w:rPr>
          <w:rFonts w:ascii="ITC Avant Garde" w:hAnsi="ITC Avant Garde"/>
          <w:b/>
          <w:bCs/>
        </w:rPr>
        <w:t>Quint</w:t>
      </w:r>
      <w:r w:rsidR="00EC570E" w:rsidRPr="00634773">
        <w:rPr>
          <w:rFonts w:ascii="ITC Avant Garde" w:hAnsi="ITC Avant Garde"/>
          <w:b/>
          <w:bCs/>
        </w:rPr>
        <w:t>o</w:t>
      </w:r>
      <w:r w:rsidR="00B048BA" w:rsidRPr="00634773">
        <w:rPr>
          <w:rFonts w:ascii="ITC Avant Garde" w:hAnsi="ITC Avant Garde"/>
          <w:b/>
          <w:bCs/>
        </w:rPr>
        <w:t xml:space="preserve">.- Análisis de la Solicitud de </w:t>
      </w:r>
      <w:r w:rsidR="001A6B6F" w:rsidRPr="00634773">
        <w:rPr>
          <w:rFonts w:ascii="ITC Avant Garde" w:hAnsi="ITC Avant Garde"/>
          <w:b/>
          <w:bCs/>
        </w:rPr>
        <w:t>Prórroga</w:t>
      </w:r>
      <w:r w:rsidR="00566095" w:rsidRPr="00634773">
        <w:rPr>
          <w:rFonts w:ascii="ITC Avant Garde" w:hAnsi="ITC Avant Garde"/>
          <w:b/>
          <w:bCs/>
        </w:rPr>
        <w:t>.</w:t>
      </w:r>
      <w:r w:rsidR="001A6B6F" w:rsidRPr="00634773">
        <w:rPr>
          <w:rFonts w:ascii="ITC Avant Garde" w:hAnsi="ITC Avant Garde"/>
          <w:bCs/>
        </w:rPr>
        <w:t xml:space="preserve"> </w:t>
      </w:r>
      <w:r w:rsidR="00C53815" w:rsidRPr="00634773">
        <w:rPr>
          <w:rFonts w:ascii="ITC Avant Garde" w:hAnsi="ITC Avant Garde"/>
        </w:rPr>
        <w:t xml:space="preserve">Con respecto al primer requisito de procedencia establecido en la Ley, relativo </w:t>
      </w:r>
      <w:r w:rsidR="00BA14AE" w:rsidRPr="00634773">
        <w:rPr>
          <w:rFonts w:ascii="ITC Avant Garde" w:hAnsi="ITC Avant Garde"/>
        </w:rPr>
        <w:t xml:space="preserve">a que Telmex presentara la solicitud </w:t>
      </w:r>
      <w:r w:rsidR="00A75D0F" w:rsidRPr="00634773">
        <w:rPr>
          <w:rFonts w:ascii="ITC Avant Garde" w:hAnsi="ITC Avant Garde"/>
        </w:rPr>
        <w:t xml:space="preserve">de </w:t>
      </w:r>
      <w:r w:rsidR="00C53815" w:rsidRPr="00634773">
        <w:rPr>
          <w:rFonts w:ascii="ITC Avant Garde" w:hAnsi="ITC Avant Garde"/>
          <w:color w:val="000000"/>
          <w:lang w:eastAsia="es-MX"/>
        </w:rPr>
        <w:t xml:space="preserve">prórroga de </w:t>
      </w:r>
      <w:r w:rsidR="00BA14AE" w:rsidRPr="00634773">
        <w:rPr>
          <w:rFonts w:ascii="ITC Avant Garde" w:hAnsi="ITC Avant Garde"/>
          <w:color w:val="000000"/>
          <w:lang w:eastAsia="es-MX"/>
        </w:rPr>
        <w:t xml:space="preserve">vigencia de </w:t>
      </w:r>
      <w:r w:rsidR="00C53815" w:rsidRPr="00634773">
        <w:rPr>
          <w:rFonts w:ascii="ITC Avant Garde" w:hAnsi="ITC Avant Garde"/>
          <w:color w:val="000000"/>
          <w:lang w:eastAsia="es-MX"/>
        </w:rPr>
        <w:t>la Concesión dentro del año previo al inicio de la última quinta parte del plazo de vigencia de la mis</w:t>
      </w:r>
      <w:r w:rsidR="00BA14AE" w:rsidRPr="00634773">
        <w:rPr>
          <w:rFonts w:ascii="ITC Avant Garde" w:hAnsi="ITC Avant Garde"/>
          <w:color w:val="000000"/>
          <w:lang w:eastAsia="es-MX"/>
        </w:rPr>
        <w:t>ma,</w:t>
      </w:r>
      <w:r w:rsidR="00C53815" w:rsidRPr="00634773">
        <w:rPr>
          <w:rFonts w:ascii="ITC Avant Garde" w:hAnsi="ITC Avant Garde"/>
          <w:color w:val="000000"/>
          <w:lang w:eastAsia="es-MX"/>
        </w:rPr>
        <w:t xml:space="preserve"> el Instituto consid</w:t>
      </w:r>
      <w:r w:rsidR="00BA14AE" w:rsidRPr="00634773">
        <w:rPr>
          <w:rFonts w:ascii="ITC Avant Garde" w:hAnsi="ITC Avant Garde"/>
          <w:color w:val="000000"/>
          <w:lang w:eastAsia="es-MX"/>
        </w:rPr>
        <w:t>era que el mismo fue satisfecho. Lo anterior</w:t>
      </w:r>
      <w:r w:rsidR="00AE05D2" w:rsidRPr="00634773">
        <w:rPr>
          <w:rFonts w:ascii="ITC Avant Garde" w:hAnsi="ITC Avant Garde"/>
          <w:color w:val="000000"/>
          <w:lang w:eastAsia="es-MX"/>
        </w:rPr>
        <w:t xml:space="preserve"> es así dado </w:t>
      </w:r>
      <w:r w:rsidR="00C53815" w:rsidRPr="00634773">
        <w:rPr>
          <w:rFonts w:ascii="ITC Avant Garde" w:hAnsi="ITC Avant Garde"/>
          <w:color w:val="000000"/>
          <w:lang w:eastAsia="es-MX"/>
        </w:rPr>
        <w:t xml:space="preserve">que en la Concesión se estableció </w:t>
      </w:r>
      <w:r w:rsidR="00433161" w:rsidRPr="00634773">
        <w:rPr>
          <w:rFonts w:ascii="ITC Avant Garde" w:hAnsi="ITC Avant Garde"/>
          <w:color w:val="000000"/>
          <w:lang w:eastAsia="es-MX"/>
        </w:rPr>
        <w:t>una</w:t>
      </w:r>
      <w:r w:rsidR="00C53815" w:rsidRPr="00634773">
        <w:rPr>
          <w:rFonts w:ascii="ITC Avant Garde" w:hAnsi="ITC Avant Garde"/>
          <w:color w:val="000000"/>
          <w:lang w:eastAsia="es-MX"/>
        </w:rPr>
        <w:t xml:space="preserve"> vigencia de 50 (cincuenta) años contados a partir del 10 de marzo de 1976, por lo que el año previo al inicio de la última quinta parte de</w:t>
      </w:r>
      <w:r w:rsidR="00A75D0F" w:rsidRPr="00634773">
        <w:rPr>
          <w:rFonts w:ascii="ITC Avant Garde" w:hAnsi="ITC Avant Garde"/>
          <w:color w:val="000000"/>
          <w:lang w:eastAsia="es-MX"/>
        </w:rPr>
        <w:t xml:space="preserve"> </w:t>
      </w:r>
      <w:r w:rsidR="00C53815" w:rsidRPr="00634773">
        <w:rPr>
          <w:rFonts w:ascii="ITC Avant Garde" w:hAnsi="ITC Avant Garde"/>
          <w:color w:val="000000"/>
          <w:lang w:eastAsia="es-MX"/>
        </w:rPr>
        <w:t>vigencia de la Concesión</w:t>
      </w:r>
      <w:r w:rsidR="00BA14AE" w:rsidRPr="00634773">
        <w:rPr>
          <w:rFonts w:ascii="ITC Avant Garde" w:hAnsi="ITC Avant Garde"/>
          <w:color w:val="000000"/>
          <w:lang w:eastAsia="es-MX"/>
        </w:rPr>
        <w:t xml:space="preserve"> inició </w:t>
      </w:r>
      <w:r w:rsidR="00C53815" w:rsidRPr="00634773">
        <w:rPr>
          <w:rFonts w:ascii="ITC Avant Garde" w:hAnsi="ITC Avant Garde"/>
          <w:color w:val="000000"/>
          <w:lang w:eastAsia="es-MX"/>
        </w:rPr>
        <w:t xml:space="preserve">el 9 de marzo de 2015 </w:t>
      </w:r>
      <w:r w:rsidR="00BA14AE" w:rsidRPr="00634773">
        <w:rPr>
          <w:rFonts w:ascii="ITC Avant Garde" w:hAnsi="ITC Avant Garde"/>
          <w:color w:val="000000"/>
          <w:lang w:eastAsia="es-MX"/>
        </w:rPr>
        <w:t>y concluyó el 9 de marzo de 2016</w:t>
      </w:r>
      <w:r w:rsidR="003F4244" w:rsidRPr="00634773">
        <w:rPr>
          <w:rFonts w:ascii="ITC Avant Garde" w:hAnsi="ITC Avant Garde"/>
          <w:color w:val="000000"/>
          <w:lang w:eastAsia="es-MX"/>
        </w:rPr>
        <w:t xml:space="preserve"> y </w:t>
      </w:r>
      <w:r w:rsidR="00C53815" w:rsidRPr="00634773">
        <w:rPr>
          <w:rFonts w:ascii="ITC Avant Garde" w:hAnsi="ITC Avant Garde"/>
          <w:color w:val="000000"/>
          <w:lang w:eastAsia="es-MX"/>
        </w:rPr>
        <w:t>la Solicitud de Prórroga fue p</w:t>
      </w:r>
      <w:r w:rsidR="00433161" w:rsidRPr="00634773">
        <w:rPr>
          <w:rFonts w:ascii="ITC Avant Garde" w:hAnsi="ITC Avant Garde"/>
          <w:color w:val="000000"/>
          <w:lang w:eastAsia="es-MX"/>
        </w:rPr>
        <w:t xml:space="preserve">resentada </w:t>
      </w:r>
      <w:r w:rsidR="00AE05D2" w:rsidRPr="00634773">
        <w:rPr>
          <w:rFonts w:ascii="ITC Avant Garde" w:hAnsi="ITC Avant Garde"/>
          <w:color w:val="000000"/>
          <w:lang w:eastAsia="es-MX"/>
        </w:rPr>
        <w:t xml:space="preserve">formalmente ante el Instituto </w:t>
      </w:r>
      <w:r w:rsidR="00433161" w:rsidRPr="00634773">
        <w:rPr>
          <w:rFonts w:ascii="ITC Avant Garde" w:hAnsi="ITC Avant Garde"/>
          <w:color w:val="000000"/>
          <w:lang w:eastAsia="es-MX"/>
        </w:rPr>
        <w:t xml:space="preserve">el 7 de marzo de 2016, </w:t>
      </w:r>
      <w:r w:rsidR="004975CD" w:rsidRPr="00634773">
        <w:rPr>
          <w:rFonts w:ascii="ITC Avant Garde" w:hAnsi="ITC Avant Garde"/>
          <w:color w:val="000000"/>
          <w:lang w:eastAsia="es-MX"/>
        </w:rPr>
        <w:t xml:space="preserve">es </w:t>
      </w:r>
      <w:r w:rsidR="00433161" w:rsidRPr="00634773">
        <w:rPr>
          <w:rFonts w:ascii="ITC Avant Garde" w:hAnsi="ITC Avant Garde"/>
          <w:color w:val="000000"/>
          <w:lang w:eastAsia="es-MX"/>
        </w:rPr>
        <w:t xml:space="preserve">decir, dentro del </w:t>
      </w:r>
      <w:r w:rsidR="00A75D0F" w:rsidRPr="00634773">
        <w:rPr>
          <w:rFonts w:ascii="ITC Avant Garde" w:hAnsi="ITC Avant Garde"/>
          <w:color w:val="000000"/>
          <w:lang w:eastAsia="es-MX"/>
        </w:rPr>
        <w:t>término</w:t>
      </w:r>
      <w:r w:rsidR="00433161" w:rsidRPr="00634773">
        <w:rPr>
          <w:rFonts w:ascii="ITC Avant Garde" w:hAnsi="ITC Avant Garde"/>
          <w:color w:val="000000"/>
          <w:lang w:eastAsia="es-MX"/>
        </w:rPr>
        <w:t xml:space="preserve"> </w:t>
      </w:r>
      <w:r w:rsidR="00BA14AE" w:rsidRPr="00634773">
        <w:rPr>
          <w:rFonts w:ascii="ITC Avant Garde" w:hAnsi="ITC Avant Garde"/>
          <w:color w:val="000000"/>
          <w:lang w:eastAsia="es-MX"/>
        </w:rPr>
        <w:t>antes señalado.</w:t>
      </w:r>
    </w:p>
    <w:p w:rsidR="00634773" w:rsidRPr="00634773" w:rsidRDefault="00710FBD"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 xml:space="preserve">Por lo que toca al segundo requisito de procedencia establecido en la Ley, relativo a que Telmex se encuentre al corriente en el cumplimiento de las obligaciones establecidas en la Ley y demás disposiciones aplicables, así como en su título de concesión, </w:t>
      </w:r>
      <w:r w:rsidR="00AE05D2" w:rsidRPr="00634773">
        <w:rPr>
          <w:rFonts w:ascii="ITC Avant Garde" w:hAnsi="ITC Avant Garde"/>
          <w:bCs/>
        </w:rPr>
        <w:t xml:space="preserve">es de señalar que </w:t>
      </w:r>
      <w:r w:rsidRPr="00634773">
        <w:rPr>
          <w:rFonts w:ascii="ITC Avant Garde" w:hAnsi="ITC Avant Garde"/>
          <w:bCs/>
        </w:rPr>
        <w:t>con oficio IFT/223/UCS/DG-CTEL/</w:t>
      </w:r>
      <w:r w:rsidR="004962F8" w:rsidRPr="00634773">
        <w:rPr>
          <w:rFonts w:ascii="ITC Avant Garde" w:hAnsi="ITC Avant Garde"/>
          <w:bCs/>
        </w:rPr>
        <w:t>0986</w:t>
      </w:r>
      <w:r w:rsidRPr="00634773">
        <w:rPr>
          <w:rFonts w:ascii="ITC Avant Garde" w:hAnsi="ITC Avant Garde"/>
          <w:bCs/>
        </w:rPr>
        <w:t>/201</w:t>
      </w:r>
      <w:r w:rsidR="003D7513" w:rsidRPr="00634773">
        <w:rPr>
          <w:rFonts w:ascii="ITC Avant Garde" w:hAnsi="ITC Avant Garde"/>
          <w:bCs/>
        </w:rPr>
        <w:t>6</w:t>
      </w:r>
      <w:r w:rsidRPr="00634773">
        <w:rPr>
          <w:rFonts w:ascii="ITC Avant Garde" w:hAnsi="ITC Avant Garde"/>
          <w:bCs/>
        </w:rPr>
        <w:t xml:space="preserve"> de fecha </w:t>
      </w:r>
      <w:r w:rsidR="004962F8" w:rsidRPr="00634773">
        <w:rPr>
          <w:rFonts w:ascii="ITC Avant Garde" w:hAnsi="ITC Avant Garde"/>
          <w:bCs/>
        </w:rPr>
        <w:t>29</w:t>
      </w:r>
      <w:r w:rsidRPr="00634773">
        <w:rPr>
          <w:rFonts w:ascii="ITC Avant Garde" w:hAnsi="ITC Avant Garde"/>
          <w:bCs/>
        </w:rPr>
        <w:t xml:space="preserve"> de </w:t>
      </w:r>
      <w:r w:rsidR="003D7513" w:rsidRPr="00634773">
        <w:rPr>
          <w:rFonts w:ascii="ITC Avant Garde" w:hAnsi="ITC Avant Garde"/>
          <w:bCs/>
        </w:rPr>
        <w:t>abril</w:t>
      </w:r>
      <w:r w:rsidRPr="00634773">
        <w:rPr>
          <w:rFonts w:ascii="ITC Avant Garde" w:hAnsi="ITC Avant Garde"/>
          <w:bCs/>
        </w:rPr>
        <w:t xml:space="preserve"> de 201</w:t>
      </w:r>
      <w:r w:rsidR="003D7513" w:rsidRPr="00634773">
        <w:rPr>
          <w:rFonts w:ascii="ITC Avant Garde" w:hAnsi="ITC Avant Garde"/>
          <w:bCs/>
        </w:rPr>
        <w:t>6</w:t>
      </w:r>
      <w:r w:rsidRPr="00634773">
        <w:rPr>
          <w:rFonts w:ascii="ITC Avant Garde" w:hAnsi="ITC Avant Garde"/>
          <w:bCs/>
        </w:rPr>
        <w:t xml:space="preserve">, la Unidad de Concesiones y Servicios, a través de la Dirección General de Concesiones de Telecomunicaciones, solicitó a la Unidad de Cumplimiento el estado que guardaba el cumplimiento de las obligaciones a cargo de Telmex, </w:t>
      </w:r>
      <w:r w:rsidR="00AE05D2" w:rsidRPr="00634773">
        <w:rPr>
          <w:rFonts w:ascii="ITC Avant Garde" w:hAnsi="ITC Avant Garde"/>
          <w:bCs/>
        </w:rPr>
        <w:t xml:space="preserve">para efectos de determinar lo conducente </w:t>
      </w:r>
      <w:r w:rsidRPr="00634773">
        <w:rPr>
          <w:rFonts w:ascii="ITC Avant Garde" w:hAnsi="ITC Avant Garde"/>
          <w:bCs/>
        </w:rPr>
        <w:t>respe</w:t>
      </w:r>
      <w:r w:rsidR="003D7513" w:rsidRPr="00634773">
        <w:rPr>
          <w:rFonts w:ascii="ITC Avant Garde" w:hAnsi="ITC Avant Garde"/>
          <w:bCs/>
        </w:rPr>
        <w:t>cto de la Solicitud de Prórroga</w:t>
      </w:r>
      <w:r w:rsidRPr="00634773">
        <w:rPr>
          <w:rFonts w:ascii="ITC Avant Garde" w:hAnsi="ITC Avant Garde"/>
          <w:bCs/>
        </w:rPr>
        <w:t xml:space="preserve">. </w:t>
      </w:r>
    </w:p>
    <w:p w:rsidR="00634773" w:rsidRPr="00634773" w:rsidRDefault="003014AB" w:rsidP="00634773">
      <w:pPr>
        <w:autoSpaceDE w:val="0"/>
        <w:autoSpaceDN w:val="0"/>
        <w:spacing w:before="240" w:line="240" w:lineRule="auto"/>
        <w:jc w:val="both"/>
        <w:rPr>
          <w:rFonts w:ascii="ITC Avant Garde" w:hAnsi="ITC Avant Garde"/>
        </w:rPr>
      </w:pPr>
      <w:r w:rsidRPr="00634773">
        <w:rPr>
          <w:rFonts w:ascii="ITC Avant Garde" w:hAnsi="ITC Avant Garde"/>
        </w:rPr>
        <w:t>En respuesta a la citada petición, la Unidad de Cumplimiento</w:t>
      </w:r>
      <w:r w:rsidR="004962F8" w:rsidRPr="00634773">
        <w:rPr>
          <w:rFonts w:ascii="ITC Avant Garde" w:hAnsi="ITC Avant Garde"/>
        </w:rPr>
        <w:t xml:space="preserve">, </w:t>
      </w:r>
      <w:r w:rsidRPr="00634773">
        <w:rPr>
          <w:rFonts w:ascii="ITC Avant Garde" w:hAnsi="ITC Avant Garde"/>
        </w:rPr>
        <w:t>mediante oficio IFT/225/UC/</w:t>
      </w:r>
      <w:r w:rsidR="004962F8" w:rsidRPr="00634773">
        <w:rPr>
          <w:rFonts w:ascii="ITC Avant Garde" w:hAnsi="ITC Avant Garde"/>
        </w:rPr>
        <w:t>2961</w:t>
      </w:r>
      <w:r w:rsidRPr="00634773">
        <w:rPr>
          <w:rFonts w:ascii="ITC Avant Garde" w:hAnsi="ITC Avant Garde"/>
        </w:rPr>
        <w:t xml:space="preserve">/2016 de fecha </w:t>
      </w:r>
      <w:r w:rsidR="004962F8" w:rsidRPr="00634773">
        <w:rPr>
          <w:rFonts w:ascii="ITC Avant Garde" w:hAnsi="ITC Avant Garde"/>
        </w:rPr>
        <w:t>23</w:t>
      </w:r>
      <w:r w:rsidRPr="00634773">
        <w:rPr>
          <w:rFonts w:ascii="ITC Avant Garde" w:hAnsi="ITC Avant Garde"/>
        </w:rPr>
        <w:t xml:space="preserve"> de </w:t>
      </w:r>
      <w:r w:rsidR="003D7513" w:rsidRPr="00634773">
        <w:rPr>
          <w:rFonts w:ascii="ITC Avant Garde" w:hAnsi="ITC Avant Garde"/>
        </w:rPr>
        <w:t>noviembre</w:t>
      </w:r>
      <w:r w:rsidRPr="00634773">
        <w:rPr>
          <w:rFonts w:ascii="ITC Avant Garde" w:hAnsi="ITC Avant Garde"/>
        </w:rPr>
        <w:t xml:space="preserve"> de 2016, emitió el dictamen correspondiente</w:t>
      </w:r>
      <w:r w:rsidR="0067184B" w:rsidRPr="00634773">
        <w:rPr>
          <w:rFonts w:ascii="ITC Avant Garde" w:hAnsi="ITC Avant Garde"/>
        </w:rPr>
        <w:t>, mismo</w:t>
      </w:r>
      <w:r w:rsidR="004962F8" w:rsidRPr="00634773">
        <w:rPr>
          <w:rFonts w:ascii="ITC Avant Garde" w:hAnsi="ITC Avant Garde"/>
        </w:rPr>
        <w:t xml:space="preserve"> que</w:t>
      </w:r>
      <w:r w:rsidR="00FA25E9" w:rsidRPr="00634773">
        <w:rPr>
          <w:rFonts w:ascii="ITC Avant Garde" w:hAnsi="ITC Avant Garde"/>
        </w:rPr>
        <w:t xml:space="preserve"> en copia certificada</w:t>
      </w:r>
      <w:r w:rsidR="004962F8" w:rsidRPr="00634773">
        <w:rPr>
          <w:rFonts w:ascii="ITC Avant Garde" w:hAnsi="ITC Avant Garde"/>
        </w:rPr>
        <w:t xml:space="preserve"> </w:t>
      </w:r>
      <w:r w:rsidR="00AE05D2" w:rsidRPr="00634773">
        <w:rPr>
          <w:rFonts w:ascii="ITC Avant Garde" w:hAnsi="ITC Avant Garde"/>
        </w:rPr>
        <w:t xml:space="preserve">se adjunta a la presente Resolución como </w:t>
      </w:r>
      <w:r w:rsidR="00AE05D2" w:rsidRPr="00634773">
        <w:rPr>
          <w:rFonts w:ascii="ITC Avant Garde" w:hAnsi="ITC Avant Garde"/>
          <w:b/>
        </w:rPr>
        <w:t>Anexo I</w:t>
      </w:r>
      <w:r w:rsidR="00AE05D2" w:rsidRPr="00634773">
        <w:rPr>
          <w:rFonts w:ascii="ITC Avant Garde" w:hAnsi="ITC Avant Garde"/>
        </w:rPr>
        <w:t xml:space="preserve"> y </w:t>
      </w:r>
      <w:r w:rsidR="004962F8" w:rsidRPr="00634773">
        <w:rPr>
          <w:rFonts w:ascii="ITC Avant Garde" w:hAnsi="ITC Avant Garde"/>
        </w:rPr>
        <w:t xml:space="preserve">forma parte integral de </w:t>
      </w:r>
      <w:r w:rsidR="00AE05D2" w:rsidRPr="00634773">
        <w:rPr>
          <w:rFonts w:ascii="ITC Avant Garde" w:hAnsi="ITC Avant Garde"/>
        </w:rPr>
        <w:t xml:space="preserve">ésta. </w:t>
      </w:r>
      <w:r w:rsidR="0027746C" w:rsidRPr="00634773">
        <w:rPr>
          <w:rFonts w:ascii="ITC Avant Garde" w:hAnsi="ITC Avant Garde"/>
        </w:rPr>
        <w:t>En dicho dictamen, la Unidad de Cumplimiento concluye lo siguiente</w:t>
      </w:r>
      <w:r w:rsidRPr="00634773">
        <w:rPr>
          <w:rFonts w:ascii="ITC Avant Garde" w:hAnsi="ITC Avant Garde"/>
        </w:rPr>
        <w:t>:</w:t>
      </w:r>
    </w:p>
    <w:p w:rsidR="00634773" w:rsidRPr="00634773" w:rsidRDefault="0067184B" w:rsidP="00634773">
      <w:pPr>
        <w:spacing w:before="240" w:line="240" w:lineRule="auto"/>
        <w:ind w:left="141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p>
    <w:p w:rsidR="00634773" w:rsidRPr="00634773" w:rsidRDefault="0067184B" w:rsidP="00634773">
      <w:pPr>
        <w:spacing w:before="240" w:line="240" w:lineRule="auto"/>
        <w:ind w:left="1416" w:right="615"/>
        <w:jc w:val="center"/>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DICTAMEN</w:t>
      </w:r>
    </w:p>
    <w:p w:rsidR="0067184B" w:rsidRPr="00634773" w:rsidRDefault="0067184B" w:rsidP="00634773">
      <w:pPr>
        <w:spacing w:before="240" w:line="240" w:lineRule="auto"/>
        <w:ind w:left="141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De las acciones llevadas a cabo por esta UC, se concluye lo siguiente:</w:t>
      </w:r>
    </w:p>
    <w:p w:rsidR="00634773" w:rsidRPr="00634773" w:rsidRDefault="0067184B" w:rsidP="00634773">
      <w:pPr>
        <w:pStyle w:val="Prrafodelista"/>
        <w:numPr>
          <w:ilvl w:val="0"/>
          <w:numId w:val="16"/>
        </w:numPr>
        <w:spacing w:before="240" w:after="200"/>
        <w:ind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lastRenderedPageBreak/>
        <w:t xml:space="preserve">De la revisión, mediante acciones de supervisión, verificación y opiniones técnicas de las distintas áreas del INSTITUTO, a las obligaciones </w:t>
      </w:r>
      <w:r w:rsidR="002C4044" w:rsidRPr="00634773">
        <w:rPr>
          <w:rFonts w:ascii="ITC Avant Garde" w:hAnsi="ITC Avant Garde"/>
          <w:bCs/>
          <w:color w:val="000000"/>
          <w:sz w:val="18"/>
          <w:szCs w:val="18"/>
          <w:lang w:eastAsia="es-MX"/>
        </w:rPr>
        <w:t xml:space="preserve">a cargo de TELMEX derivadas del título de concesión materia del presente dictamen, instrumentos habilitantes asociados, disposiciones legales, reglamentarias y administrativas aplicables se desprende que al 23 de noviembre de 2016, </w:t>
      </w:r>
      <w:r w:rsidR="002C4044" w:rsidRPr="00634773">
        <w:rPr>
          <w:rFonts w:ascii="ITC Avant Garde" w:hAnsi="ITC Avant Garde"/>
          <w:b/>
          <w:bCs/>
          <w:color w:val="000000"/>
          <w:sz w:val="18"/>
          <w:szCs w:val="18"/>
          <w:u w:val="single"/>
          <w:lang w:eastAsia="es-MX"/>
        </w:rPr>
        <w:t>la concesionaria se encuentra al corriente de las obligaciones que tiene a su cargo</w:t>
      </w:r>
      <w:r w:rsidR="002C4044" w:rsidRPr="00634773">
        <w:rPr>
          <w:rFonts w:ascii="ITC Avant Garde" w:hAnsi="ITC Avant Garde"/>
          <w:bCs/>
          <w:color w:val="000000"/>
          <w:sz w:val="18"/>
          <w:szCs w:val="18"/>
          <w:lang w:eastAsia="es-MX"/>
        </w:rPr>
        <w:t xml:space="preserve"> y que le son aplicables en términos del presente dictamen, conforme lo previsto en el artículo 113 de la LFTR.</w:t>
      </w:r>
    </w:p>
    <w:p w:rsidR="002C4044" w:rsidRPr="00634773" w:rsidRDefault="002C4044" w:rsidP="00634773">
      <w:pPr>
        <w:pStyle w:val="Prrafodelista"/>
        <w:numPr>
          <w:ilvl w:val="0"/>
          <w:numId w:val="16"/>
        </w:numPr>
        <w:spacing w:before="240" w:after="200"/>
        <w:ind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 xml:space="preserve">El presente dictamen se emite con los elementos que la Unidad de Cumplimiento, a través de la Dirección General de Supervisión, ha recabado a la fecha de su elaboración en ejercicio de las facultades </w:t>
      </w:r>
      <w:r w:rsidR="00005228" w:rsidRPr="00634773">
        <w:rPr>
          <w:rFonts w:ascii="ITC Avant Garde" w:hAnsi="ITC Avant Garde"/>
          <w:bCs/>
          <w:color w:val="000000"/>
          <w:sz w:val="18"/>
          <w:szCs w:val="18"/>
          <w:lang w:eastAsia="es-MX"/>
        </w:rPr>
        <w:t xml:space="preserve">a que se refieren los artículos 41, 42, fracciones I y XV del Estatuto Orgánico del Instituto Federal de Telecomunicaciones. Dada su naturaleza, constituye un documento que tiene por objeto pronunciarse únicamente respecto del cumplimiento de obligaciones para la realización de este trámite de prórroga solicitado por TELMEX, y no para la emisión de la certificación de cumplimiento efectivo a que se refiere el artículo Décimo transitorio del decreto por el que fue expedida la LFTR, ya que la misma se emitirá, en su caso, únicamente a solicitud del Agente Económico Preponderante previa supervisión y verificación del cumplimiento efectivo de sus obligaciones. Este dictamen no prejuzga sobre las posibles sanciones que pudieran derivarse de cualquier incumplimiento detectado por el INSTITUTO en el ejercicio de sus facultades de supervisión y verificación, por lo que de resultar procedente iniciará los procedimientos sancionatorios o emitirá las sanciones que pudieran devenir con motivo de la supervisión y/o verificación correspondiente por extemporaneidades en el cumplimiento de dichas obligaciones. </w:t>
      </w:r>
    </w:p>
    <w:p w:rsidR="00634773" w:rsidRPr="00634773" w:rsidRDefault="00005228" w:rsidP="00634773">
      <w:pPr>
        <w:spacing w:before="240"/>
        <w:ind w:left="177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r w:rsidR="00F3480B" w:rsidRPr="00634773">
        <w:rPr>
          <w:rFonts w:ascii="ITC Avant Garde" w:hAnsi="ITC Avant Garde"/>
          <w:bCs/>
          <w:color w:val="000000"/>
          <w:sz w:val="18"/>
          <w:szCs w:val="18"/>
          <w:lang w:eastAsia="es-MX"/>
        </w:rPr>
        <w:t>.</w:t>
      </w:r>
    </w:p>
    <w:p w:rsidR="00634773" w:rsidRPr="00634773" w:rsidRDefault="00AE05D2" w:rsidP="00634773">
      <w:pPr>
        <w:autoSpaceDE w:val="0"/>
        <w:autoSpaceDN w:val="0"/>
        <w:spacing w:before="240" w:line="240" w:lineRule="auto"/>
        <w:jc w:val="both"/>
        <w:rPr>
          <w:rFonts w:ascii="ITC Avant Garde" w:hAnsi="ITC Avant Garde"/>
        </w:rPr>
      </w:pPr>
      <w:r w:rsidRPr="00634773">
        <w:rPr>
          <w:rFonts w:ascii="ITC Avant Garde" w:hAnsi="ITC Avant Garde"/>
        </w:rPr>
        <w:t xml:space="preserve">Como consecuencia del dictamen emitido al efecto </w:t>
      </w:r>
      <w:r w:rsidR="0004727D" w:rsidRPr="00634773">
        <w:rPr>
          <w:rFonts w:ascii="ITC Avant Garde" w:hAnsi="ITC Avant Garde"/>
        </w:rPr>
        <w:t xml:space="preserve">por la Unidad de Cumplimiento, </w:t>
      </w:r>
      <w:r w:rsidR="003014AB" w:rsidRPr="00634773">
        <w:rPr>
          <w:rFonts w:ascii="ITC Avant Garde" w:hAnsi="ITC Avant Garde"/>
        </w:rPr>
        <w:t xml:space="preserve">puede concluirse que Telmex se encuentra al corriente en el cumplimiento de </w:t>
      </w:r>
      <w:r w:rsidR="00CB5FB4" w:rsidRPr="00634773">
        <w:rPr>
          <w:rFonts w:ascii="ITC Avant Garde" w:hAnsi="ITC Avant Garde"/>
        </w:rPr>
        <w:t>las</w:t>
      </w:r>
      <w:r w:rsidR="00E8298A" w:rsidRPr="00634773">
        <w:rPr>
          <w:rFonts w:ascii="ITC Avant Garde" w:hAnsi="ITC Avant Garde"/>
        </w:rPr>
        <w:t xml:space="preserve"> </w:t>
      </w:r>
      <w:r w:rsidR="003014AB" w:rsidRPr="00634773">
        <w:rPr>
          <w:rFonts w:ascii="ITC Avant Garde" w:hAnsi="ITC Avant Garde"/>
        </w:rPr>
        <w:t>obligaciones</w:t>
      </w:r>
      <w:r w:rsidR="00211674" w:rsidRPr="00634773">
        <w:rPr>
          <w:rFonts w:ascii="ITC Avant Garde" w:hAnsi="ITC Avant Garde"/>
        </w:rPr>
        <w:t xml:space="preserve"> que le son aplicables en términos del dictamen referido</w:t>
      </w:r>
      <w:r w:rsidRPr="00634773">
        <w:rPr>
          <w:rFonts w:ascii="ITC Avant Garde" w:hAnsi="ITC Avant Garde"/>
        </w:rPr>
        <w:t>,</w:t>
      </w:r>
      <w:r w:rsidR="003014AB" w:rsidRPr="00634773">
        <w:rPr>
          <w:rFonts w:ascii="ITC Avant Garde" w:hAnsi="ITC Avant Garde"/>
        </w:rPr>
        <w:t xml:space="preserve"> </w:t>
      </w:r>
      <w:r w:rsidR="00E8298A" w:rsidRPr="00634773">
        <w:rPr>
          <w:rFonts w:ascii="ITC Avant Garde" w:hAnsi="ITC Avant Garde"/>
        </w:rPr>
        <w:t>para efectos</w:t>
      </w:r>
      <w:r w:rsidR="003014AB" w:rsidRPr="00634773">
        <w:rPr>
          <w:rFonts w:ascii="ITC Avant Garde" w:hAnsi="ITC Avant Garde"/>
        </w:rPr>
        <w:t xml:space="preserve"> </w:t>
      </w:r>
      <w:r w:rsidRPr="00634773">
        <w:rPr>
          <w:rFonts w:ascii="ITC Avant Garde" w:hAnsi="ITC Avant Garde"/>
        </w:rPr>
        <w:t xml:space="preserve">del análisis y evaluación de la </w:t>
      </w:r>
      <w:r w:rsidR="003014AB" w:rsidRPr="00634773">
        <w:rPr>
          <w:rFonts w:ascii="ITC Avant Garde" w:hAnsi="ITC Avant Garde"/>
        </w:rPr>
        <w:t>Solicitud de Prórroga.</w:t>
      </w:r>
    </w:p>
    <w:p w:rsidR="00634773" w:rsidRPr="00634773" w:rsidRDefault="003014AB"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 xml:space="preserve">Respecto al tercer requisito de procedencia </w:t>
      </w:r>
      <w:r w:rsidR="00B30334" w:rsidRPr="00634773">
        <w:rPr>
          <w:rFonts w:ascii="ITC Avant Garde" w:hAnsi="ITC Avant Garde"/>
          <w:bCs/>
        </w:rPr>
        <w:t xml:space="preserve">contenido </w:t>
      </w:r>
      <w:r w:rsidRPr="00634773">
        <w:rPr>
          <w:rFonts w:ascii="ITC Avant Garde" w:hAnsi="ITC Avant Garde"/>
          <w:bCs/>
        </w:rPr>
        <w:t xml:space="preserve">en la Ley, </w:t>
      </w:r>
      <w:r w:rsidR="00B30334" w:rsidRPr="00634773">
        <w:rPr>
          <w:rFonts w:ascii="ITC Avant Garde" w:hAnsi="ITC Avant Garde"/>
          <w:bCs/>
        </w:rPr>
        <w:t xml:space="preserve">relativo a que Telmex acepte previamente las nuevas condiciones que en su caso se le establezcan, se señala que el mismo se perfecciona con posterioridad al momento en que el Instituto haya emitido el pronunciamiento correspondiente a la Solicitud de Prórroga. En este sentido, </w:t>
      </w:r>
      <w:r w:rsidR="00097B1B" w:rsidRPr="00634773">
        <w:rPr>
          <w:rFonts w:ascii="ITC Avant Garde" w:hAnsi="ITC Avant Garde"/>
          <w:bCs/>
        </w:rPr>
        <w:t>mediante oficio IFT/227/UAJ/163/2016 de fecha 25 de octubre de 2016, y</w:t>
      </w:r>
      <w:r w:rsidR="00AE05D2" w:rsidRPr="00634773">
        <w:rPr>
          <w:rFonts w:ascii="ITC Avant Garde" w:hAnsi="ITC Avant Garde"/>
          <w:bCs/>
        </w:rPr>
        <w:t xml:space="preserve"> </w:t>
      </w:r>
      <w:r w:rsidR="00562F94" w:rsidRPr="00634773">
        <w:rPr>
          <w:rFonts w:ascii="ITC Avant Garde" w:hAnsi="ITC Avant Garde"/>
          <w:bCs/>
        </w:rPr>
        <w:t xml:space="preserve">en atención a la petición </w:t>
      </w:r>
      <w:r w:rsidR="00AE05D2" w:rsidRPr="00634773">
        <w:rPr>
          <w:rFonts w:ascii="ITC Avant Garde" w:hAnsi="ITC Avant Garde"/>
          <w:bCs/>
        </w:rPr>
        <w:t xml:space="preserve">que le fue </w:t>
      </w:r>
      <w:r w:rsidR="00097B1B" w:rsidRPr="00634773">
        <w:rPr>
          <w:rFonts w:ascii="ITC Avant Garde" w:hAnsi="ITC Avant Garde"/>
          <w:bCs/>
        </w:rPr>
        <w:t>formulada por la Unidad de Concesiones y Servicios, la Unidad de Asuntos Jurídicos del Instituto señaló, entre otros aspectos, lo siguiente:</w:t>
      </w:r>
    </w:p>
    <w:p w:rsidR="00634773" w:rsidRPr="00634773" w:rsidRDefault="00097B1B" w:rsidP="00634773">
      <w:pPr>
        <w:pStyle w:val="Prrafodelista"/>
        <w:spacing w:before="240" w:after="200"/>
        <w:ind w:left="177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p>
    <w:p w:rsidR="00634773" w:rsidRPr="00634773" w:rsidRDefault="00097B1B" w:rsidP="00634773">
      <w:pPr>
        <w:pStyle w:val="Prrafodelista"/>
        <w:spacing w:before="240" w:after="200"/>
        <w:ind w:left="177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 xml:space="preserve">Por lo que hace al requisito relativo a que el concesionario deberá aceptar las nuevas condiciones que en su caso establezca el Instituto, esta Unidad considera ocioso establecer nueva carga regulatoria al solicitante como </w:t>
      </w:r>
      <w:r w:rsidRPr="00634773">
        <w:rPr>
          <w:rFonts w:ascii="ITC Avant Garde" w:hAnsi="ITC Avant Garde"/>
          <w:bCs/>
          <w:color w:val="000000"/>
          <w:sz w:val="18"/>
          <w:szCs w:val="18"/>
          <w:lang w:eastAsia="es-MX"/>
        </w:rPr>
        <w:lastRenderedPageBreak/>
        <w:t xml:space="preserve">resultado del trámite del prórroga, en virtud de que las concesiones con la que operan Telmex […] perderán su vigencia hasta el año 2026. Esto es, inicialmente </w:t>
      </w:r>
      <w:r w:rsidRPr="00634773">
        <w:rPr>
          <w:rFonts w:ascii="ITC Avant Garde" w:hAnsi="ITC Avant Garde"/>
          <w:bCs/>
          <w:color w:val="000000"/>
          <w:sz w:val="18"/>
          <w:szCs w:val="18"/>
          <w:u w:val="single"/>
          <w:lang w:eastAsia="es-MX"/>
        </w:rPr>
        <w:t>Telmex […] deberán continuar prestando los servicios concesionados en los términos y condiciones actuales por 10 años más.</w:t>
      </w:r>
      <w:r w:rsidRPr="00634773">
        <w:rPr>
          <w:rFonts w:ascii="ITC Avant Garde" w:hAnsi="ITC Avant Garde"/>
          <w:bCs/>
          <w:color w:val="000000"/>
          <w:sz w:val="18"/>
          <w:szCs w:val="18"/>
          <w:lang w:eastAsia="es-MX"/>
        </w:rPr>
        <w:t xml:space="preserve"> </w:t>
      </w:r>
    </w:p>
    <w:p w:rsidR="00634773" w:rsidRPr="00634773" w:rsidRDefault="00097B1B" w:rsidP="00634773">
      <w:pPr>
        <w:pStyle w:val="Prrafodelista"/>
        <w:spacing w:before="240" w:after="200"/>
        <w:ind w:left="1776" w:right="615"/>
        <w:jc w:val="both"/>
        <w:rPr>
          <w:rFonts w:ascii="ITC Avant Garde" w:hAnsi="ITC Avant Garde"/>
          <w:bCs/>
          <w:color w:val="000000"/>
          <w:sz w:val="18"/>
          <w:szCs w:val="18"/>
          <w:u w:val="single"/>
          <w:lang w:eastAsia="es-MX"/>
        </w:rPr>
      </w:pPr>
      <w:r w:rsidRPr="00634773">
        <w:rPr>
          <w:rFonts w:ascii="ITC Avant Garde" w:hAnsi="ITC Avant Garde"/>
          <w:bCs/>
          <w:color w:val="000000"/>
          <w:sz w:val="18"/>
          <w:szCs w:val="18"/>
          <w:u w:val="single"/>
          <w:lang w:eastAsia="es-MX"/>
        </w:rPr>
        <w:t xml:space="preserve">En resumen, de establecer una carga regulatoria en este momento se estaría aplicando el marco jurídico actual a un servicio cuya prestación iniciará en 10 años. </w:t>
      </w:r>
    </w:p>
    <w:p w:rsidR="00634773" w:rsidRPr="00634773" w:rsidRDefault="00CD5C7D" w:rsidP="00634773">
      <w:pPr>
        <w:pStyle w:val="Prrafodelista"/>
        <w:spacing w:before="240" w:after="200"/>
        <w:ind w:left="177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El argumento anterior se robustece si se considera que actualmente Telmex […] se encuentra</w:t>
      </w:r>
      <w:r w:rsidR="00CC6B52" w:rsidRPr="00634773">
        <w:rPr>
          <w:rFonts w:ascii="ITC Avant Garde" w:hAnsi="ITC Avant Garde"/>
          <w:bCs/>
          <w:color w:val="000000"/>
          <w:sz w:val="18"/>
          <w:szCs w:val="18"/>
          <w:lang w:eastAsia="es-MX"/>
        </w:rPr>
        <w:t>n</w:t>
      </w:r>
      <w:r w:rsidRPr="00634773">
        <w:rPr>
          <w:rFonts w:ascii="ITC Avant Garde" w:hAnsi="ITC Avant Garde"/>
          <w:bCs/>
          <w:color w:val="000000"/>
          <w:sz w:val="18"/>
          <w:szCs w:val="18"/>
          <w:lang w:eastAsia="es-MX"/>
        </w:rPr>
        <w:t xml:space="preserve"> sujeto</w:t>
      </w:r>
      <w:r w:rsidR="00CC6B52" w:rsidRPr="00634773">
        <w:rPr>
          <w:rFonts w:ascii="ITC Avant Garde" w:hAnsi="ITC Avant Garde"/>
          <w:bCs/>
          <w:color w:val="000000"/>
          <w:sz w:val="18"/>
          <w:szCs w:val="18"/>
          <w:lang w:eastAsia="es-MX"/>
        </w:rPr>
        <w:t>s</w:t>
      </w:r>
      <w:r w:rsidRPr="00634773">
        <w:rPr>
          <w:rFonts w:ascii="ITC Avant Garde" w:hAnsi="ITC Avant Garde"/>
          <w:bCs/>
          <w:color w:val="000000"/>
          <w:sz w:val="18"/>
          <w:szCs w:val="18"/>
          <w:lang w:eastAsia="es-MX"/>
        </w:rPr>
        <w:t xml:space="preserve"> a una regulación asimétrica derivada de su condición de AEP (revisable cada dos años),</w:t>
      </w:r>
      <w:r w:rsidR="00CC6B52" w:rsidRPr="00634773">
        <w:rPr>
          <w:rFonts w:ascii="ITC Avant Garde" w:hAnsi="ITC Avant Garde"/>
          <w:bCs/>
          <w:color w:val="000000"/>
          <w:sz w:val="18"/>
          <w:szCs w:val="18"/>
          <w:lang w:eastAsia="es-MX"/>
        </w:rPr>
        <w:t xml:space="preserve"> misma que tiene como</w:t>
      </w:r>
      <w:r w:rsidRPr="00634773">
        <w:rPr>
          <w:rFonts w:ascii="ITC Avant Garde" w:hAnsi="ITC Avant Garde"/>
          <w:bCs/>
          <w:color w:val="000000"/>
          <w:sz w:val="18"/>
          <w:szCs w:val="18"/>
          <w:lang w:eastAsia="es-MX"/>
        </w:rPr>
        <w:t xml:space="preserve"> objeto eliminar eficazmente las barreras a la competencia y la libre concurrencia, circunstancia que permite afirmar que a la fecha la carga regulatoria de Telmex […] hace innecesaria la inclusión de nuevas condiciones en su</w:t>
      </w:r>
      <w:r w:rsidR="00427590" w:rsidRPr="00634773">
        <w:rPr>
          <w:rFonts w:ascii="ITC Avant Garde" w:hAnsi="ITC Avant Garde"/>
          <w:bCs/>
          <w:color w:val="000000"/>
          <w:sz w:val="18"/>
          <w:szCs w:val="18"/>
          <w:lang w:eastAsia="es-MX"/>
        </w:rPr>
        <w:t>s</w:t>
      </w:r>
      <w:r w:rsidRPr="00634773">
        <w:rPr>
          <w:rFonts w:ascii="ITC Avant Garde" w:hAnsi="ITC Avant Garde"/>
          <w:bCs/>
          <w:color w:val="000000"/>
          <w:sz w:val="18"/>
          <w:szCs w:val="18"/>
          <w:lang w:eastAsia="es-MX"/>
        </w:rPr>
        <w:t xml:space="preserve"> t</w:t>
      </w:r>
      <w:r w:rsidR="00427590" w:rsidRPr="00634773">
        <w:rPr>
          <w:rFonts w:ascii="ITC Avant Garde" w:hAnsi="ITC Avant Garde"/>
          <w:bCs/>
          <w:color w:val="000000"/>
          <w:sz w:val="18"/>
          <w:szCs w:val="18"/>
          <w:lang w:eastAsia="es-MX"/>
        </w:rPr>
        <w:t xml:space="preserve">ítulos </w:t>
      </w:r>
      <w:r w:rsidRPr="00634773">
        <w:rPr>
          <w:rFonts w:ascii="ITC Avant Garde" w:hAnsi="ITC Avant Garde"/>
          <w:bCs/>
          <w:color w:val="000000"/>
          <w:sz w:val="18"/>
          <w:szCs w:val="18"/>
          <w:lang w:eastAsia="es-MX"/>
        </w:rPr>
        <w:t xml:space="preserve">de concesión, al perseguir la misma finalidad. </w:t>
      </w:r>
    </w:p>
    <w:p w:rsidR="00634773" w:rsidRPr="00634773" w:rsidRDefault="00CD5C7D" w:rsidP="00634773">
      <w:pPr>
        <w:pStyle w:val="Prrafodelista"/>
        <w:spacing w:before="240" w:after="200"/>
        <w:ind w:left="177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 xml:space="preserve">Por otra parte, considerando la imposibilidad jurídica que tienen Telmex […] en su calidad de AEP para acceder a un título de concesión única, así como las características específicas de este trámite, se estima que conforme a lo dispuesto en la LFTR el Instituto podrá pronunciarse únicamente respecto del otorgamiento de la prórroga de las concesiones y su vigencia sin que sea necesario que en el mismo acto se otorgue un nuevo título de concesión con nuevas condiciones. </w:t>
      </w:r>
    </w:p>
    <w:p w:rsidR="00634773" w:rsidRPr="00634773" w:rsidRDefault="00CD5C7D" w:rsidP="00634773">
      <w:pPr>
        <w:pStyle w:val="Prrafodelista"/>
        <w:spacing w:before="240" w:after="200"/>
        <w:ind w:left="177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 xml:space="preserve">Esto es, la determinación que se emita podrá establecer, en su caso, que la entrega del nuevo título de concesión se realizará en una fecha futura y previa al inicio de vigencia de la prórroga, lo cual permitirá a la autoridad competente establecer las condiciones que resulten procedentes a la fecha de su emisión, conforme al marco regulatorio vigente en ese momento. </w:t>
      </w:r>
      <w:r w:rsidR="009D2D0D" w:rsidRPr="00634773">
        <w:rPr>
          <w:rFonts w:ascii="ITC Avant Garde" w:hAnsi="ITC Avant Garde"/>
          <w:bCs/>
          <w:color w:val="000000"/>
          <w:sz w:val="18"/>
          <w:szCs w:val="18"/>
          <w:lang w:eastAsia="es-MX"/>
        </w:rPr>
        <w:t>[…]</w:t>
      </w:r>
    </w:p>
    <w:p w:rsidR="00634773" w:rsidRPr="00634773" w:rsidRDefault="00CD5C7D" w:rsidP="00634773">
      <w:pPr>
        <w:pStyle w:val="Prrafodelista"/>
        <w:spacing w:before="240" w:after="200"/>
        <w:ind w:left="1776" w:right="61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 xml:space="preserve">Para tal efecto y </w:t>
      </w:r>
      <w:r w:rsidR="00497107" w:rsidRPr="00634773">
        <w:rPr>
          <w:rFonts w:ascii="ITC Avant Garde" w:hAnsi="ITC Avant Garde"/>
          <w:bCs/>
          <w:color w:val="000000"/>
          <w:sz w:val="18"/>
          <w:szCs w:val="18"/>
          <w:lang w:eastAsia="es-MX"/>
        </w:rPr>
        <w:t>con el objeto de cumplir con lo</w:t>
      </w:r>
      <w:r w:rsidRPr="00634773">
        <w:rPr>
          <w:rFonts w:ascii="ITC Avant Garde" w:hAnsi="ITC Avant Garde"/>
          <w:bCs/>
          <w:color w:val="000000"/>
          <w:sz w:val="18"/>
          <w:szCs w:val="18"/>
          <w:lang w:eastAsia="es-MX"/>
        </w:rPr>
        <w:t xml:space="preserve"> dispuesto en el artículo 113 de la LFTR en el sentido de que el concesionario ‘acepte, previamente, </w:t>
      </w:r>
      <w:r w:rsidR="00497107" w:rsidRPr="00634773">
        <w:rPr>
          <w:rFonts w:ascii="ITC Avant Garde" w:hAnsi="ITC Avant Garde"/>
          <w:bCs/>
          <w:color w:val="000000"/>
          <w:sz w:val="18"/>
          <w:szCs w:val="18"/>
          <w:lang w:eastAsia="es-MX"/>
        </w:rPr>
        <w:t xml:space="preserve">las nuevas condiciones que, en su caso, se establezcan’, se estima jurídicamente procedente que la resolución establezca que para que ésta surta sus efectos, Telmex […] deberán manifestar por escrito su aceptación en un plazo determinado, en el sentido de que el título de concesión correspondiente les será entregado antes de concluir la vigencia original de cada una de sus concesiones y </w:t>
      </w:r>
      <w:r w:rsidR="00427590" w:rsidRPr="00634773">
        <w:rPr>
          <w:rFonts w:ascii="ITC Avant Garde" w:hAnsi="ITC Avant Garde"/>
          <w:bCs/>
          <w:color w:val="000000"/>
          <w:sz w:val="18"/>
          <w:szCs w:val="18"/>
          <w:lang w:eastAsia="es-MX"/>
        </w:rPr>
        <w:t xml:space="preserve">que </w:t>
      </w:r>
      <w:r w:rsidR="00497107" w:rsidRPr="00634773">
        <w:rPr>
          <w:rFonts w:ascii="ITC Avant Garde" w:hAnsi="ITC Avant Garde"/>
          <w:bCs/>
          <w:color w:val="000000"/>
          <w:sz w:val="18"/>
          <w:szCs w:val="18"/>
          <w:lang w:eastAsia="es-MX"/>
        </w:rPr>
        <w:t>el mismo contendrá como ya se dijo, las obligaciones que sean acordes con el marco jurídico que resulte aplicable en e</w:t>
      </w:r>
      <w:r w:rsidR="00CC6B52" w:rsidRPr="00634773">
        <w:rPr>
          <w:rFonts w:ascii="ITC Avant Garde" w:hAnsi="ITC Avant Garde"/>
          <w:bCs/>
          <w:color w:val="000000"/>
          <w:sz w:val="18"/>
          <w:szCs w:val="18"/>
          <w:lang w:eastAsia="es-MX"/>
        </w:rPr>
        <w:t>se momento.</w:t>
      </w:r>
    </w:p>
    <w:p w:rsidR="00634773" w:rsidRPr="00634773" w:rsidRDefault="00DF79CB" w:rsidP="00634773">
      <w:pPr>
        <w:autoSpaceDE w:val="0"/>
        <w:autoSpaceDN w:val="0"/>
        <w:adjustRightInd w:val="0"/>
        <w:spacing w:before="240" w:line="240" w:lineRule="auto"/>
        <w:ind w:left="1709" w:right="757" w:firstLine="67"/>
        <w:jc w:val="both"/>
        <w:rPr>
          <w:rFonts w:ascii="ITC Avant Garde" w:hAnsi="ITC Avant Garde"/>
          <w:bCs/>
          <w:sz w:val="18"/>
          <w:szCs w:val="18"/>
        </w:rPr>
      </w:pPr>
      <w:r w:rsidRPr="00634773">
        <w:rPr>
          <w:rFonts w:ascii="ITC Avant Garde" w:hAnsi="ITC Avant Garde"/>
          <w:bCs/>
          <w:sz w:val="18"/>
          <w:szCs w:val="18"/>
        </w:rPr>
        <w:t>[…]”</w:t>
      </w:r>
      <w:r w:rsidR="009D2D0D" w:rsidRPr="00634773">
        <w:rPr>
          <w:rFonts w:ascii="ITC Avant Garde" w:hAnsi="ITC Avant Garde"/>
          <w:bCs/>
          <w:sz w:val="18"/>
          <w:szCs w:val="18"/>
        </w:rPr>
        <w:t>.</w:t>
      </w:r>
    </w:p>
    <w:p w:rsidR="00F86C61" w:rsidRPr="00634773" w:rsidRDefault="00E77F1B"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Derivado de lo anterior y considerando</w:t>
      </w:r>
      <w:r w:rsidR="00E372DD" w:rsidRPr="00634773">
        <w:rPr>
          <w:rFonts w:ascii="ITC Avant Garde" w:hAnsi="ITC Avant Garde"/>
          <w:bCs/>
        </w:rPr>
        <w:t xml:space="preserve"> que a la fecha de la presente Resolución</w:t>
      </w:r>
      <w:r w:rsidRPr="00634773">
        <w:rPr>
          <w:rFonts w:ascii="ITC Avant Garde" w:hAnsi="ITC Avant Garde"/>
          <w:bCs/>
        </w:rPr>
        <w:t xml:space="preserve">: (i) la Concesión aún cuenta con una vigencia de </w:t>
      </w:r>
      <w:r w:rsidR="009E75DA" w:rsidRPr="00634773">
        <w:rPr>
          <w:rFonts w:ascii="ITC Avant Garde" w:hAnsi="ITC Avant Garde"/>
          <w:bCs/>
        </w:rPr>
        <w:t>aproximadamente</w:t>
      </w:r>
      <w:r w:rsidR="00AA19CC" w:rsidRPr="00634773">
        <w:rPr>
          <w:rFonts w:ascii="ITC Avant Garde" w:hAnsi="ITC Avant Garde"/>
          <w:bCs/>
        </w:rPr>
        <w:t xml:space="preserve"> 10 (diez) años y (ii) que otorgar un título de concesión habilitante en este momento -mismo que</w:t>
      </w:r>
      <w:r w:rsidR="00C77543" w:rsidRPr="00634773">
        <w:rPr>
          <w:rFonts w:ascii="ITC Avant Garde" w:hAnsi="ITC Avant Garde"/>
          <w:bCs/>
        </w:rPr>
        <w:t xml:space="preserve"> entraría en vigor </w:t>
      </w:r>
      <w:r w:rsidR="009E75DA" w:rsidRPr="00634773">
        <w:rPr>
          <w:rFonts w:ascii="ITC Avant Garde" w:hAnsi="ITC Avant Garde"/>
          <w:bCs/>
        </w:rPr>
        <w:t>hasta el 11 de marzo de 2026-</w:t>
      </w:r>
      <w:r w:rsidR="00403621" w:rsidRPr="00634773">
        <w:rPr>
          <w:rFonts w:ascii="ITC Avant Garde" w:hAnsi="ITC Avant Garde"/>
          <w:bCs/>
        </w:rPr>
        <w:t>,</w:t>
      </w:r>
      <w:r w:rsidR="00AA19CC" w:rsidRPr="00634773">
        <w:rPr>
          <w:rFonts w:ascii="ITC Avant Garde" w:hAnsi="ITC Avant Garde"/>
          <w:bCs/>
        </w:rPr>
        <w:t xml:space="preserve"> no consideraría el dinamismo del sector de las telecomunicaciones y las características específicas </w:t>
      </w:r>
      <w:r w:rsidR="002713EE" w:rsidRPr="00634773">
        <w:rPr>
          <w:rFonts w:ascii="ITC Avant Garde" w:hAnsi="ITC Avant Garde"/>
          <w:bCs/>
        </w:rPr>
        <w:t xml:space="preserve">de operación y funcionamiento </w:t>
      </w:r>
      <w:r w:rsidR="00AA19CC" w:rsidRPr="00634773">
        <w:rPr>
          <w:rFonts w:ascii="ITC Avant Garde" w:hAnsi="ITC Avant Garde"/>
          <w:bCs/>
        </w:rPr>
        <w:t>que presenta</w:t>
      </w:r>
      <w:r w:rsidR="00DA4A62" w:rsidRPr="00634773">
        <w:rPr>
          <w:rFonts w:ascii="ITC Avant Garde" w:hAnsi="ITC Avant Garde"/>
          <w:bCs/>
        </w:rPr>
        <w:t>ría</w:t>
      </w:r>
      <w:r w:rsidR="00AA19CC" w:rsidRPr="00634773">
        <w:rPr>
          <w:rFonts w:ascii="ITC Avant Garde" w:hAnsi="ITC Avant Garde"/>
          <w:bCs/>
        </w:rPr>
        <w:t xml:space="preserve"> Telmex</w:t>
      </w:r>
      <w:r w:rsidR="009D2D0D" w:rsidRPr="00634773">
        <w:rPr>
          <w:rFonts w:ascii="ITC Avant Garde" w:hAnsi="ITC Avant Garde"/>
          <w:bCs/>
        </w:rPr>
        <w:t xml:space="preserve"> en esa fecha</w:t>
      </w:r>
      <w:r w:rsidR="00AA19CC" w:rsidRPr="00634773">
        <w:rPr>
          <w:rFonts w:ascii="ITC Avant Garde" w:hAnsi="ITC Avant Garde"/>
          <w:bCs/>
        </w:rPr>
        <w:t xml:space="preserve">, </w:t>
      </w:r>
      <w:r w:rsidR="00DA4A62" w:rsidRPr="00634773">
        <w:rPr>
          <w:rFonts w:ascii="ITC Avant Garde" w:hAnsi="ITC Avant Garde"/>
          <w:bCs/>
        </w:rPr>
        <w:t xml:space="preserve">ya fuera </w:t>
      </w:r>
      <w:r w:rsidR="00AA19CC" w:rsidRPr="00634773">
        <w:rPr>
          <w:rFonts w:ascii="ITC Avant Garde" w:hAnsi="ITC Avant Garde"/>
          <w:bCs/>
        </w:rPr>
        <w:t xml:space="preserve">como parte del </w:t>
      </w:r>
      <w:r w:rsidR="009D2D0D" w:rsidRPr="00634773">
        <w:rPr>
          <w:rFonts w:ascii="ITC Avant Garde" w:hAnsi="ITC Avant Garde"/>
          <w:bCs/>
        </w:rPr>
        <w:lastRenderedPageBreak/>
        <w:t>A</w:t>
      </w:r>
      <w:r w:rsidR="00AA19CC" w:rsidRPr="00634773">
        <w:rPr>
          <w:rFonts w:ascii="ITC Avant Garde" w:hAnsi="ITC Avant Garde"/>
          <w:bCs/>
        </w:rPr>
        <w:t xml:space="preserve">gente </w:t>
      </w:r>
      <w:r w:rsidR="009D2D0D" w:rsidRPr="00634773">
        <w:rPr>
          <w:rFonts w:ascii="ITC Avant Garde" w:hAnsi="ITC Avant Garde"/>
          <w:bCs/>
        </w:rPr>
        <w:t>E</w:t>
      </w:r>
      <w:r w:rsidR="00AA19CC" w:rsidRPr="00634773">
        <w:rPr>
          <w:rFonts w:ascii="ITC Avant Garde" w:hAnsi="ITC Avant Garde"/>
          <w:bCs/>
        </w:rPr>
        <w:t xml:space="preserve">conómico </w:t>
      </w:r>
      <w:r w:rsidR="009D2D0D" w:rsidRPr="00634773">
        <w:rPr>
          <w:rFonts w:ascii="ITC Avant Garde" w:hAnsi="ITC Avant Garde"/>
          <w:bCs/>
        </w:rPr>
        <w:t>P</w:t>
      </w:r>
      <w:r w:rsidR="00AA19CC" w:rsidRPr="00634773">
        <w:rPr>
          <w:rFonts w:ascii="ITC Avant Garde" w:hAnsi="ITC Avant Garde"/>
          <w:bCs/>
        </w:rPr>
        <w:t>reponderante</w:t>
      </w:r>
      <w:r w:rsidR="00DA4A62" w:rsidRPr="00634773">
        <w:rPr>
          <w:rFonts w:ascii="ITC Avant Garde" w:hAnsi="ITC Avant Garde"/>
          <w:bCs/>
        </w:rPr>
        <w:t xml:space="preserve"> o, incluso, sin la existencia de regulación asimétrica</w:t>
      </w:r>
      <w:r w:rsidR="002713EE" w:rsidRPr="00634773">
        <w:rPr>
          <w:rFonts w:ascii="ITC Avant Garde" w:hAnsi="ITC Avant Garde"/>
          <w:bCs/>
        </w:rPr>
        <w:t xml:space="preserve"> alguna</w:t>
      </w:r>
      <w:r w:rsidR="00AA19CC" w:rsidRPr="00634773">
        <w:rPr>
          <w:rFonts w:ascii="ITC Avant Garde" w:hAnsi="ITC Avant Garde"/>
          <w:bCs/>
        </w:rPr>
        <w:t xml:space="preserve">, este Pleno no </w:t>
      </w:r>
      <w:r w:rsidR="002713EE" w:rsidRPr="00634773">
        <w:rPr>
          <w:rFonts w:ascii="ITC Avant Garde" w:hAnsi="ITC Avant Garde"/>
          <w:bCs/>
        </w:rPr>
        <w:t xml:space="preserve">estima </w:t>
      </w:r>
      <w:r w:rsidR="00403829" w:rsidRPr="00634773">
        <w:rPr>
          <w:rFonts w:ascii="ITC Avant Garde" w:hAnsi="ITC Avant Garde"/>
          <w:bCs/>
        </w:rPr>
        <w:t>conveniente</w:t>
      </w:r>
      <w:r w:rsidR="00AA19CC" w:rsidRPr="00634773">
        <w:rPr>
          <w:rFonts w:ascii="ITC Avant Garde" w:hAnsi="ITC Avant Garde"/>
          <w:bCs/>
        </w:rPr>
        <w:t xml:space="preserve"> </w:t>
      </w:r>
      <w:r w:rsidR="00D51EBD" w:rsidRPr="00634773">
        <w:rPr>
          <w:rFonts w:ascii="ITC Avant Garde" w:hAnsi="ITC Avant Garde"/>
          <w:bCs/>
        </w:rPr>
        <w:t>otorga</w:t>
      </w:r>
      <w:r w:rsidR="00E54E96" w:rsidRPr="00634773">
        <w:rPr>
          <w:rFonts w:ascii="ITC Avant Garde" w:hAnsi="ITC Avant Garde"/>
          <w:bCs/>
        </w:rPr>
        <w:t>r</w:t>
      </w:r>
      <w:r w:rsidR="00D51EBD" w:rsidRPr="00634773">
        <w:rPr>
          <w:rFonts w:ascii="ITC Avant Garde" w:hAnsi="ITC Avant Garde"/>
          <w:bCs/>
        </w:rPr>
        <w:t xml:space="preserve"> </w:t>
      </w:r>
      <w:r w:rsidR="00AA19CC" w:rsidRPr="00634773">
        <w:rPr>
          <w:rFonts w:ascii="ITC Avant Garde" w:hAnsi="ITC Avant Garde"/>
          <w:bCs/>
        </w:rPr>
        <w:t>en este momento</w:t>
      </w:r>
      <w:r w:rsidR="00D51EBD" w:rsidRPr="00634773">
        <w:rPr>
          <w:rFonts w:ascii="ITC Avant Garde" w:hAnsi="ITC Avant Garde"/>
          <w:bCs/>
        </w:rPr>
        <w:t xml:space="preserve"> </w:t>
      </w:r>
      <w:r w:rsidR="00AA19CC" w:rsidRPr="00634773">
        <w:rPr>
          <w:rFonts w:ascii="ITC Avant Garde" w:hAnsi="ITC Avant Garde"/>
          <w:bCs/>
        </w:rPr>
        <w:t>un título de concesi</w:t>
      </w:r>
      <w:r w:rsidR="00F86C61" w:rsidRPr="00634773">
        <w:rPr>
          <w:rFonts w:ascii="ITC Avant Garde" w:hAnsi="ITC Avant Garde"/>
          <w:bCs/>
        </w:rPr>
        <w:t>ón habilitante a Telmex</w:t>
      </w:r>
      <w:r w:rsidR="00403829" w:rsidRPr="00634773">
        <w:rPr>
          <w:rFonts w:ascii="ITC Avant Garde" w:hAnsi="ITC Avant Garde"/>
          <w:bCs/>
        </w:rPr>
        <w:t>, por lo que se pronuncia únicamente respecto de la procedencia de la prórroga</w:t>
      </w:r>
      <w:r w:rsidR="009D2D0D" w:rsidRPr="00634773">
        <w:rPr>
          <w:rFonts w:ascii="ITC Avant Garde" w:hAnsi="ITC Avant Garde"/>
          <w:bCs/>
        </w:rPr>
        <w:t xml:space="preserve"> de la Concesión</w:t>
      </w:r>
      <w:r w:rsidR="00403829" w:rsidRPr="00634773">
        <w:rPr>
          <w:rFonts w:ascii="ITC Avant Garde" w:hAnsi="ITC Avant Garde"/>
          <w:bCs/>
        </w:rPr>
        <w:t xml:space="preserve"> y su vigencia</w:t>
      </w:r>
      <w:r w:rsidR="00302BA8" w:rsidRPr="00634773">
        <w:rPr>
          <w:rFonts w:ascii="ITC Avant Garde" w:hAnsi="ITC Avant Garde"/>
          <w:bCs/>
        </w:rPr>
        <w:t xml:space="preserve">, </w:t>
      </w:r>
      <w:r w:rsidR="00E372DD" w:rsidRPr="00634773">
        <w:rPr>
          <w:rFonts w:ascii="ITC Avant Garde" w:hAnsi="ITC Avant Garde"/>
          <w:bCs/>
        </w:rPr>
        <w:t xml:space="preserve">determinando un plazo específico </w:t>
      </w:r>
      <w:r w:rsidR="00EB1F03" w:rsidRPr="00634773">
        <w:rPr>
          <w:rFonts w:ascii="ITC Avant Garde" w:hAnsi="ITC Avant Garde"/>
          <w:bCs/>
        </w:rPr>
        <w:t xml:space="preserve">para </w:t>
      </w:r>
      <w:r w:rsidR="002713EE" w:rsidRPr="00634773">
        <w:rPr>
          <w:rFonts w:ascii="ITC Avant Garde" w:hAnsi="ITC Avant Garde"/>
          <w:bCs/>
        </w:rPr>
        <w:t xml:space="preserve">que Telmex acepte las nuevas condiciones que en su oportunidad se le establezcan a efecto de </w:t>
      </w:r>
      <w:r w:rsidR="00EB1F03" w:rsidRPr="00634773">
        <w:rPr>
          <w:rFonts w:ascii="ITC Avant Garde" w:hAnsi="ITC Avant Garde"/>
          <w:bCs/>
        </w:rPr>
        <w:t>otorgar</w:t>
      </w:r>
      <w:r w:rsidR="002713EE" w:rsidRPr="00634773">
        <w:rPr>
          <w:rFonts w:ascii="ITC Avant Garde" w:hAnsi="ITC Avant Garde"/>
          <w:bCs/>
        </w:rPr>
        <w:t xml:space="preserve">, en su </w:t>
      </w:r>
      <w:r w:rsidR="009D2D0D" w:rsidRPr="00634773">
        <w:rPr>
          <w:rFonts w:ascii="ITC Avant Garde" w:hAnsi="ITC Avant Garde"/>
          <w:bCs/>
        </w:rPr>
        <w:t>momento</w:t>
      </w:r>
      <w:r w:rsidR="002713EE" w:rsidRPr="00634773">
        <w:rPr>
          <w:rFonts w:ascii="ITC Avant Garde" w:hAnsi="ITC Avant Garde"/>
          <w:bCs/>
        </w:rPr>
        <w:t>,</w:t>
      </w:r>
      <w:r w:rsidR="00EB1F03" w:rsidRPr="00634773">
        <w:rPr>
          <w:rFonts w:ascii="ITC Avant Garde" w:hAnsi="ITC Avant Garde"/>
          <w:bCs/>
        </w:rPr>
        <w:t xml:space="preserve"> el título de concesión habilitante </w:t>
      </w:r>
      <w:r w:rsidR="002713EE" w:rsidRPr="00634773">
        <w:rPr>
          <w:rFonts w:ascii="ITC Avant Garde" w:hAnsi="ITC Avant Garde"/>
          <w:bCs/>
        </w:rPr>
        <w:t xml:space="preserve">que resulte procedente en términos de la normatividad aplicable. </w:t>
      </w:r>
    </w:p>
    <w:p w:rsidR="00634773" w:rsidRPr="00634773" w:rsidRDefault="009E75DA"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A</w:t>
      </w:r>
      <w:r w:rsidR="002713EE" w:rsidRPr="00634773">
        <w:rPr>
          <w:rFonts w:ascii="ITC Avant Garde" w:hAnsi="ITC Avant Garde"/>
          <w:bCs/>
        </w:rPr>
        <w:t xml:space="preserve">simismo, es de resaltar </w:t>
      </w:r>
      <w:r w:rsidRPr="00634773">
        <w:rPr>
          <w:rFonts w:ascii="ITC Avant Garde" w:hAnsi="ITC Avant Garde"/>
          <w:bCs/>
        </w:rPr>
        <w:t xml:space="preserve">que la Concesión objeto de la Solicitud de Prórroga cuenta </w:t>
      </w:r>
      <w:r w:rsidR="007942CE" w:rsidRPr="00634773">
        <w:rPr>
          <w:rFonts w:ascii="ITC Avant Garde" w:hAnsi="ITC Avant Garde"/>
          <w:bCs/>
        </w:rPr>
        <w:t xml:space="preserve">con </w:t>
      </w:r>
      <w:r w:rsidRPr="00634773">
        <w:rPr>
          <w:rFonts w:ascii="ITC Avant Garde" w:hAnsi="ITC Avant Garde"/>
          <w:bCs/>
        </w:rPr>
        <w:t xml:space="preserve">la vigencia más amplia en el sector de </w:t>
      </w:r>
      <w:r w:rsidR="00BF467A" w:rsidRPr="00634773">
        <w:rPr>
          <w:rFonts w:ascii="ITC Avant Garde" w:hAnsi="ITC Avant Garde"/>
          <w:bCs/>
        </w:rPr>
        <w:t xml:space="preserve">las </w:t>
      </w:r>
      <w:r w:rsidRPr="00634773">
        <w:rPr>
          <w:rFonts w:ascii="ITC Avant Garde" w:hAnsi="ITC Avant Garde"/>
          <w:bCs/>
        </w:rPr>
        <w:t xml:space="preserve">telecomunicaciones </w:t>
      </w:r>
      <w:r w:rsidR="00BF467A" w:rsidRPr="00634773">
        <w:rPr>
          <w:rFonts w:ascii="ITC Avant Garde" w:hAnsi="ITC Avant Garde"/>
          <w:bCs/>
        </w:rPr>
        <w:t xml:space="preserve">en nuestro país. </w:t>
      </w:r>
      <w:r w:rsidR="00864008" w:rsidRPr="00634773">
        <w:rPr>
          <w:rFonts w:ascii="ITC Avant Garde" w:hAnsi="ITC Avant Garde"/>
          <w:bCs/>
        </w:rPr>
        <w:t>Al efecto, s</w:t>
      </w:r>
      <w:r w:rsidRPr="00634773">
        <w:rPr>
          <w:rFonts w:ascii="ITC Avant Garde" w:hAnsi="ITC Avant Garde"/>
          <w:bCs/>
        </w:rPr>
        <w:t xml:space="preserve">i bien </w:t>
      </w:r>
      <w:r w:rsidR="00864008" w:rsidRPr="00634773">
        <w:rPr>
          <w:rFonts w:ascii="ITC Avant Garde" w:hAnsi="ITC Avant Garde"/>
          <w:bCs/>
        </w:rPr>
        <w:t xml:space="preserve">es cierto que </w:t>
      </w:r>
      <w:r w:rsidR="00BF467A" w:rsidRPr="00634773">
        <w:rPr>
          <w:rFonts w:ascii="ITC Avant Garde" w:hAnsi="ITC Avant Garde"/>
          <w:bCs/>
        </w:rPr>
        <w:t xml:space="preserve">en otros casos </w:t>
      </w:r>
      <w:r w:rsidR="007942CE" w:rsidRPr="00634773">
        <w:rPr>
          <w:rFonts w:ascii="ITC Avant Garde" w:hAnsi="ITC Avant Garde"/>
          <w:bCs/>
        </w:rPr>
        <w:t xml:space="preserve">en que el Instituto ha emitido pronunciamiento respecto de </w:t>
      </w:r>
      <w:r w:rsidR="00BF467A" w:rsidRPr="00634773">
        <w:rPr>
          <w:rFonts w:ascii="ITC Avant Garde" w:hAnsi="ITC Avant Garde"/>
          <w:bCs/>
        </w:rPr>
        <w:t>solicitudes de prórroga de vigencia</w:t>
      </w:r>
      <w:r w:rsidR="007942CE" w:rsidRPr="00634773">
        <w:rPr>
          <w:rFonts w:ascii="ITC Avant Garde" w:hAnsi="ITC Avant Garde"/>
          <w:bCs/>
        </w:rPr>
        <w:t xml:space="preserve"> de concesiones, ya sea en materia de telecomunicaciones como de radiodifusión</w:t>
      </w:r>
      <w:r w:rsidR="00BF467A" w:rsidRPr="00634773">
        <w:rPr>
          <w:rFonts w:ascii="ITC Avant Garde" w:hAnsi="ITC Avant Garde"/>
          <w:bCs/>
        </w:rPr>
        <w:t xml:space="preserve">, </w:t>
      </w:r>
      <w:r w:rsidR="007942CE" w:rsidRPr="00634773">
        <w:rPr>
          <w:rFonts w:ascii="ITC Avant Garde" w:hAnsi="ITC Avant Garde"/>
          <w:bCs/>
        </w:rPr>
        <w:t xml:space="preserve">ha resuelto </w:t>
      </w:r>
      <w:r w:rsidR="00864008" w:rsidRPr="00634773">
        <w:rPr>
          <w:rFonts w:ascii="ITC Avant Garde" w:hAnsi="ITC Avant Garde"/>
          <w:bCs/>
        </w:rPr>
        <w:t xml:space="preserve">de igual forma </w:t>
      </w:r>
      <w:r w:rsidR="00BF467A" w:rsidRPr="00634773">
        <w:rPr>
          <w:rFonts w:ascii="ITC Avant Garde" w:hAnsi="ITC Avant Garde"/>
          <w:bCs/>
        </w:rPr>
        <w:t>da</w:t>
      </w:r>
      <w:r w:rsidR="007942CE" w:rsidRPr="00634773">
        <w:rPr>
          <w:rFonts w:ascii="ITC Avant Garde" w:hAnsi="ITC Avant Garde"/>
          <w:bCs/>
        </w:rPr>
        <w:t>r</w:t>
      </w:r>
      <w:r w:rsidR="00BF467A" w:rsidRPr="00634773">
        <w:rPr>
          <w:rFonts w:ascii="ITC Avant Garde" w:hAnsi="ITC Avant Garde"/>
          <w:bCs/>
        </w:rPr>
        <w:t xml:space="preserve"> a conocer a los </w:t>
      </w:r>
      <w:r w:rsidR="007942CE" w:rsidRPr="00634773">
        <w:rPr>
          <w:rFonts w:ascii="ITC Avant Garde" w:hAnsi="ITC Avant Garde"/>
          <w:bCs/>
        </w:rPr>
        <w:t xml:space="preserve">interesados </w:t>
      </w:r>
      <w:r w:rsidR="00BF467A" w:rsidRPr="00634773">
        <w:rPr>
          <w:rFonts w:ascii="ITC Avant Garde" w:hAnsi="ITC Avant Garde"/>
          <w:bCs/>
        </w:rPr>
        <w:t xml:space="preserve">las nuevas condiciones </w:t>
      </w:r>
      <w:r w:rsidR="007942CE" w:rsidRPr="00634773">
        <w:rPr>
          <w:rFonts w:ascii="ITC Avant Garde" w:hAnsi="ITC Avant Garde"/>
          <w:bCs/>
        </w:rPr>
        <w:t xml:space="preserve">técnico-regulatorias que regirán la operación y prestación de servicios respectivos, </w:t>
      </w:r>
      <w:r w:rsidR="00864008" w:rsidRPr="00634773">
        <w:rPr>
          <w:rFonts w:ascii="ITC Avant Garde" w:hAnsi="ITC Avant Garde"/>
          <w:bCs/>
        </w:rPr>
        <w:t>también lo es que</w:t>
      </w:r>
      <w:r w:rsidR="00FC5F2F" w:rsidRPr="00634773">
        <w:rPr>
          <w:rFonts w:ascii="ITC Avant Garde" w:hAnsi="ITC Avant Garde"/>
          <w:bCs/>
        </w:rPr>
        <w:t xml:space="preserve"> en estos casos l</w:t>
      </w:r>
      <w:r w:rsidR="00BF467A" w:rsidRPr="00634773">
        <w:rPr>
          <w:rFonts w:ascii="ITC Avant Garde" w:hAnsi="ITC Avant Garde"/>
          <w:bCs/>
        </w:rPr>
        <w:t>as condiciones entran</w:t>
      </w:r>
      <w:r w:rsidR="00B06101" w:rsidRPr="00634773">
        <w:rPr>
          <w:rFonts w:ascii="ITC Avant Garde" w:hAnsi="ITC Avant Garde"/>
          <w:bCs/>
        </w:rPr>
        <w:t xml:space="preserve"> en vigor en un plazo </w:t>
      </w:r>
      <w:r w:rsidR="00BF467A" w:rsidRPr="00634773">
        <w:rPr>
          <w:rFonts w:ascii="ITC Avant Garde" w:hAnsi="ITC Avant Garde"/>
          <w:bCs/>
        </w:rPr>
        <w:t xml:space="preserve">casi inmediato, situación que no acontecería en el </w:t>
      </w:r>
      <w:r w:rsidR="00FC5F2F" w:rsidRPr="00634773">
        <w:rPr>
          <w:rFonts w:ascii="ITC Avant Garde" w:hAnsi="ITC Avant Garde"/>
          <w:bCs/>
        </w:rPr>
        <w:t>asunto</w:t>
      </w:r>
      <w:r w:rsidR="00BF467A" w:rsidRPr="00634773">
        <w:rPr>
          <w:rFonts w:ascii="ITC Avant Garde" w:hAnsi="ITC Avant Garde"/>
          <w:bCs/>
        </w:rPr>
        <w:t xml:space="preserve"> que nos ocupa. </w:t>
      </w:r>
    </w:p>
    <w:p w:rsidR="00634773" w:rsidRPr="00634773" w:rsidRDefault="007942CE"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 xml:space="preserve">Así, el plazo tan amplio de vigencia que le resta a la Concesión, genera una complejidad insalvable para la identificación y consecuente establecimiento inmediato de nuevas condiciones </w:t>
      </w:r>
      <w:r w:rsidR="00BF467A" w:rsidRPr="00634773">
        <w:rPr>
          <w:rFonts w:ascii="ITC Avant Garde" w:hAnsi="ITC Avant Garde"/>
          <w:bCs/>
        </w:rPr>
        <w:t xml:space="preserve">a Telmex, </w:t>
      </w:r>
      <w:r w:rsidRPr="00634773">
        <w:rPr>
          <w:rFonts w:ascii="ITC Avant Garde" w:hAnsi="ITC Avant Garde"/>
          <w:bCs/>
        </w:rPr>
        <w:t xml:space="preserve">ya que en este momento </w:t>
      </w:r>
      <w:r w:rsidR="00BF467A" w:rsidRPr="00634773">
        <w:rPr>
          <w:rFonts w:ascii="ITC Avant Garde" w:hAnsi="ITC Avant Garde"/>
          <w:bCs/>
        </w:rPr>
        <w:t xml:space="preserve">el Instituto </w:t>
      </w:r>
      <w:r w:rsidRPr="00634773">
        <w:rPr>
          <w:rFonts w:ascii="ITC Avant Garde" w:hAnsi="ITC Avant Garde"/>
          <w:bCs/>
        </w:rPr>
        <w:t xml:space="preserve">carece </w:t>
      </w:r>
      <w:r w:rsidR="00BF467A" w:rsidRPr="00634773">
        <w:rPr>
          <w:rFonts w:ascii="ITC Avant Garde" w:hAnsi="ITC Avant Garde"/>
          <w:bCs/>
        </w:rPr>
        <w:t xml:space="preserve">de información </w:t>
      </w:r>
      <w:r w:rsidR="00864008" w:rsidRPr="00634773">
        <w:rPr>
          <w:rFonts w:ascii="ITC Avant Garde" w:hAnsi="ITC Avant Garde"/>
          <w:bCs/>
        </w:rPr>
        <w:t xml:space="preserve">suficiente </w:t>
      </w:r>
      <w:r w:rsidR="00BF467A" w:rsidRPr="00634773">
        <w:rPr>
          <w:rFonts w:ascii="ITC Avant Garde" w:hAnsi="ITC Avant Garde"/>
          <w:bCs/>
        </w:rPr>
        <w:t xml:space="preserve">para determinar las condiciones adecuadas </w:t>
      </w:r>
      <w:r w:rsidRPr="00634773">
        <w:rPr>
          <w:rFonts w:ascii="ITC Avant Garde" w:hAnsi="ITC Avant Garde"/>
          <w:bCs/>
        </w:rPr>
        <w:t xml:space="preserve">que entrarían en vigor y serían aplicables hasta la total conclusión de la vigencia original de la Concesión, </w:t>
      </w:r>
      <w:r w:rsidR="00864008" w:rsidRPr="00634773">
        <w:rPr>
          <w:rFonts w:ascii="ITC Avant Garde" w:hAnsi="ITC Avant Garde"/>
          <w:bCs/>
        </w:rPr>
        <w:t xml:space="preserve">además de </w:t>
      </w:r>
      <w:r w:rsidR="00BF467A" w:rsidRPr="00634773">
        <w:rPr>
          <w:rFonts w:ascii="ITC Avant Garde" w:hAnsi="ITC Avant Garde"/>
          <w:bCs/>
        </w:rPr>
        <w:t xml:space="preserve">que el </w:t>
      </w:r>
      <w:r w:rsidRPr="00634773">
        <w:rPr>
          <w:rFonts w:ascii="ITC Avant Garde" w:hAnsi="ITC Avant Garde"/>
          <w:bCs/>
        </w:rPr>
        <w:t xml:space="preserve">propio concesionario </w:t>
      </w:r>
      <w:r w:rsidR="00BF467A" w:rsidRPr="00634773">
        <w:rPr>
          <w:rFonts w:ascii="ITC Avant Garde" w:hAnsi="ITC Avant Garde"/>
          <w:bCs/>
        </w:rPr>
        <w:t>pudiera ver</w:t>
      </w:r>
      <w:r w:rsidRPr="00634773">
        <w:rPr>
          <w:rFonts w:ascii="ITC Avant Garde" w:hAnsi="ITC Avant Garde"/>
          <w:bCs/>
        </w:rPr>
        <w:t>se</w:t>
      </w:r>
      <w:r w:rsidR="00BF467A" w:rsidRPr="00634773">
        <w:rPr>
          <w:rFonts w:ascii="ITC Avant Garde" w:hAnsi="ITC Avant Garde"/>
          <w:bCs/>
        </w:rPr>
        <w:t xml:space="preserve"> afectado al quedar </w:t>
      </w:r>
      <w:r w:rsidR="00B06101" w:rsidRPr="00634773">
        <w:rPr>
          <w:rFonts w:ascii="ITC Avant Garde" w:hAnsi="ITC Avant Garde"/>
          <w:bCs/>
        </w:rPr>
        <w:t>vinculado</w:t>
      </w:r>
      <w:r w:rsidR="00BF467A" w:rsidRPr="00634773">
        <w:rPr>
          <w:rFonts w:ascii="ITC Avant Garde" w:hAnsi="ITC Avant Garde"/>
          <w:bCs/>
        </w:rPr>
        <w:t xml:space="preserve"> a condiciones que</w:t>
      </w:r>
      <w:r w:rsidR="00864008" w:rsidRPr="00634773">
        <w:rPr>
          <w:rFonts w:ascii="ITC Avant Garde" w:hAnsi="ITC Avant Garde"/>
          <w:bCs/>
        </w:rPr>
        <w:t>,</w:t>
      </w:r>
      <w:r w:rsidR="00BF467A" w:rsidRPr="00634773">
        <w:rPr>
          <w:rFonts w:ascii="ITC Avant Garde" w:hAnsi="ITC Avant Garde"/>
          <w:bCs/>
        </w:rPr>
        <w:t xml:space="preserve"> en el año 2026</w:t>
      </w:r>
      <w:r w:rsidR="00864008" w:rsidRPr="00634773">
        <w:rPr>
          <w:rFonts w:ascii="ITC Avant Garde" w:hAnsi="ITC Avant Garde"/>
          <w:bCs/>
        </w:rPr>
        <w:t>,</w:t>
      </w:r>
      <w:r w:rsidR="00BF467A" w:rsidRPr="00634773">
        <w:rPr>
          <w:rFonts w:ascii="ITC Avant Garde" w:hAnsi="ITC Avant Garde"/>
          <w:bCs/>
        </w:rPr>
        <w:t xml:space="preserve"> pudieran </w:t>
      </w:r>
      <w:r w:rsidR="00864008" w:rsidRPr="00634773">
        <w:rPr>
          <w:rFonts w:ascii="ITC Avant Garde" w:hAnsi="ITC Avant Garde"/>
          <w:bCs/>
        </w:rPr>
        <w:t xml:space="preserve">no </w:t>
      </w:r>
      <w:r w:rsidR="00BF467A" w:rsidRPr="00634773">
        <w:rPr>
          <w:rFonts w:ascii="ITC Avant Garde" w:hAnsi="ITC Avant Garde"/>
          <w:bCs/>
        </w:rPr>
        <w:t xml:space="preserve">resultar pertinentes y adecuadas para </w:t>
      </w:r>
      <w:r w:rsidRPr="00634773">
        <w:rPr>
          <w:rFonts w:ascii="ITC Avant Garde" w:hAnsi="ITC Avant Garde"/>
          <w:bCs/>
        </w:rPr>
        <w:t xml:space="preserve">la </w:t>
      </w:r>
      <w:r w:rsidR="00BF467A" w:rsidRPr="00634773">
        <w:rPr>
          <w:rFonts w:ascii="ITC Avant Garde" w:hAnsi="ITC Avant Garde"/>
          <w:bCs/>
        </w:rPr>
        <w:t>opera</w:t>
      </w:r>
      <w:r w:rsidRPr="00634773">
        <w:rPr>
          <w:rFonts w:ascii="ITC Avant Garde" w:hAnsi="ITC Avant Garde"/>
          <w:bCs/>
        </w:rPr>
        <w:t xml:space="preserve">ción y prestación de los servicios de telecomunicaciones </w:t>
      </w:r>
      <w:r w:rsidR="00864008" w:rsidRPr="00634773">
        <w:rPr>
          <w:rFonts w:ascii="ITC Avant Garde" w:hAnsi="ITC Avant Garde"/>
          <w:bCs/>
        </w:rPr>
        <w:t xml:space="preserve">que a la fecha Telmex está facultado a ofrecer. </w:t>
      </w:r>
      <w:r w:rsidR="001E6FC2" w:rsidRPr="00634773">
        <w:rPr>
          <w:rFonts w:ascii="ITC Avant Garde" w:hAnsi="ITC Avant Garde"/>
          <w:bCs/>
        </w:rPr>
        <w:t xml:space="preserve"> </w:t>
      </w:r>
    </w:p>
    <w:p w:rsidR="00634773" w:rsidRPr="00634773" w:rsidRDefault="005C6326"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Por ello, se conside</w:t>
      </w:r>
      <w:r w:rsidR="000A646F" w:rsidRPr="00634773">
        <w:rPr>
          <w:rFonts w:ascii="ITC Avant Garde" w:hAnsi="ITC Avant Garde"/>
          <w:bCs/>
        </w:rPr>
        <w:t xml:space="preserve">ra que para que </w:t>
      </w:r>
      <w:r w:rsidRPr="00634773">
        <w:rPr>
          <w:rFonts w:ascii="ITC Avant Garde" w:hAnsi="ITC Avant Garde"/>
          <w:bCs/>
        </w:rPr>
        <w:t xml:space="preserve">el Instituto </w:t>
      </w:r>
      <w:r w:rsidR="00DB3C77" w:rsidRPr="00634773">
        <w:rPr>
          <w:rFonts w:ascii="ITC Avant Garde" w:hAnsi="ITC Avant Garde"/>
          <w:bCs/>
        </w:rPr>
        <w:t xml:space="preserve">pueda </w:t>
      </w:r>
      <w:r w:rsidR="00FC5F2F" w:rsidRPr="00634773">
        <w:rPr>
          <w:rFonts w:ascii="ITC Avant Garde" w:hAnsi="ITC Avant Garde"/>
          <w:bCs/>
        </w:rPr>
        <w:t xml:space="preserve">identificar las nuevas condiciones </w:t>
      </w:r>
      <w:r w:rsidR="009572DB" w:rsidRPr="00634773">
        <w:rPr>
          <w:rFonts w:ascii="ITC Avant Garde" w:hAnsi="ITC Avant Garde"/>
          <w:bCs/>
        </w:rPr>
        <w:t>que se someterán</w:t>
      </w:r>
      <w:r w:rsidR="00DB3C77" w:rsidRPr="00634773">
        <w:rPr>
          <w:rFonts w:ascii="ITC Avant Garde" w:hAnsi="ITC Avant Garde"/>
          <w:bCs/>
        </w:rPr>
        <w:t xml:space="preserve"> a la aceptación de Telmex</w:t>
      </w:r>
      <w:r w:rsidR="00F1796C" w:rsidRPr="00634773">
        <w:rPr>
          <w:rFonts w:ascii="ITC Avant Garde" w:hAnsi="ITC Avant Garde"/>
          <w:bCs/>
        </w:rPr>
        <w:t>,</w:t>
      </w:r>
      <w:r w:rsidR="00DB3C77" w:rsidRPr="00634773">
        <w:rPr>
          <w:rFonts w:ascii="ITC Avant Garde" w:hAnsi="ITC Avant Garde"/>
          <w:bCs/>
        </w:rPr>
        <w:t xml:space="preserve"> y </w:t>
      </w:r>
      <w:r w:rsidR="000A646F" w:rsidRPr="00634773">
        <w:rPr>
          <w:rFonts w:ascii="ITC Avant Garde" w:hAnsi="ITC Avant Garde"/>
          <w:bCs/>
        </w:rPr>
        <w:t>que le permita</w:t>
      </w:r>
      <w:r w:rsidR="009572DB" w:rsidRPr="00634773">
        <w:rPr>
          <w:rFonts w:ascii="ITC Avant Garde" w:hAnsi="ITC Avant Garde"/>
          <w:bCs/>
        </w:rPr>
        <w:t>n</w:t>
      </w:r>
      <w:r w:rsidR="000A646F" w:rsidRPr="00634773">
        <w:rPr>
          <w:rFonts w:ascii="ITC Avant Garde" w:hAnsi="ITC Avant Garde"/>
          <w:bCs/>
        </w:rPr>
        <w:t xml:space="preserve"> a </w:t>
      </w:r>
      <w:r w:rsidR="00DB3C77" w:rsidRPr="00634773">
        <w:rPr>
          <w:rFonts w:ascii="ITC Avant Garde" w:hAnsi="ITC Avant Garde"/>
          <w:bCs/>
        </w:rPr>
        <w:t>dicha concesionaria</w:t>
      </w:r>
      <w:r w:rsidR="000A646F" w:rsidRPr="00634773">
        <w:rPr>
          <w:rFonts w:ascii="ITC Avant Garde" w:hAnsi="ITC Avant Garde"/>
          <w:bCs/>
        </w:rPr>
        <w:t xml:space="preserve"> continuar operando en el sector de </w:t>
      </w:r>
      <w:r w:rsidR="00FC5F2F" w:rsidRPr="00634773">
        <w:rPr>
          <w:rFonts w:ascii="ITC Avant Garde" w:hAnsi="ITC Avant Garde"/>
          <w:bCs/>
        </w:rPr>
        <w:t xml:space="preserve">las telecomunicaciones </w:t>
      </w:r>
      <w:r w:rsidR="000A646F" w:rsidRPr="00634773">
        <w:rPr>
          <w:rFonts w:ascii="ITC Avant Garde" w:hAnsi="ITC Avant Garde"/>
          <w:bCs/>
        </w:rPr>
        <w:t>de manera eficiente y bajo condiciones que no afecten la competencia y la l</w:t>
      </w:r>
      <w:r w:rsidR="00DB3C77" w:rsidRPr="00634773">
        <w:rPr>
          <w:rFonts w:ascii="ITC Avant Garde" w:hAnsi="ITC Avant Garde"/>
          <w:bCs/>
        </w:rPr>
        <w:t>ibre concurrencia, es necesario que se cuente con información adecuada y pertinente</w:t>
      </w:r>
      <w:r w:rsidR="001073D6" w:rsidRPr="00634773">
        <w:rPr>
          <w:rFonts w:ascii="ITC Avant Garde" w:hAnsi="ITC Avant Garde"/>
          <w:bCs/>
        </w:rPr>
        <w:t xml:space="preserve"> respecto al comportamiento de los factores exógenos y endógenos que predominan comúnmente en el sector de las telecomunicaciones, como por ejemplo: considerar el avance tecnológico de las redes de telecomunicaciones, la creación de nuevos servicios entre las diferentes plataformas tecnológicas, así </w:t>
      </w:r>
      <w:r w:rsidR="000566FC" w:rsidRPr="00634773">
        <w:rPr>
          <w:rFonts w:ascii="ITC Avant Garde" w:hAnsi="ITC Avant Garde"/>
          <w:bCs/>
        </w:rPr>
        <w:t xml:space="preserve">como </w:t>
      </w:r>
      <w:r w:rsidR="001073D6" w:rsidRPr="00634773">
        <w:rPr>
          <w:rFonts w:ascii="ITC Avant Garde" w:hAnsi="ITC Avant Garde"/>
          <w:bCs/>
        </w:rPr>
        <w:t xml:space="preserve">la entrada de nuevos participantes en el sector. </w:t>
      </w:r>
    </w:p>
    <w:p w:rsidR="00634773" w:rsidRPr="00634773" w:rsidRDefault="002D651A"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 xml:space="preserve">Por lo anterior, se considera adecuado que este Instituto someta a la aceptación de Telmex, durante el primer trimestre calendario del año 2023, las nuevas condiciones que resulten pertinentes y que estarán incluidas en el proyecto de título de concesión respectivo -cuya vigencia comenzará a partir del 11 de marzo de </w:t>
      </w:r>
      <w:r w:rsidRPr="00634773">
        <w:rPr>
          <w:rFonts w:ascii="ITC Avant Garde" w:hAnsi="ITC Avant Garde"/>
          <w:bCs/>
        </w:rPr>
        <w:lastRenderedPageBreak/>
        <w:t xml:space="preserve">2026-, </w:t>
      </w:r>
      <w:r w:rsidR="00CA25C6" w:rsidRPr="00634773">
        <w:rPr>
          <w:rFonts w:ascii="ITC Avant Garde" w:hAnsi="ITC Avant Garde"/>
          <w:bCs/>
        </w:rPr>
        <w:t>toda vez</w:t>
      </w:r>
      <w:r w:rsidRPr="00634773">
        <w:rPr>
          <w:rFonts w:ascii="ITC Avant Garde" w:hAnsi="ITC Avant Garde"/>
          <w:bCs/>
        </w:rPr>
        <w:t xml:space="preserve"> que ese plazo resulta suficiente para que el Instituto cuente con mayor información para establecer las nuevas condiciones del título correspondiente, así como para que Telmex y las autoridades competentes adopten y ejecuten las acciones pertinentes para el caso en que dicha empresa concesionaria no acepte las condiciones que al efecto se le establezcan. </w:t>
      </w:r>
      <w:r w:rsidR="00697F1F" w:rsidRPr="00634773">
        <w:rPr>
          <w:rFonts w:ascii="ITC Avant Garde" w:hAnsi="ITC Avant Garde"/>
          <w:bCs/>
        </w:rPr>
        <w:t xml:space="preserve">De </w:t>
      </w:r>
      <w:r w:rsidR="00587FDE" w:rsidRPr="00634773">
        <w:rPr>
          <w:rFonts w:ascii="ITC Avant Garde" w:hAnsi="ITC Avant Garde"/>
          <w:bCs/>
        </w:rPr>
        <w:t xml:space="preserve">lo anterior, se concluye que </w:t>
      </w:r>
      <w:r w:rsidR="00697F1F" w:rsidRPr="00634773">
        <w:rPr>
          <w:rFonts w:ascii="ITC Avant Garde" w:hAnsi="ITC Avant Garde"/>
          <w:bCs/>
        </w:rPr>
        <w:t xml:space="preserve">la </w:t>
      </w:r>
      <w:r w:rsidR="001E451D" w:rsidRPr="00634773">
        <w:rPr>
          <w:rFonts w:ascii="ITC Avant Garde" w:hAnsi="ITC Avant Garde"/>
          <w:bCs/>
        </w:rPr>
        <w:t xml:space="preserve">autoridad </w:t>
      </w:r>
      <w:r w:rsidR="00697F1F" w:rsidRPr="00634773">
        <w:rPr>
          <w:rFonts w:ascii="ITC Avant Garde" w:hAnsi="ITC Avant Garde"/>
          <w:bCs/>
        </w:rPr>
        <w:t xml:space="preserve">podrá </w:t>
      </w:r>
      <w:r w:rsidR="00864008" w:rsidRPr="00634773">
        <w:rPr>
          <w:rFonts w:ascii="ITC Avant Garde" w:hAnsi="ITC Avant Garde"/>
          <w:bCs/>
        </w:rPr>
        <w:t xml:space="preserve">contar con </w:t>
      </w:r>
      <w:r w:rsidR="001E451D" w:rsidRPr="00634773">
        <w:rPr>
          <w:rFonts w:ascii="ITC Avant Garde" w:hAnsi="ITC Avant Garde"/>
          <w:bCs/>
        </w:rPr>
        <w:t>información oportuna</w:t>
      </w:r>
      <w:r w:rsidR="00864008" w:rsidRPr="00634773">
        <w:rPr>
          <w:rFonts w:ascii="ITC Avant Garde" w:hAnsi="ITC Avant Garde"/>
          <w:bCs/>
        </w:rPr>
        <w:t>,</w:t>
      </w:r>
      <w:r w:rsidR="001E451D" w:rsidRPr="00634773">
        <w:rPr>
          <w:rFonts w:ascii="ITC Avant Garde" w:hAnsi="ITC Avant Garde"/>
          <w:bCs/>
        </w:rPr>
        <w:t xml:space="preserve"> veraz</w:t>
      </w:r>
      <w:r w:rsidR="00864008" w:rsidRPr="00634773">
        <w:rPr>
          <w:rFonts w:ascii="ITC Avant Garde" w:hAnsi="ITC Avant Garde"/>
          <w:bCs/>
        </w:rPr>
        <w:t xml:space="preserve"> y completa</w:t>
      </w:r>
      <w:r w:rsidR="001E451D" w:rsidRPr="00634773">
        <w:rPr>
          <w:rFonts w:ascii="ITC Avant Garde" w:hAnsi="ITC Avant Garde"/>
          <w:bCs/>
        </w:rPr>
        <w:t xml:space="preserve"> sobre las condiciones que prevalezcan en el sector de las telecomunicaciones en el país en ese momento</w:t>
      </w:r>
      <w:r w:rsidR="00697F1F" w:rsidRPr="00634773">
        <w:rPr>
          <w:rFonts w:ascii="ITC Avant Garde" w:hAnsi="ITC Avant Garde"/>
          <w:bCs/>
        </w:rPr>
        <w:t>, situación que de igual forma l</w:t>
      </w:r>
      <w:r w:rsidR="00BF467A" w:rsidRPr="00634773">
        <w:rPr>
          <w:rFonts w:ascii="ITC Avant Garde" w:hAnsi="ITC Avant Garde"/>
          <w:bCs/>
        </w:rPr>
        <w:t xml:space="preserve">e proporcionará a Telmex un marco de operación </w:t>
      </w:r>
      <w:r w:rsidR="00E8298A" w:rsidRPr="00634773">
        <w:rPr>
          <w:rFonts w:ascii="ITC Avant Garde" w:hAnsi="ITC Avant Garde"/>
          <w:bCs/>
        </w:rPr>
        <w:t>apropiado</w:t>
      </w:r>
      <w:r w:rsidR="00BF467A" w:rsidRPr="00634773">
        <w:rPr>
          <w:rFonts w:ascii="ITC Avant Garde" w:hAnsi="ITC Avant Garde"/>
          <w:bCs/>
        </w:rPr>
        <w:t xml:space="preserve"> a las condiciones tecnológicas, regulatorias y de mercado que </w:t>
      </w:r>
      <w:r w:rsidR="00697F1F" w:rsidRPr="00634773">
        <w:rPr>
          <w:rFonts w:ascii="ITC Avant Garde" w:hAnsi="ITC Avant Garde"/>
          <w:bCs/>
        </w:rPr>
        <w:t xml:space="preserve">en su oportunidad </w:t>
      </w:r>
      <w:r w:rsidR="00BF467A" w:rsidRPr="00634773">
        <w:rPr>
          <w:rFonts w:ascii="ITC Avant Garde" w:hAnsi="ITC Avant Garde"/>
          <w:bCs/>
        </w:rPr>
        <w:t>prevalezcan</w:t>
      </w:r>
      <w:r w:rsidR="00697F1F" w:rsidRPr="00634773">
        <w:rPr>
          <w:rFonts w:ascii="ITC Avant Garde" w:hAnsi="ITC Avant Garde"/>
          <w:bCs/>
        </w:rPr>
        <w:t>.</w:t>
      </w:r>
    </w:p>
    <w:p w:rsidR="00634773" w:rsidRPr="00634773" w:rsidRDefault="002D651A"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 xml:space="preserve">En ese sentido, es dable conceder la prórroga de vigencia solicitada, sujetando los efectos de la presente Resolución a que Telmex manifieste por escrito su aceptación a las </w:t>
      </w:r>
      <w:r w:rsidR="00B56FA2" w:rsidRPr="00634773">
        <w:rPr>
          <w:rFonts w:ascii="ITC Avant Garde" w:hAnsi="ITC Avant Garde"/>
          <w:bCs/>
        </w:rPr>
        <w:t xml:space="preserve">siguientes </w:t>
      </w:r>
      <w:r w:rsidRPr="00634773">
        <w:rPr>
          <w:rFonts w:ascii="ITC Avant Garde" w:hAnsi="ITC Avant Garde"/>
          <w:bCs/>
        </w:rPr>
        <w:t>condiciones</w:t>
      </w:r>
      <w:r w:rsidR="00B56FA2" w:rsidRPr="00634773">
        <w:rPr>
          <w:rFonts w:ascii="ITC Avant Garde" w:hAnsi="ITC Avant Garde"/>
          <w:bCs/>
        </w:rPr>
        <w:t>:</w:t>
      </w:r>
    </w:p>
    <w:p w:rsidR="00FC5F2F" w:rsidRPr="00634773" w:rsidRDefault="00FC5F2F" w:rsidP="00634773">
      <w:pPr>
        <w:pStyle w:val="Prrafodelista"/>
        <w:numPr>
          <w:ilvl w:val="0"/>
          <w:numId w:val="22"/>
        </w:numPr>
        <w:autoSpaceDE w:val="0"/>
        <w:autoSpaceDN w:val="0"/>
        <w:adjustRightInd w:val="0"/>
        <w:spacing w:before="240" w:after="200"/>
        <w:ind w:left="1134" w:right="615"/>
        <w:jc w:val="both"/>
        <w:rPr>
          <w:rFonts w:ascii="ITC Avant Garde" w:hAnsi="ITC Avant Garde"/>
          <w:bCs/>
          <w:sz w:val="22"/>
          <w:szCs w:val="22"/>
        </w:rPr>
      </w:pPr>
      <w:r w:rsidRPr="00634773">
        <w:rPr>
          <w:rFonts w:ascii="ITC Avant Garde" w:hAnsi="ITC Avant Garde"/>
          <w:bCs/>
          <w:sz w:val="22"/>
          <w:szCs w:val="22"/>
        </w:rPr>
        <w:t>Que el Instituto le notificará el proyecto de título de concesión habilitante para la prestación de los servicios respectivos dentro del primer trimestre calendario del año 2023, de conformidad con la normatividad vigente en ese momento, y</w:t>
      </w:r>
    </w:p>
    <w:p w:rsidR="00634773" w:rsidRPr="00634773" w:rsidRDefault="00FC5F2F" w:rsidP="00634773">
      <w:pPr>
        <w:pStyle w:val="Prrafodelista"/>
        <w:numPr>
          <w:ilvl w:val="0"/>
          <w:numId w:val="22"/>
        </w:numPr>
        <w:autoSpaceDE w:val="0"/>
        <w:autoSpaceDN w:val="0"/>
        <w:adjustRightInd w:val="0"/>
        <w:spacing w:before="240" w:after="200"/>
        <w:ind w:left="1134" w:right="615"/>
        <w:jc w:val="both"/>
        <w:rPr>
          <w:rFonts w:ascii="ITC Avant Garde" w:hAnsi="ITC Avant Garde"/>
          <w:bCs/>
          <w:sz w:val="22"/>
          <w:szCs w:val="22"/>
        </w:rPr>
      </w:pPr>
      <w:r w:rsidRPr="00634773">
        <w:rPr>
          <w:rFonts w:ascii="ITC Avant Garde" w:hAnsi="ITC Avant Garde"/>
          <w:bCs/>
          <w:sz w:val="22"/>
          <w:szCs w:val="22"/>
        </w:rPr>
        <w:t>Que en un plazo de 30 (treinta) días hábiles contados a partir de la notificación del proyecto de título de concesión señalado en el inciso a) anterior, Telmex deberá manifestar por escrito al Instituto, su conformidad con las condiciones que al efecto se establezcan en el citado proyecto de título de concesión.</w:t>
      </w:r>
    </w:p>
    <w:p w:rsidR="00634773" w:rsidRPr="00634773" w:rsidRDefault="00FC5F2F"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 xml:space="preserve">En caso de que no se reciba por parte de Telmex la aceptación expresa e indubitable de las condiciones referidas en los incisos a) y b) anteriores, dentro del plazo </w:t>
      </w:r>
      <w:r w:rsidR="00911ABA" w:rsidRPr="00634773">
        <w:rPr>
          <w:rFonts w:ascii="ITC Avant Garde" w:hAnsi="ITC Avant Garde"/>
          <w:bCs/>
        </w:rPr>
        <w:t>que se prevea para tales efectos</w:t>
      </w:r>
      <w:r w:rsidRPr="00634773">
        <w:rPr>
          <w:rFonts w:ascii="ITC Avant Garde" w:hAnsi="ITC Avant Garde"/>
          <w:bCs/>
        </w:rPr>
        <w:t xml:space="preserve">, así como la manifestación a que se refiere el inciso b), dentro del plazo señalado en el mismo, quedará sin efectos la prórroga materia de la presente Resolución. </w:t>
      </w:r>
    </w:p>
    <w:p w:rsidR="00634773" w:rsidRPr="00634773" w:rsidRDefault="00E116F3"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 xml:space="preserve">Cabe destacar, que la presente determinación no crea un perjuicio ni </w:t>
      </w:r>
      <w:r w:rsidR="00864008" w:rsidRPr="00634773">
        <w:rPr>
          <w:rFonts w:ascii="ITC Avant Garde" w:hAnsi="ITC Avant Garde"/>
          <w:bCs/>
        </w:rPr>
        <w:t xml:space="preserve">genera </w:t>
      </w:r>
      <w:r w:rsidRPr="00634773">
        <w:rPr>
          <w:rFonts w:ascii="ITC Avant Garde" w:hAnsi="ITC Avant Garde"/>
          <w:bCs/>
        </w:rPr>
        <w:t xml:space="preserve">incertidumbre alguna a Telmex, </w:t>
      </w:r>
      <w:r w:rsidR="00864008" w:rsidRPr="00634773">
        <w:rPr>
          <w:rFonts w:ascii="ITC Avant Garde" w:hAnsi="ITC Avant Garde"/>
          <w:bCs/>
        </w:rPr>
        <w:t xml:space="preserve">dado que esa misma situación prevalecería para el caso en que en este momento se establecieran nuevas condiciones </w:t>
      </w:r>
      <w:r w:rsidR="005A61CC" w:rsidRPr="00634773">
        <w:rPr>
          <w:rFonts w:ascii="ITC Avant Garde" w:hAnsi="ITC Avant Garde"/>
          <w:bCs/>
        </w:rPr>
        <w:t xml:space="preserve">a </w:t>
      </w:r>
      <w:r w:rsidR="0040013B" w:rsidRPr="00634773">
        <w:rPr>
          <w:rFonts w:ascii="ITC Avant Garde" w:hAnsi="ITC Avant Garde"/>
          <w:bCs/>
        </w:rPr>
        <w:t>dicha empresa</w:t>
      </w:r>
      <w:r w:rsidR="00321F67" w:rsidRPr="00634773">
        <w:rPr>
          <w:rFonts w:ascii="ITC Avant Garde" w:hAnsi="ITC Avant Garde"/>
          <w:bCs/>
        </w:rPr>
        <w:t>;</w:t>
      </w:r>
      <w:r w:rsidR="005A61CC" w:rsidRPr="00634773">
        <w:rPr>
          <w:rFonts w:ascii="ITC Avant Garde" w:hAnsi="ITC Avant Garde"/>
          <w:bCs/>
        </w:rPr>
        <w:t xml:space="preserve"> esto es, la prórroga de vigencia de la Concesión y el consecuente otorgamiento de un nuevo título de concesión habilitante para la prestación de servicios, </w:t>
      </w:r>
      <w:r w:rsidR="00321F67" w:rsidRPr="00634773">
        <w:rPr>
          <w:rFonts w:ascii="ITC Avant Garde" w:hAnsi="ITC Avant Garde"/>
          <w:bCs/>
        </w:rPr>
        <w:t xml:space="preserve">en términos de lo establecido al efecto por el artículo 113 de la Ley, </w:t>
      </w:r>
      <w:r w:rsidR="005A61CC" w:rsidRPr="00634773">
        <w:rPr>
          <w:rFonts w:ascii="ITC Avant Garde" w:hAnsi="ITC Avant Garde"/>
          <w:bCs/>
        </w:rPr>
        <w:t>estarían condicionados a la aceptación previa, expresa e indubitable de Telmex de las nuevas condiciones que se le establezcan</w:t>
      </w:r>
      <w:r w:rsidR="00321F67" w:rsidRPr="00634773">
        <w:rPr>
          <w:rFonts w:ascii="ITC Avant Garde" w:hAnsi="ITC Avant Garde"/>
          <w:bCs/>
        </w:rPr>
        <w:t xml:space="preserve">, por lo que eventualmente y de cualquier forma, ya sea en una fecha próxima o en un momento posterior, Telmex deberá </w:t>
      </w:r>
      <w:r w:rsidR="00756F95" w:rsidRPr="00634773">
        <w:rPr>
          <w:rFonts w:ascii="ITC Avant Garde" w:hAnsi="ITC Avant Garde"/>
          <w:bCs/>
        </w:rPr>
        <w:t>manifestar su conformidad o no con las mismas,</w:t>
      </w:r>
      <w:r w:rsidR="005A61CC" w:rsidRPr="00634773">
        <w:rPr>
          <w:rFonts w:ascii="ITC Avant Garde" w:hAnsi="ITC Avant Garde"/>
          <w:bCs/>
        </w:rPr>
        <w:t xml:space="preserve"> </w:t>
      </w:r>
      <w:r w:rsidRPr="00634773">
        <w:rPr>
          <w:rFonts w:ascii="ITC Avant Garde" w:hAnsi="ITC Avant Garde"/>
          <w:bCs/>
        </w:rPr>
        <w:t>lo que tendría el mismo efecto</w:t>
      </w:r>
      <w:r w:rsidR="00756F95" w:rsidRPr="00634773">
        <w:rPr>
          <w:rFonts w:ascii="ITC Avant Garde" w:hAnsi="ITC Avant Garde"/>
          <w:bCs/>
        </w:rPr>
        <w:t>, independientemente de si dicha condición se establece inmediatamente o en un</w:t>
      </w:r>
      <w:r w:rsidRPr="00634773">
        <w:rPr>
          <w:rFonts w:ascii="ITC Avant Garde" w:hAnsi="ITC Avant Garde"/>
          <w:bCs/>
        </w:rPr>
        <w:t xml:space="preserve"> </w:t>
      </w:r>
      <w:r w:rsidR="00756F95" w:rsidRPr="00634773">
        <w:rPr>
          <w:rFonts w:ascii="ITC Avant Garde" w:hAnsi="ITC Avant Garde"/>
          <w:bCs/>
        </w:rPr>
        <w:t xml:space="preserve">momento posterior. </w:t>
      </w:r>
    </w:p>
    <w:p w:rsidR="00634773" w:rsidRPr="00634773" w:rsidRDefault="00A10C28"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lastRenderedPageBreak/>
        <w:t>Sin embargo, debe señalar</w:t>
      </w:r>
      <w:r w:rsidR="00756F95" w:rsidRPr="00634773">
        <w:rPr>
          <w:rFonts w:ascii="ITC Avant Garde" w:hAnsi="ITC Avant Garde"/>
          <w:bCs/>
        </w:rPr>
        <w:t>se</w:t>
      </w:r>
      <w:r w:rsidRPr="00634773">
        <w:rPr>
          <w:rFonts w:ascii="ITC Avant Garde" w:hAnsi="ITC Avant Garde"/>
          <w:bCs/>
        </w:rPr>
        <w:t xml:space="preserve"> que de n</w:t>
      </w:r>
      <w:r w:rsidR="003014AB" w:rsidRPr="00634773">
        <w:rPr>
          <w:rFonts w:ascii="ITC Avant Garde" w:hAnsi="ITC Avant Garde"/>
          <w:bCs/>
        </w:rPr>
        <w:t>o recibirse</w:t>
      </w:r>
      <w:r w:rsidR="00756F95" w:rsidRPr="00634773">
        <w:rPr>
          <w:rFonts w:ascii="ITC Avant Garde" w:hAnsi="ITC Avant Garde"/>
          <w:bCs/>
        </w:rPr>
        <w:t xml:space="preserve"> </w:t>
      </w:r>
      <w:r w:rsidR="003014AB" w:rsidRPr="00634773">
        <w:rPr>
          <w:rFonts w:ascii="ITC Avant Garde" w:hAnsi="ITC Avant Garde"/>
          <w:bCs/>
        </w:rPr>
        <w:t xml:space="preserve">la aceptación correspondiente por parte de Telmex </w:t>
      </w:r>
      <w:r w:rsidR="00F7392A" w:rsidRPr="00634773">
        <w:rPr>
          <w:rFonts w:ascii="ITC Avant Garde" w:hAnsi="ITC Avant Garde"/>
          <w:bCs/>
        </w:rPr>
        <w:t xml:space="preserve">a las condiciones previstas en la presente Resolución </w:t>
      </w:r>
      <w:r w:rsidR="003014AB" w:rsidRPr="00634773">
        <w:rPr>
          <w:rFonts w:ascii="ITC Avant Garde" w:hAnsi="ITC Avant Garde"/>
          <w:bCs/>
        </w:rPr>
        <w:t>dentro de</w:t>
      </w:r>
      <w:r w:rsidR="00F7392A" w:rsidRPr="00634773">
        <w:rPr>
          <w:rFonts w:ascii="ITC Avant Garde" w:hAnsi="ITC Avant Garde"/>
          <w:bCs/>
        </w:rPr>
        <w:t xml:space="preserve"> </w:t>
      </w:r>
      <w:r w:rsidR="003014AB" w:rsidRPr="00634773">
        <w:rPr>
          <w:rFonts w:ascii="ITC Avant Garde" w:hAnsi="ITC Avant Garde"/>
          <w:bCs/>
        </w:rPr>
        <w:t>l</w:t>
      </w:r>
      <w:r w:rsidR="00F7392A" w:rsidRPr="00634773">
        <w:rPr>
          <w:rFonts w:ascii="ITC Avant Garde" w:hAnsi="ITC Avant Garde"/>
          <w:bCs/>
        </w:rPr>
        <w:t>os</w:t>
      </w:r>
      <w:r w:rsidR="003014AB" w:rsidRPr="00634773">
        <w:rPr>
          <w:rFonts w:ascii="ITC Avant Garde" w:hAnsi="ITC Avant Garde"/>
          <w:bCs/>
        </w:rPr>
        <w:t xml:space="preserve"> plazo</w:t>
      </w:r>
      <w:r w:rsidR="00F7392A" w:rsidRPr="00634773">
        <w:rPr>
          <w:rFonts w:ascii="ITC Avant Garde" w:hAnsi="ITC Avant Garde"/>
          <w:bCs/>
        </w:rPr>
        <w:t>s</w:t>
      </w:r>
      <w:r w:rsidR="003014AB" w:rsidRPr="00634773">
        <w:rPr>
          <w:rFonts w:ascii="ITC Avant Garde" w:hAnsi="ITC Avant Garde"/>
          <w:bCs/>
        </w:rPr>
        <w:t xml:space="preserve"> que al efecto se </w:t>
      </w:r>
      <w:r w:rsidR="00F7392A" w:rsidRPr="00634773">
        <w:rPr>
          <w:rFonts w:ascii="ITC Avant Garde" w:hAnsi="ITC Avant Garde"/>
          <w:bCs/>
        </w:rPr>
        <w:t>establezcan</w:t>
      </w:r>
      <w:r w:rsidR="003014AB" w:rsidRPr="00634773">
        <w:rPr>
          <w:rFonts w:ascii="ITC Avant Garde" w:hAnsi="ITC Avant Garde"/>
          <w:bCs/>
        </w:rPr>
        <w:t xml:space="preserve">, la </w:t>
      </w:r>
      <w:r w:rsidR="00F7392A" w:rsidRPr="00634773">
        <w:rPr>
          <w:rFonts w:ascii="ITC Avant Garde" w:hAnsi="ITC Avant Garde"/>
          <w:bCs/>
        </w:rPr>
        <w:t>misma</w:t>
      </w:r>
      <w:r w:rsidR="003014AB" w:rsidRPr="00634773">
        <w:rPr>
          <w:rFonts w:ascii="ITC Avant Garde" w:hAnsi="ITC Avant Garde"/>
          <w:bCs/>
        </w:rPr>
        <w:t xml:space="preserve"> no surtirá efectos</w:t>
      </w:r>
      <w:r w:rsidRPr="00634773">
        <w:rPr>
          <w:rFonts w:ascii="ITC Avant Garde" w:hAnsi="ITC Avant Garde"/>
          <w:bCs/>
        </w:rPr>
        <w:t xml:space="preserve"> y</w:t>
      </w:r>
      <w:r w:rsidR="00756F95" w:rsidRPr="00634773">
        <w:rPr>
          <w:rFonts w:ascii="ITC Avant Garde" w:hAnsi="ITC Avant Garde"/>
          <w:bCs/>
        </w:rPr>
        <w:t>,</w:t>
      </w:r>
      <w:r w:rsidRPr="00634773">
        <w:rPr>
          <w:rFonts w:ascii="ITC Avant Garde" w:hAnsi="ITC Avant Garde"/>
          <w:bCs/>
        </w:rPr>
        <w:t xml:space="preserve"> en consecuencia, la Solicitud de Prórroga se entenderá negada</w:t>
      </w:r>
      <w:r w:rsidR="003014AB" w:rsidRPr="00634773">
        <w:rPr>
          <w:rFonts w:ascii="ITC Avant Garde" w:hAnsi="ITC Avant Garde"/>
          <w:bCs/>
        </w:rPr>
        <w:t xml:space="preserve">. </w:t>
      </w:r>
    </w:p>
    <w:p w:rsidR="00634773" w:rsidRPr="00634773" w:rsidRDefault="005403D1" w:rsidP="00634773">
      <w:pPr>
        <w:autoSpaceDE w:val="0"/>
        <w:autoSpaceDN w:val="0"/>
        <w:adjustRightInd w:val="0"/>
        <w:spacing w:before="240" w:line="240" w:lineRule="auto"/>
        <w:jc w:val="both"/>
        <w:rPr>
          <w:rFonts w:ascii="ITC Avant Garde" w:hAnsi="ITC Avant Garde"/>
          <w:bCs/>
          <w:color w:val="000000"/>
          <w:lang w:eastAsia="es-MX"/>
        </w:rPr>
      </w:pPr>
      <w:r w:rsidRPr="00634773">
        <w:rPr>
          <w:rFonts w:ascii="ITC Avant Garde" w:hAnsi="ITC Avant Garde"/>
          <w:b/>
          <w:bCs/>
        </w:rPr>
        <w:t>Sext</w:t>
      </w:r>
      <w:r w:rsidR="005B3C76" w:rsidRPr="00634773">
        <w:rPr>
          <w:rFonts w:ascii="ITC Avant Garde" w:hAnsi="ITC Avant Garde"/>
          <w:b/>
          <w:bCs/>
        </w:rPr>
        <w:t xml:space="preserve">o.- Opiniones técnicas respecto a la Solicitud de Prórroga. </w:t>
      </w:r>
      <w:r w:rsidR="00710FBD" w:rsidRPr="00634773">
        <w:rPr>
          <w:rFonts w:ascii="ITC Avant Garde" w:hAnsi="ITC Avant Garde"/>
          <w:bCs/>
          <w:color w:val="000000"/>
          <w:lang w:eastAsia="es-MX"/>
        </w:rPr>
        <w:t>Finalmente</w:t>
      </w:r>
      <w:r w:rsidR="00464F8B" w:rsidRPr="00634773">
        <w:rPr>
          <w:rFonts w:ascii="ITC Avant Garde" w:hAnsi="ITC Avant Garde"/>
          <w:bCs/>
          <w:color w:val="000000"/>
          <w:lang w:eastAsia="es-MX"/>
        </w:rPr>
        <w:t xml:space="preserve">, tal </w:t>
      </w:r>
      <w:r w:rsidR="009C4AE8" w:rsidRPr="00634773">
        <w:rPr>
          <w:rFonts w:ascii="ITC Avant Garde" w:hAnsi="ITC Avant Garde"/>
          <w:bCs/>
          <w:color w:val="000000"/>
          <w:lang w:eastAsia="es-MX"/>
        </w:rPr>
        <w:t xml:space="preserve">y </w:t>
      </w:r>
      <w:r w:rsidR="00464F8B" w:rsidRPr="00634773">
        <w:rPr>
          <w:rFonts w:ascii="ITC Avant Garde" w:hAnsi="ITC Avant Garde"/>
          <w:bCs/>
          <w:color w:val="000000"/>
          <w:lang w:eastAsia="es-MX"/>
        </w:rPr>
        <w:t xml:space="preserve">como quedó señalado en el Considerando Primero, el Instituto es la autoridad en materia de competencia económica de los sectores de radiodifusión y telecomunicaciones, por lo que atendiendo </w:t>
      </w:r>
      <w:r w:rsidR="00464F8B" w:rsidRPr="00634773">
        <w:rPr>
          <w:rFonts w:ascii="ITC Avant Garde" w:hAnsi="ITC Avant Garde" w:cs="Tahoma"/>
          <w:bCs/>
          <w:lang w:eastAsia="es-MX"/>
        </w:rPr>
        <w:t>a lo dispuesto por el artículo 33 fracción II del Estatuto</w:t>
      </w:r>
      <w:r w:rsidR="00C64FE0" w:rsidRPr="00634773">
        <w:rPr>
          <w:rFonts w:ascii="ITC Avant Garde" w:hAnsi="ITC Avant Garde" w:cs="Tahoma"/>
          <w:bCs/>
          <w:lang w:eastAsia="es-MX"/>
        </w:rPr>
        <w:t xml:space="preserve"> Orgánico</w:t>
      </w:r>
      <w:r w:rsidR="00464F8B" w:rsidRPr="00634773">
        <w:rPr>
          <w:rFonts w:ascii="ITC Avant Garde" w:hAnsi="ITC Avant Garde" w:cs="Tahoma"/>
          <w:bCs/>
          <w:lang w:eastAsia="es-MX"/>
        </w:rPr>
        <w:t>, m</w:t>
      </w:r>
      <w:r w:rsidRPr="00634773">
        <w:rPr>
          <w:rFonts w:ascii="ITC Avant Garde" w:hAnsi="ITC Avant Garde" w:cs="Tahoma"/>
          <w:bCs/>
          <w:lang w:eastAsia="es-MX"/>
        </w:rPr>
        <w:t>ediante oficio IFT/223/UCS/DG-CTEL/0987/2016 del 29</w:t>
      </w:r>
      <w:r w:rsidR="00464F8B" w:rsidRPr="00634773">
        <w:rPr>
          <w:rFonts w:ascii="ITC Avant Garde" w:hAnsi="ITC Avant Garde" w:cs="Tahoma"/>
          <w:bCs/>
          <w:lang w:eastAsia="es-MX"/>
        </w:rPr>
        <w:t xml:space="preserve"> de </w:t>
      </w:r>
      <w:r w:rsidRPr="00634773">
        <w:rPr>
          <w:rFonts w:ascii="ITC Avant Garde" w:hAnsi="ITC Avant Garde" w:cs="Tahoma"/>
          <w:bCs/>
          <w:lang w:eastAsia="es-MX"/>
        </w:rPr>
        <w:t>abril de 2016</w:t>
      </w:r>
      <w:r w:rsidR="00464F8B" w:rsidRPr="00634773">
        <w:rPr>
          <w:rFonts w:ascii="ITC Avant Garde" w:hAnsi="ITC Avant Garde" w:cs="Tahoma"/>
          <w:bCs/>
          <w:lang w:eastAsia="es-MX"/>
        </w:rPr>
        <w:t>, la Unidad de Concesiones y Servicios, a través de la Dirección General de Concesiones de Telecomunicaciones, solicitó opinión a la Unidad de Competencia Económica, respecto de la Solicitud de Prórroga.</w:t>
      </w:r>
    </w:p>
    <w:p w:rsidR="00634773" w:rsidRPr="00634773" w:rsidRDefault="00464F8B" w:rsidP="00634773">
      <w:pPr>
        <w:autoSpaceDE w:val="0"/>
        <w:autoSpaceDN w:val="0"/>
        <w:adjustRightInd w:val="0"/>
        <w:spacing w:before="240" w:line="240" w:lineRule="auto"/>
        <w:jc w:val="both"/>
        <w:rPr>
          <w:rFonts w:ascii="ITC Avant Garde" w:hAnsi="ITC Avant Garde" w:cs="Tahoma"/>
          <w:bCs/>
          <w:color w:val="000000" w:themeColor="text1"/>
          <w:lang w:eastAsia="es-MX"/>
        </w:rPr>
      </w:pPr>
      <w:r w:rsidRPr="00634773">
        <w:rPr>
          <w:rFonts w:ascii="ITC Avant Garde" w:hAnsi="ITC Avant Garde" w:cs="Tahoma"/>
          <w:bCs/>
          <w:color w:val="000000" w:themeColor="text1"/>
          <w:lang w:eastAsia="es-MX"/>
        </w:rPr>
        <w:t xml:space="preserve">En respuesta a lo anterior, mediante oficio </w:t>
      </w:r>
      <w:r w:rsidR="008B3C27" w:rsidRPr="00634773">
        <w:rPr>
          <w:rFonts w:ascii="ITC Avant Garde" w:hAnsi="ITC Avant Garde"/>
          <w:bCs/>
          <w:color w:val="000000"/>
          <w:lang w:eastAsia="es-MX"/>
        </w:rPr>
        <w:t>IFT/226/UCE/DG-CCON/451/2016</w:t>
      </w:r>
      <w:r w:rsidR="00A065A3" w:rsidRPr="00634773">
        <w:rPr>
          <w:rFonts w:ascii="ITC Avant Garde" w:hAnsi="ITC Avant Garde"/>
          <w:bCs/>
          <w:color w:val="000000"/>
          <w:lang w:eastAsia="es-MX"/>
        </w:rPr>
        <w:t xml:space="preserve"> de fecha </w:t>
      </w:r>
      <w:r w:rsidR="008B3C27" w:rsidRPr="00634773">
        <w:rPr>
          <w:rFonts w:ascii="ITC Avant Garde" w:hAnsi="ITC Avant Garde"/>
          <w:bCs/>
          <w:color w:val="000000"/>
          <w:lang w:eastAsia="es-MX"/>
        </w:rPr>
        <w:t>22</w:t>
      </w:r>
      <w:r w:rsidR="00A065A3" w:rsidRPr="00634773">
        <w:rPr>
          <w:rFonts w:ascii="ITC Avant Garde" w:hAnsi="ITC Avant Garde"/>
          <w:bCs/>
          <w:color w:val="000000"/>
          <w:lang w:eastAsia="es-MX"/>
        </w:rPr>
        <w:t xml:space="preserve"> de </w:t>
      </w:r>
      <w:r w:rsidR="008B3C27" w:rsidRPr="00634773">
        <w:rPr>
          <w:rFonts w:ascii="ITC Avant Garde" w:hAnsi="ITC Avant Garde"/>
          <w:bCs/>
          <w:color w:val="000000"/>
          <w:lang w:eastAsia="es-MX"/>
        </w:rPr>
        <w:t>noviembre</w:t>
      </w:r>
      <w:r w:rsidR="00A065A3" w:rsidRPr="00634773">
        <w:rPr>
          <w:rFonts w:ascii="ITC Avant Garde" w:hAnsi="ITC Avant Garde"/>
          <w:bCs/>
          <w:color w:val="000000"/>
          <w:lang w:eastAsia="es-MX"/>
        </w:rPr>
        <w:t xml:space="preserve"> de 201</w:t>
      </w:r>
      <w:r w:rsidR="008B3C27" w:rsidRPr="00634773">
        <w:rPr>
          <w:rFonts w:ascii="ITC Avant Garde" w:hAnsi="ITC Avant Garde"/>
          <w:bCs/>
          <w:color w:val="000000"/>
          <w:lang w:eastAsia="es-MX"/>
        </w:rPr>
        <w:t>6</w:t>
      </w:r>
      <w:r w:rsidRPr="00634773">
        <w:rPr>
          <w:rFonts w:ascii="ITC Avant Garde" w:hAnsi="ITC Avant Garde" w:cs="Tahoma"/>
          <w:bCs/>
          <w:color w:val="000000" w:themeColor="text1"/>
          <w:lang w:eastAsia="es-MX"/>
        </w:rPr>
        <w:t>, la Dirección General de Concentraciones y Concesiones</w:t>
      </w:r>
      <w:r w:rsidR="00327D25" w:rsidRPr="00634773">
        <w:rPr>
          <w:rFonts w:ascii="ITC Avant Garde" w:hAnsi="ITC Avant Garde" w:cs="Tahoma"/>
          <w:bCs/>
          <w:color w:val="000000" w:themeColor="text1"/>
          <w:lang w:eastAsia="es-MX"/>
        </w:rPr>
        <w:t>, adscrita a la Unidad de Competencia Económica del Instituto,</w:t>
      </w:r>
      <w:r w:rsidRPr="00634773">
        <w:rPr>
          <w:rFonts w:ascii="ITC Avant Garde" w:hAnsi="ITC Avant Garde" w:cs="Tahoma"/>
          <w:bCs/>
          <w:color w:val="000000" w:themeColor="text1"/>
          <w:lang w:eastAsia="es-MX"/>
        </w:rPr>
        <w:t xml:space="preserve"> emitió opinión respecto de la Solicitud de Prórroga, en la que manifestó entre otros aspectos, lo siguiente:</w:t>
      </w:r>
    </w:p>
    <w:p w:rsidR="00634773" w:rsidRPr="00634773" w:rsidRDefault="00464F8B" w:rsidP="00634773">
      <w:pPr>
        <w:spacing w:before="240" w:line="240" w:lineRule="auto"/>
        <w:ind w:left="1416" w:right="618" w:firstLine="708"/>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p>
    <w:p w:rsidR="00634773" w:rsidRPr="00634773" w:rsidRDefault="006C27F9" w:rsidP="00634773">
      <w:pPr>
        <w:spacing w:before="240" w:line="240" w:lineRule="auto"/>
        <w:ind w:left="1842" w:right="618" w:firstLine="282"/>
        <w:jc w:val="both"/>
        <w:rPr>
          <w:rFonts w:ascii="ITC Avant Garde" w:hAnsi="ITC Avant Garde"/>
          <w:b/>
          <w:bCs/>
          <w:color w:val="000000"/>
          <w:sz w:val="18"/>
          <w:szCs w:val="18"/>
          <w:lang w:eastAsia="es-MX"/>
        </w:rPr>
      </w:pPr>
      <w:r w:rsidRPr="00634773">
        <w:rPr>
          <w:rFonts w:ascii="ITC Avant Garde" w:hAnsi="ITC Avant Garde"/>
          <w:b/>
          <w:bCs/>
          <w:color w:val="000000"/>
          <w:sz w:val="18"/>
          <w:szCs w:val="18"/>
          <w:lang w:eastAsia="es-MX"/>
        </w:rPr>
        <w:t>V</w:t>
      </w:r>
      <w:r w:rsidR="008B3C27" w:rsidRPr="00634773">
        <w:rPr>
          <w:rFonts w:ascii="ITC Avant Garde" w:hAnsi="ITC Avant Garde"/>
          <w:b/>
          <w:bCs/>
          <w:color w:val="000000"/>
          <w:sz w:val="18"/>
          <w:szCs w:val="18"/>
          <w:lang w:eastAsia="es-MX"/>
        </w:rPr>
        <w:t>II</w:t>
      </w:r>
      <w:r w:rsidRPr="00634773">
        <w:rPr>
          <w:rFonts w:ascii="ITC Avant Garde" w:hAnsi="ITC Avant Garde"/>
          <w:b/>
          <w:bCs/>
          <w:color w:val="000000"/>
          <w:sz w:val="18"/>
          <w:szCs w:val="18"/>
          <w:lang w:eastAsia="es-MX"/>
        </w:rPr>
        <w:t>. Opinión en materia de competencia de las Solicitudes</w:t>
      </w:r>
    </w:p>
    <w:p w:rsidR="00634773" w:rsidRPr="00634773" w:rsidRDefault="008B3C27" w:rsidP="00634773">
      <w:pPr>
        <w:spacing w:before="240" w:line="240" w:lineRule="auto"/>
        <w:ind w:left="1419" w:right="618" w:firstLine="705"/>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p>
    <w:p w:rsidR="008B3C27" w:rsidRPr="00634773" w:rsidRDefault="005722B6" w:rsidP="00634773">
      <w:pPr>
        <w:spacing w:before="240" w:line="240" w:lineRule="auto"/>
        <w:ind w:left="2124" w:right="618"/>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Por lo anterior, c</w:t>
      </w:r>
      <w:r w:rsidR="008B3C27" w:rsidRPr="00634773">
        <w:rPr>
          <w:rFonts w:ascii="ITC Avant Garde" w:hAnsi="ITC Avant Garde"/>
          <w:bCs/>
          <w:color w:val="000000"/>
          <w:sz w:val="18"/>
          <w:szCs w:val="18"/>
          <w:lang w:eastAsia="es-MX"/>
        </w:rPr>
        <w:t xml:space="preserve">on base en la mejor información disponible, en caso de que se otorgue autorización para que Telmex […] continúen proveyendo los servicios autorizados en las Concesiones objeto de análisis, se advierte que están sujetas a condiciones específicas y a medidas regulatorias derivadas de su condición de formar parte del AEPT, enfocadas a evitar que se afecte la competencia y libre concurrencia, así como eliminar las barreras a la entrada. </w:t>
      </w:r>
    </w:p>
    <w:p w:rsidR="00634773" w:rsidRPr="00634773" w:rsidRDefault="008B3C27" w:rsidP="00634773">
      <w:pPr>
        <w:spacing w:before="240" w:line="240" w:lineRule="auto"/>
        <w:ind w:left="1842" w:right="618" w:firstLine="282"/>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Asimismo, Telmex […] est</w:t>
      </w:r>
      <w:r w:rsidR="00CE6479" w:rsidRPr="00634773">
        <w:rPr>
          <w:rFonts w:ascii="ITC Avant Garde" w:hAnsi="ITC Avant Garde"/>
          <w:bCs/>
          <w:color w:val="000000"/>
          <w:sz w:val="18"/>
          <w:szCs w:val="18"/>
          <w:lang w:eastAsia="es-MX"/>
        </w:rPr>
        <w:t>án sujetos a lo</w:t>
      </w:r>
      <w:r w:rsidRPr="00634773">
        <w:rPr>
          <w:rFonts w:ascii="ITC Avant Garde" w:hAnsi="ITC Avant Garde"/>
          <w:bCs/>
          <w:color w:val="000000"/>
          <w:sz w:val="18"/>
          <w:szCs w:val="18"/>
          <w:lang w:eastAsia="es-MX"/>
        </w:rPr>
        <w:t xml:space="preserve"> dispuesto en: </w:t>
      </w:r>
    </w:p>
    <w:p w:rsidR="008B3C27" w:rsidRPr="00634773" w:rsidRDefault="00CE6479" w:rsidP="00634773">
      <w:pPr>
        <w:pStyle w:val="Prrafodelista"/>
        <w:numPr>
          <w:ilvl w:val="0"/>
          <w:numId w:val="18"/>
        </w:numPr>
        <w:spacing w:before="240" w:after="200"/>
        <w:ind w:right="618"/>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La condición 1.9 de las Concesiones que prohíbe a Telmex […] explotar, directa o indirectamente, concesión de servicios de televisión al público en el país, y</w:t>
      </w:r>
    </w:p>
    <w:p w:rsidR="00634773" w:rsidRPr="00634773" w:rsidRDefault="00CE6479" w:rsidP="00634773">
      <w:pPr>
        <w:pStyle w:val="Prrafodelista"/>
        <w:numPr>
          <w:ilvl w:val="0"/>
          <w:numId w:val="18"/>
        </w:numPr>
        <w:spacing w:before="240" w:after="200"/>
        <w:ind w:right="618"/>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 xml:space="preserve">El artículo Décimo Transitorio del Decreto que expide la LFTR, el cual establece un procedimiento específico para los agentes económicos preponderantes y los concesionarios cuyos títulos de concesión contengan alguna prohibición o restricción expresa para prestar servicios determinados. Este artículo señala que, previo al inicio del trámite para obtener la autorización para prestar servicios adicionales o transitar a concesión única, deberán acreditar ante el Instituto y éste supervisará el cumplimiento efectivo de las obligaciones previstas en el Decreto de Reforma Constitucional en </w:t>
      </w:r>
      <w:r w:rsidRPr="00634773">
        <w:rPr>
          <w:rFonts w:ascii="ITC Avant Garde" w:hAnsi="ITC Avant Garde"/>
          <w:bCs/>
          <w:color w:val="000000"/>
          <w:sz w:val="18"/>
          <w:szCs w:val="18"/>
          <w:lang w:eastAsia="es-MX"/>
        </w:rPr>
        <w:lastRenderedPageBreak/>
        <w:t xml:space="preserve">materia de telecomunicaciones de la LFTR, así como de la LFCE, sus títulos de concesión y de las disposiciones administrativas aplicables. </w:t>
      </w:r>
    </w:p>
    <w:p w:rsidR="00CE6479" w:rsidRPr="00634773" w:rsidRDefault="00CE6479" w:rsidP="00634773">
      <w:pPr>
        <w:spacing w:before="240" w:line="240" w:lineRule="auto"/>
        <w:ind w:left="1983" w:right="618"/>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 xml:space="preserve">Los comentarios y opiniones respecto de las Solicitudes se emiten en materia de competencia económica, sin prejuzgar sobre otras autorizaciones, requisitos u obligaciones que en su caso, Telmex deban obtener de este Instituto u otra autoridad competente. </w:t>
      </w:r>
      <w:r w:rsidR="00765D75" w:rsidRPr="00634773">
        <w:rPr>
          <w:rFonts w:ascii="ITC Avant Garde" w:hAnsi="ITC Avant Garde"/>
          <w:bCs/>
          <w:color w:val="000000"/>
          <w:sz w:val="18"/>
          <w:szCs w:val="18"/>
          <w:lang w:eastAsia="es-MX"/>
        </w:rPr>
        <w:t>Tampoco se prejuzga sobre violaciones a la Ley Federal de Competencia Económica, la Ley Federal de Telecomunicaciones y Radiodifusión u otros ordenamientos en que pudiera haber incurrido, o pudiera incurrir Telmex […].</w:t>
      </w:r>
    </w:p>
    <w:p w:rsidR="00CE6479" w:rsidRPr="00634773" w:rsidRDefault="00CE6479" w:rsidP="00634773">
      <w:pPr>
        <w:spacing w:before="240" w:line="240" w:lineRule="auto"/>
        <w:ind w:left="1275" w:right="618" w:firstLine="708"/>
        <w:jc w:val="both"/>
        <w:rPr>
          <w:rFonts w:ascii="ITC Avant Garde" w:hAnsi="ITC Avant Garde"/>
          <w:bCs/>
          <w:color w:val="000000"/>
          <w:sz w:val="18"/>
          <w:szCs w:val="18"/>
          <w:lang w:eastAsia="es-MX"/>
        </w:rPr>
      </w:pPr>
      <w:r w:rsidRPr="00634773">
        <w:rPr>
          <w:rFonts w:ascii="ITC Avant Garde" w:hAnsi="ITC Avant Garde"/>
          <w:bCs/>
          <w:color w:val="000000"/>
          <w:sz w:val="18"/>
          <w:szCs w:val="18"/>
          <w:lang w:eastAsia="es-MX"/>
        </w:rPr>
        <w:t>[…]</w:t>
      </w:r>
      <w:r w:rsidR="00770051" w:rsidRPr="00634773">
        <w:rPr>
          <w:rFonts w:ascii="ITC Avant Garde" w:hAnsi="ITC Avant Garde"/>
          <w:bCs/>
          <w:color w:val="000000"/>
          <w:sz w:val="18"/>
          <w:szCs w:val="18"/>
          <w:lang w:eastAsia="es-MX"/>
        </w:rPr>
        <w:t>.</w:t>
      </w:r>
      <w:r w:rsidRPr="00634773">
        <w:rPr>
          <w:rFonts w:ascii="ITC Avant Garde" w:hAnsi="ITC Avant Garde"/>
          <w:bCs/>
          <w:color w:val="000000"/>
          <w:sz w:val="18"/>
          <w:szCs w:val="18"/>
          <w:lang w:eastAsia="es-MX"/>
        </w:rPr>
        <w:t>”</w:t>
      </w:r>
    </w:p>
    <w:p w:rsidR="00634773" w:rsidRPr="00634773" w:rsidRDefault="00464F8B" w:rsidP="00634773">
      <w:pPr>
        <w:autoSpaceDE w:val="0"/>
        <w:autoSpaceDN w:val="0"/>
        <w:adjustRightInd w:val="0"/>
        <w:spacing w:before="240" w:line="240" w:lineRule="auto"/>
        <w:jc w:val="both"/>
        <w:rPr>
          <w:rFonts w:ascii="ITC Avant Garde" w:hAnsi="ITC Avant Garde" w:cs="Tahoma"/>
          <w:bCs/>
          <w:color w:val="000000" w:themeColor="text1"/>
          <w:lang w:eastAsia="es-MX"/>
        </w:rPr>
      </w:pPr>
      <w:r w:rsidRPr="00634773">
        <w:rPr>
          <w:rFonts w:ascii="ITC Avant Garde" w:hAnsi="ITC Avant Garde" w:cs="Tahoma"/>
          <w:bCs/>
          <w:color w:val="000000" w:themeColor="text1"/>
          <w:lang w:eastAsia="es-MX"/>
        </w:rPr>
        <w:t xml:space="preserve">En ese sentido, la </w:t>
      </w:r>
      <w:r w:rsidR="002401E1" w:rsidRPr="00634773">
        <w:rPr>
          <w:rFonts w:ascii="ITC Avant Garde" w:hAnsi="ITC Avant Garde" w:cs="Tahoma"/>
          <w:bCs/>
          <w:color w:val="000000" w:themeColor="text1"/>
          <w:lang w:eastAsia="es-MX"/>
        </w:rPr>
        <w:t>Unidad de Competencia Económica</w:t>
      </w:r>
      <w:r w:rsidRPr="00634773">
        <w:rPr>
          <w:rFonts w:ascii="ITC Avant Garde" w:hAnsi="ITC Avant Garde" w:cs="Tahoma"/>
          <w:bCs/>
          <w:color w:val="000000" w:themeColor="text1"/>
          <w:lang w:eastAsia="es-MX"/>
        </w:rPr>
        <w:t xml:space="preserve"> c</w:t>
      </w:r>
      <w:r w:rsidR="00C36EC0" w:rsidRPr="00634773">
        <w:rPr>
          <w:rFonts w:ascii="ITC Avant Garde" w:hAnsi="ITC Avant Garde" w:cs="Tahoma"/>
          <w:bCs/>
          <w:color w:val="000000" w:themeColor="text1"/>
          <w:lang w:eastAsia="es-MX"/>
        </w:rPr>
        <w:t>onsidera</w:t>
      </w:r>
      <w:r w:rsidRPr="00634773">
        <w:rPr>
          <w:rFonts w:ascii="ITC Avant Garde" w:hAnsi="ITC Avant Garde" w:cs="Tahoma"/>
          <w:bCs/>
          <w:color w:val="000000" w:themeColor="text1"/>
          <w:lang w:eastAsia="es-MX"/>
        </w:rPr>
        <w:t xml:space="preserve"> </w:t>
      </w:r>
      <w:r w:rsidR="000233E7" w:rsidRPr="00634773">
        <w:rPr>
          <w:rFonts w:ascii="ITC Avant Garde" w:hAnsi="ITC Avant Garde" w:cs="Tahoma"/>
          <w:bCs/>
          <w:color w:val="000000" w:themeColor="text1"/>
          <w:lang w:eastAsia="es-MX"/>
        </w:rPr>
        <w:t xml:space="preserve">que </w:t>
      </w:r>
      <w:r w:rsidR="001315D9" w:rsidRPr="00634773">
        <w:rPr>
          <w:rFonts w:ascii="ITC Avant Garde" w:hAnsi="ITC Avant Garde" w:cs="Tahoma"/>
          <w:bCs/>
          <w:color w:val="000000" w:themeColor="text1"/>
          <w:lang w:eastAsia="es-MX"/>
        </w:rPr>
        <w:t xml:space="preserve">tanto las </w:t>
      </w:r>
      <w:r w:rsidR="00C36EC0" w:rsidRPr="00634773">
        <w:rPr>
          <w:rFonts w:ascii="ITC Avant Garde" w:hAnsi="ITC Avant Garde" w:cs="Tahoma"/>
          <w:bCs/>
          <w:color w:val="000000" w:themeColor="text1"/>
          <w:lang w:eastAsia="es-MX"/>
        </w:rPr>
        <w:t xml:space="preserve">condiciones específicas </w:t>
      </w:r>
      <w:r w:rsidR="001315D9" w:rsidRPr="00634773">
        <w:rPr>
          <w:rFonts w:ascii="ITC Avant Garde" w:hAnsi="ITC Avant Garde" w:cs="Tahoma"/>
          <w:bCs/>
          <w:color w:val="000000" w:themeColor="text1"/>
          <w:lang w:eastAsia="es-MX"/>
        </w:rPr>
        <w:t>de la Concesión, como la</w:t>
      </w:r>
      <w:r w:rsidR="00C36EC0" w:rsidRPr="00634773">
        <w:rPr>
          <w:rFonts w:ascii="ITC Avant Garde" w:hAnsi="ITC Avant Garde" w:cs="Tahoma"/>
          <w:bCs/>
          <w:color w:val="000000" w:themeColor="text1"/>
          <w:lang w:eastAsia="es-MX"/>
        </w:rPr>
        <w:t xml:space="preserve"> regulación asim</w:t>
      </w:r>
      <w:r w:rsidR="001315D9" w:rsidRPr="00634773">
        <w:rPr>
          <w:rFonts w:ascii="ITC Avant Garde" w:hAnsi="ITC Avant Garde" w:cs="Tahoma"/>
          <w:bCs/>
          <w:color w:val="000000" w:themeColor="text1"/>
          <w:lang w:eastAsia="es-MX"/>
        </w:rPr>
        <w:t>étrica a la que está sujeta Telmex, tiene</w:t>
      </w:r>
      <w:r w:rsidR="000233E7" w:rsidRPr="00634773">
        <w:rPr>
          <w:rFonts w:ascii="ITC Avant Garde" w:hAnsi="ITC Avant Garde" w:cs="Tahoma"/>
          <w:bCs/>
          <w:color w:val="000000" w:themeColor="text1"/>
          <w:lang w:eastAsia="es-MX"/>
        </w:rPr>
        <w:t>n</w:t>
      </w:r>
      <w:r w:rsidR="001315D9" w:rsidRPr="00634773">
        <w:rPr>
          <w:rFonts w:ascii="ITC Avant Garde" w:hAnsi="ITC Avant Garde" w:cs="Tahoma"/>
          <w:bCs/>
          <w:color w:val="000000" w:themeColor="text1"/>
          <w:lang w:eastAsia="es-MX"/>
        </w:rPr>
        <w:t xml:space="preserve"> como objetivo evitar que se afecte la competencia y la libre concurrencia, así como eliminar las barreras a la entrada en el s</w:t>
      </w:r>
      <w:r w:rsidR="000233E7" w:rsidRPr="00634773">
        <w:rPr>
          <w:rFonts w:ascii="ITC Avant Garde" w:hAnsi="ITC Avant Garde" w:cs="Tahoma"/>
          <w:bCs/>
          <w:color w:val="000000" w:themeColor="text1"/>
          <w:lang w:eastAsia="es-MX"/>
        </w:rPr>
        <w:t>e</w:t>
      </w:r>
      <w:r w:rsidR="0063208D" w:rsidRPr="00634773">
        <w:rPr>
          <w:rFonts w:ascii="ITC Avant Garde" w:hAnsi="ITC Avant Garde" w:cs="Tahoma"/>
          <w:bCs/>
          <w:color w:val="000000" w:themeColor="text1"/>
          <w:lang w:eastAsia="es-MX"/>
        </w:rPr>
        <w:t>ctor de las telecomunicaciones</w:t>
      </w:r>
      <w:r w:rsidR="005A0530" w:rsidRPr="00634773">
        <w:rPr>
          <w:rFonts w:ascii="ITC Avant Garde" w:hAnsi="ITC Avant Garde" w:cs="Tahoma"/>
          <w:bCs/>
          <w:color w:val="000000" w:themeColor="text1"/>
          <w:lang w:eastAsia="es-MX"/>
        </w:rPr>
        <w:t>. As</w:t>
      </w:r>
      <w:r w:rsidR="00C84A01" w:rsidRPr="00634773">
        <w:rPr>
          <w:rFonts w:ascii="ITC Avant Garde" w:hAnsi="ITC Avant Garde" w:cs="Tahoma"/>
          <w:bCs/>
          <w:color w:val="000000" w:themeColor="text1"/>
          <w:lang w:eastAsia="es-MX"/>
        </w:rPr>
        <w:t>imismo</w:t>
      </w:r>
      <w:r w:rsidR="005A0530" w:rsidRPr="00634773">
        <w:rPr>
          <w:rFonts w:ascii="ITC Avant Garde" w:hAnsi="ITC Avant Garde" w:cs="Tahoma"/>
          <w:bCs/>
          <w:color w:val="000000" w:themeColor="text1"/>
          <w:lang w:eastAsia="es-MX"/>
        </w:rPr>
        <w:t xml:space="preserve">, con base en la información disponible, no identifican elementos que permitan concluir que la autorización de la prórroga </w:t>
      </w:r>
      <w:r w:rsidR="00C84A01" w:rsidRPr="00634773">
        <w:rPr>
          <w:rFonts w:ascii="ITC Avant Garde" w:hAnsi="ITC Avant Garde" w:cs="Tahoma"/>
          <w:bCs/>
          <w:color w:val="000000" w:themeColor="text1"/>
          <w:lang w:eastAsia="es-MX"/>
        </w:rPr>
        <w:t xml:space="preserve">de la vigencia que </w:t>
      </w:r>
      <w:r w:rsidR="005A0530" w:rsidRPr="00634773">
        <w:rPr>
          <w:rFonts w:ascii="ITC Avant Garde" w:hAnsi="ITC Avant Garde" w:cs="Tahoma"/>
          <w:bCs/>
          <w:color w:val="000000" w:themeColor="text1"/>
          <w:lang w:eastAsia="es-MX"/>
        </w:rPr>
        <w:t>solicita Telmex, pueda tener efectos contrarios en el proceso de competencia y libre concurrencia en los mercados</w:t>
      </w:r>
      <w:r w:rsidR="00C84A01" w:rsidRPr="00634773">
        <w:rPr>
          <w:rFonts w:ascii="ITC Avant Garde" w:hAnsi="ITC Avant Garde" w:cs="Tahoma"/>
          <w:bCs/>
          <w:color w:val="000000" w:themeColor="text1"/>
          <w:lang w:eastAsia="es-MX"/>
        </w:rPr>
        <w:t>, por lo que dicha opinión guarda consistencia con el sentido de la presente Resolución</w:t>
      </w:r>
      <w:r w:rsidR="005A0530" w:rsidRPr="00634773">
        <w:rPr>
          <w:rFonts w:ascii="ITC Avant Garde" w:hAnsi="ITC Avant Garde" w:cs="Tahoma"/>
          <w:bCs/>
          <w:color w:val="000000" w:themeColor="text1"/>
          <w:lang w:eastAsia="es-MX"/>
        </w:rPr>
        <w:t>.</w:t>
      </w:r>
      <w:r w:rsidR="00735C0A" w:rsidRPr="00634773">
        <w:rPr>
          <w:rFonts w:ascii="ITC Avant Garde" w:hAnsi="ITC Avant Garde" w:cs="Tahoma"/>
          <w:bCs/>
          <w:color w:val="000000" w:themeColor="text1"/>
          <w:lang w:eastAsia="es-MX"/>
        </w:rPr>
        <w:t xml:space="preserve"> </w:t>
      </w:r>
    </w:p>
    <w:p w:rsidR="00634773" w:rsidRPr="00634773" w:rsidRDefault="00735C0A" w:rsidP="00634773">
      <w:pPr>
        <w:autoSpaceDE w:val="0"/>
        <w:autoSpaceDN w:val="0"/>
        <w:adjustRightInd w:val="0"/>
        <w:spacing w:before="240" w:line="240" w:lineRule="auto"/>
        <w:jc w:val="both"/>
        <w:rPr>
          <w:rFonts w:ascii="ITC Avant Garde" w:hAnsi="ITC Avant Garde" w:cs="Tahoma"/>
          <w:bCs/>
          <w:color w:val="000000" w:themeColor="text1"/>
          <w:lang w:eastAsia="es-MX"/>
        </w:rPr>
      </w:pPr>
      <w:r w:rsidRPr="00634773">
        <w:rPr>
          <w:rFonts w:ascii="ITC Avant Garde" w:hAnsi="ITC Avant Garde" w:cs="Tahoma"/>
          <w:bCs/>
          <w:color w:val="000000" w:themeColor="text1"/>
          <w:lang w:eastAsia="es-MX"/>
        </w:rPr>
        <w:t>Por su parte, mediante oficio IFT/223/UCS/DG-CTEL/0988/2016 de fecha 29 de abril de 2016, la Unidad de Concesiones y Servicios, a través de la Dirección General de Concesiones de Telecomunicaciones solicitó a la Unidad de Política Regulatoria opinión respecto a la Solicitud de Prórroga. Al respecto, mediante oficio IFT/221/UPR/66</w:t>
      </w:r>
      <w:r w:rsidR="005722B6" w:rsidRPr="00634773">
        <w:rPr>
          <w:rFonts w:ascii="ITC Avant Garde" w:hAnsi="ITC Avant Garde" w:cs="Tahoma"/>
          <w:bCs/>
          <w:color w:val="000000" w:themeColor="text1"/>
          <w:lang w:eastAsia="es-MX"/>
        </w:rPr>
        <w:t>3</w:t>
      </w:r>
      <w:r w:rsidRPr="00634773">
        <w:rPr>
          <w:rFonts w:ascii="ITC Avant Garde" w:hAnsi="ITC Avant Garde" w:cs="Tahoma"/>
          <w:bCs/>
          <w:color w:val="000000" w:themeColor="text1"/>
          <w:lang w:eastAsia="es-MX"/>
        </w:rPr>
        <w:t xml:space="preserve">/2016 de fecha 22 de noviembre de 2016, la Unidad de Política Regulatoria señaló que considerando la opinión de la Unidad de Asuntos Jurídicos emitida mediante oficio IFT/227/UAJ/163/2016 y </w:t>
      </w:r>
      <w:r w:rsidR="007C7B42" w:rsidRPr="00634773">
        <w:rPr>
          <w:rFonts w:ascii="ITC Avant Garde" w:hAnsi="ITC Avant Garde" w:cs="Tahoma"/>
          <w:bCs/>
          <w:color w:val="000000" w:themeColor="text1"/>
          <w:lang w:eastAsia="es-MX"/>
        </w:rPr>
        <w:t xml:space="preserve">cuya parte conducente </w:t>
      </w:r>
      <w:r w:rsidRPr="00634773">
        <w:rPr>
          <w:rFonts w:ascii="ITC Avant Garde" w:hAnsi="ITC Avant Garde" w:cs="Tahoma"/>
          <w:bCs/>
          <w:color w:val="000000" w:themeColor="text1"/>
          <w:lang w:eastAsia="es-MX"/>
        </w:rPr>
        <w:t>se señala en el Considerando Quinto de la presente Resolución, la opinión en materia re</w:t>
      </w:r>
      <w:r w:rsidR="00CD6634" w:rsidRPr="00634773">
        <w:rPr>
          <w:rFonts w:ascii="ITC Avant Garde" w:hAnsi="ITC Avant Garde" w:cs="Tahoma"/>
          <w:bCs/>
          <w:color w:val="000000" w:themeColor="text1"/>
          <w:lang w:eastAsia="es-MX"/>
        </w:rPr>
        <w:t xml:space="preserve">gulatoria sería emitida en el momento que resultara procedente, es decir, previamente a que se entregue el </w:t>
      </w:r>
      <w:r w:rsidR="007C7B42" w:rsidRPr="00634773">
        <w:rPr>
          <w:rFonts w:ascii="ITC Avant Garde" w:hAnsi="ITC Avant Garde" w:cs="Tahoma"/>
          <w:bCs/>
          <w:color w:val="000000" w:themeColor="text1"/>
          <w:lang w:eastAsia="es-MX"/>
        </w:rPr>
        <w:t xml:space="preserve">proyecto de </w:t>
      </w:r>
      <w:r w:rsidR="00CD6634" w:rsidRPr="00634773">
        <w:rPr>
          <w:rFonts w:ascii="ITC Avant Garde" w:hAnsi="ITC Avant Garde" w:cs="Tahoma"/>
          <w:bCs/>
          <w:color w:val="000000" w:themeColor="text1"/>
          <w:lang w:eastAsia="es-MX"/>
        </w:rPr>
        <w:t xml:space="preserve">título habilitante correspondiente. </w:t>
      </w:r>
    </w:p>
    <w:p w:rsidR="00634773" w:rsidRPr="00634773" w:rsidRDefault="00D612A4" w:rsidP="00634773">
      <w:pPr>
        <w:autoSpaceDE w:val="0"/>
        <w:autoSpaceDN w:val="0"/>
        <w:adjustRightInd w:val="0"/>
        <w:spacing w:before="240" w:line="240" w:lineRule="auto"/>
        <w:jc w:val="both"/>
        <w:rPr>
          <w:rFonts w:ascii="ITC Avant Garde" w:hAnsi="ITC Avant Garde" w:cs="Tahoma"/>
          <w:bCs/>
          <w:color w:val="000000" w:themeColor="text1"/>
          <w:lang w:eastAsia="es-MX"/>
        </w:rPr>
      </w:pPr>
      <w:r w:rsidRPr="00634773">
        <w:rPr>
          <w:rFonts w:ascii="ITC Avant Garde" w:hAnsi="ITC Avant Garde" w:cs="Tahoma"/>
          <w:bCs/>
          <w:color w:val="000000" w:themeColor="text1"/>
          <w:lang w:eastAsia="es-MX"/>
        </w:rPr>
        <w:t>E</w:t>
      </w:r>
      <w:r w:rsidR="006426B3" w:rsidRPr="00634773">
        <w:rPr>
          <w:rFonts w:ascii="ITC Avant Garde" w:hAnsi="ITC Avant Garde" w:cs="Tahoma"/>
          <w:bCs/>
          <w:color w:val="000000" w:themeColor="text1"/>
          <w:lang w:eastAsia="es-MX"/>
        </w:rPr>
        <w:t xml:space="preserve">n relación con lo señalado </w:t>
      </w:r>
      <w:r w:rsidR="009C4AE8" w:rsidRPr="00634773">
        <w:rPr>
          <w:rFonts w:ascii="ITC Avant Garde" w:hAnsi="ITC Avant Garde" w:cs="Tahoma"/>
          <w:bCs/>
          <w:color w:val="000000" w:themeColor="text1"/>
          <w:lang w:eastAsia="es-MX"/>
        </w:rPr>
        <w:t>por</w:t>
      </w:r>
      <w:r w:rsidR="006426B3" w:rsidRPr="00634773">
        <w:rPr>
          <w:rFonts w:ascii="ITC Avant Garde" w:hAnsi="ITC Avant Garde" w:cs="Tahoma"/>
          <w:bCs/>
          <w:color w:val="000000" w:themeColor="text1"/>
          <w:lang w:eastAsia="es-MX"/>
        </w:rPr>
        <w:t xml:space="preserve"> el artículo 28 párrafo décimo séptimo de la Constitución, a través del oficio IFT/223/UCS/0653/2016 notificado el 3 de mayo de 2016, el Instituto, a través de la Unidad de Concesiones y Servicios, solicitó a la Secretaría la opinión técnica correspondiente a la Solicitud de Prórroga. Al respecto, mediante oficio 2.1.-687/2016 emitido por la Dirección General de Política de Telecomunicaciones y de Radiodifusión, adscrita a la Secretaría, notificó el oficio 1.-287 recibido en este Instituto el 24 de noviembre de 2016, mediante el cual la Secretaría emitió opinión técnica en sentido favorable respecto de la Solicitud de Prórroga.</w:t>
      </w:r>
    </w:p>
    <w:p w:rsidR="00634773" w:rsidRPr="00634773" w:rsidRDefault="00D612A4" w:rsidP="00634773">
      <w:pPr>
        <w:spacing w:before="240" w:line="240" w:lineRule="auto"/>
        <w:jc w:val="both"/>
        <w:rPr>
          <w:rFonts w:ascii="ITC Avant Garde" w:hAnsi="ITC Avant Garde"/>
          <w:bCs/>
        </w:rPr>
      </w:pPr>
      <w:r w:rsidRPr="00634773">
        <w:rPr>
          <w:rFonts w:ascii="ITC Avant Garde" w:hAnsi="ITC Avant Garde"/>
          <w:lang w:val="es-ES"/>
        </w:rPr>
        <w:lastRenderedPageBreak/>
        <w:t xml:space="preserve">Finalmente, por lo que hace al pago de derechos, </w:t>
      </w:r>
      <w:r w:rsidRPr="00634773">
        <w:rPr>
          <w:rFonts w:ascii="ITC Avant Garde" w:hAnsi="ITC Avant Garde"/>
          <w:color w:val="000000"/>
          <w:lang w:eastAsia="es-MX"/>
        </w:rPr>
        <w:t>Telmex</w:t>
      </w:r>
      <w:r w:rsidRPr="00634773">
        <w:rPr>
          <w:rFonts w:ascii="ITC Avant Garde" w:hAnsi="ITC Avant Garde"/>
          <w:lang w:val="es-ES"/>
        </w:rPr>
        <w:t xml:space="preserve"> presentó el comprobante del mismo</w:t>
      </w:r>
      <w:r w:rsidR="00B138F1" w:rsidRPr="00634773">
        <w:rPr>
          <w:rFonts w:ascii="ITC Avant Garde" w:hAnsi="ITC Avant Garde"/>
          <w:lang w:val="es-ES"/>
        </w:rPr>
        <w:t xml:space="preserve">, </w:t>
      </w:r>
      <w:r w:rsidRPr="00634773">
        <w:rPr>
          <w:rFonts w:ascii="ITC Avant Garde" w:hAnsi="ITC Avant Garde"/>
          <w:lang w:val="es-ES"/>
        </w:rPr>
        <w:t>por concepto del estudio de la solicitud, y en su caso, la expedición del título o prórroga de la concesión, conforme al artículo 174-B fracción I inciso b)</w:t>
      </w:r>
      <w:r w:rsidR="00070120" w:rsidRPr="00634773">
        <w:rPr>
          <w:rFonts w:ascii="ITC Avant Garde" w:hAnsi="ITC Avant Garde"/>
          <w:lang w:val="es-ES"/>
        </w:rPr>
        <w:t xml:space="preserve"> de la Ley Federal de Derechos vigente</w:t>
      </w:r>
      <w:r w:rsidRPr="00634773">
        <w:rPr>
          <w:rFonts w:ascii="ITC Avant Garde" w:hAnsi="ITC Avant Garde"/>
          <w:lang w:val="es-ES"/>
        </w:rPr>
        <w:t>.</w:t>
      </w:r>
      <w:r w:rsidR="00152C58" w:rsidRPr="00634773">
        <w:rPr>
          <w:rFonts w:ascii="ITC Avant Garde" w:hAnsi="ITC Avant Garde"/>
          <w:lang w:val="es-ES"/>
        </w:rPr>
        <w:t xml:space="preserve"> </w:t>
      </w:r>
    </w:p>
    <w:p w:rsidR="00634773" w:rsidRPr="00634773" w:rsidRDefault="006E21DC"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Cs/>
        </w:rPr>
        <w:t xml:space="preserve">Por lo anterior y con fundamento en los artículos </w:t>
      </w:r>
      <w:r w:rsidR="002A2EBC" w:rsidRPr="00634773">
        <w:rPr>
          <w:rFonts w:ascii="ITC Avant Garde" w:hAnsi="ITC Avant Garde"/>
          <w:bCs/>
        </w:rPr>
        <w:t>6o. Apartado B fracción II</w:t>
      </w:r>
      <w:r w:rsidR="007B0C59" w:rsidRPr="00634773">
        <w:rPr>
          <w:rFonts w:ascii="ITC Avant Garde" w:hAnsi="ITC Avant Garde"/>
          <w:bCs/>
        </w:rPr>
        <w:t xml:space="preserve"> y </w:t>
      </w:r>
      <w:r w:rsidRPr="00634773">
        <w:rPr>
          <w:rFonts w:ascii="ITC Avant Garde" w:hAnsi="ITC Avant Garde"/>
          <w:bCs/>
        </w:rPr>
        <w:t>28 párrafos décimo quinto, décimo sexto y décimo séptimo</w:t>
      </w:r>
      <w:r w:rsidR="003F530D" w:rsidRPr="00634773">
        <w:rPr>
          <w:rFonts w:ascii="ITC Avant Garde" w:hAnsi="ITC Avant Garde"/>
          <w:bCs/>
        </w:rPr>
        <w:t xml:space="preserve"> </w:t>
      </w:r>
      <w:r w:rsidRPr="00634773">
        <w:rPr>
          <w:rFonts w:ascii="ITC Avant Garde" w:hAnsi="ITC Avant Garde"/>
          <w:bCs/>
        </w:rPr>
        <w:t>de la Constitución Política de los Estados Unidos Mexicanos; Cuarto</w:t>
      </w:r>
      <w:r w:rsidR="00C06CD2" w:rsidRPr="00634773">
        <w:rPr>
          <w:rFonts w:ascii="ITC Avant Garde" w:hAnsi="ITC Avant Garde"/>
          <w:bCs/>
        </w:rPr>
        <w:t xml:space="preserve"> Transitorio</w:t>
      </w:r>
      <w:r w:rsidRPr="00634773">
        <w:rPr>
          <w:rFonts w:ascii="ITC Avant Garde" w:hAnsi="ITC Avant Garde"/>
          <w:bCs/>
        </w:rPr>
        <w:t xml:space="preserve">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00B57A53" w:rsidRPr="00634773">
        <w:rPr>
          <w:rFonts w:ascii="ITC Avant Garde" w:hAnsi="ITC Avant Garde"/>
          <w:bCs/>
        </w:rPr>
        <w:t xml:space="preserve">Séptimo </w:t>
      </w:r>
      <w:r w:rsidR="002C3C33" w:rsidRPr="00634773">
        <w:rPr>
          <w:rFonts w:ascii="ITC Avant Garde" w:hAnsi="ITC Avant Garde"/>
          <w:bCs/>
        </w:rPr>
        <w:t>Transitorio</w:t>
      </w:r>
      <w:r w:rsidR="00D51F26" w:rsidRPr="00634773">
        <w:rPr>
          <w:rFonts w:ascii="ITC Avant Garde" w:hAnsi="ITC Avant Garde"/>
          <w:bCs/>
        </w:rPr>
        <w:t xml:space="preserve"> y Décimo Transitorio</w:t>
      </w:r>
      <w:r w:rsidR="002C3C33" w:rsidRPr="00634773">
        <w:rPr>
          <w:rFonts w:ascii="ITC Avant Garde" w:hAnsi="ITC Avant Garde"/>
          <w:bCs/>
        </w:rPr>
        <w:t xml:space="preserve"> del </w:t>
      </w:r>
      <w:r w:rsidR="002C3C33" w:rsidRPr="00634773">
        <w:rPr>
          <w:rFonts w:ascii="ITC Avant Garde" w:hAnsi="ITC Avant Garde"/>
          <w:bCs/>
          <w:color w:val="000000"/>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w:t>
      </w:r>
      <w:r w:rsidR="00C06CD2" w:rsidRPr="00634773">
        <w:rPr>
          <w:rFonts w:ascii="ITC Avant Garde" w:hAnsi="ITC Avant Garde"/>
          <w:bCs/>
          <w:color w:val="000000"/>
          <w:lang w:eastAsia="es-MX"/>
        </w:rPr>
        <w:t>eración el 14 de julio de 2014;</w:t>
      </w:r>
      <w:r w:rsidR="00A80EE8" w:rsidRPr="00634773">
        <w:rPr>
          <w:rFonts w:ascii="ITC Avant Garde" w:hAnsi="ITC Avant Garde"/>
          <w:bCs/>
          <w:color w:val="000000"/>
          <w:lang w:eastAsia="es-MX"/>
        </w:rPr>
        <w:t xml:space="preserve"> </w:t>
      </w:r>
      <w:r w:rsidR="00C06CD2" w:rsidRPr="00634773">
        <w:rPr>
          <w:rFonts w:ascii="ITC Avant Garde" w:hAnsi="ITC Avant Garde"/>
          <w:bCs/>
          <w:color w:val="000000"/>
          <w:lang w:eastAsia="es-MX"/>
        </w:rPr>
        <w:t xml:space="preserve">6 fracción IV, </w:t>
      </w:r>
      <w:r w:rsidR="002C3C33" w:rsidRPr="00634773">
        <w:rPr>
          <w:rFonts w:ascii="ITC Avant Garde" w:hAnsi="ITC Avant Garde"/>
          <w:bCs/>
          <w:color w:val="000000"/>
          <w:lang w:eastAsia="es-MX"/>
        </w:rPr>
        <w:t>15 fracci</w:t>
      </w:r>
      <w:r w:rsidR="00A80EE8" w:rsidRPr="00634773">
        <w:rPr>
          <w:rFonts w:ascii="ITC Avant Garde" w:hAnsi="ITC Avant Garde"/>
          <w:bCs/>
          <w:color w:val="000000"/>
          <w:lang w:eastAsia="es-MX"/>
        </w:rPr>
        <w:t>ones</w:t>
      </w:r>
      <w:r w:rsidR="002C3C33" w:rsidRPr="00634773">
        <w:rPr>
          <w:rFonts w:ascii="ITC Avant Garde" w:hAnsi="ITC Avant Garde"/>
          <w:bCs/>
          <w:color w:val="000000"/>
          <w:lang w:eastAsia="es-MX"/>
        </w:rPr>
        <w:t xml:space="preserve"> IV</w:t>
      </w:r>
      <w:r w:rsidR="00A80EE8" w:rsidRPr="00634773">
        <w:rPr>
          <w:rFonts w:ascii="ITC Avant Garde" w:hAnsi="ITC Avant Garde"/>
          <w:bCs/>
          <w:color w:val="000000"/>
          <w:lang w:eastAsia="es-MX"/>
        </w:rPr>
        <w:t xml:space="preserve"> y LVII</w:t>
      </w:r>
      <w:r w:rsidR="002C3C33" w:rsidRPr="00634773">
        <w:rPr>
          <w:rFonts w:ascii="ITC Avant Garde" w:hAnsi="ITC Avant Garde"/>
          <w:bCs/>
          <w:color w:val="000000"/>
          <w:lang w:eastAsia="es-MX"/>
        </w:rPr>
        <w:t>, 16, 17 fr</w:t>
      </w:r>
      <w:r w:rsidR="00B57A53" w:rsidRPr="00634773">
        <w:rPr>
          <w:rFonts w:ascii="ITC Avant Garde" w:hAnsi="ITC Avant Garde"/>
          <w:bCs/>
          <w:color w:val="000000"/>
          <w:lang w:eastAsia="es-MX"/>
        </w:rPr>
        <w:t>acción I, 66, 67 fracción I, 113, 114</w:t>
      </w:r>
      <w:r w:rsidR="00C84A01" w:rsidRPr="00634773">
        <w:rPr>
          <w:rFonts w:ascii="ITC Avant Garde" w:hAnsi="ITC Avant Garde"/>
          <w:bCs/>
          <w:color w:val="000000"/>
          <w:lang w:eastAsia="es-MX"/>
        </w:rPr>
        <w:t>, 177 fracciones I y XXII</w:t>
      </w:r>
      <w:r w:rsidR="00B57A53" w:rsidRPr="00634773">
        <w:rPr>
          <w:rFonts w:ascii="ITC Avant Garde" w:hAnsi="ITC Avant Garde"/>
          <w:bCs/>
          <w:color w:val="000000"/>
          <w:lang w:eastAsia="es-MX"/>
        </w:rPr>
        <w:t xml:space="preserve"> </w:t>
      </w:r>
      <w:r w:rsidR="002C3C33" w:rsidRPr="00634773">
        <w:rPr>
          <w:rFonts w:ascii="ITC Avant Garde" w:hAnsi="ITC Avant Garde"/>
          <w:bCs/>
        </w:rPr>
        <w:t xml:space="preserve">de la Ley Federal de Telecomunicaciones y Radiodifusión; </w:t>
      </w:r>
      <w:r w:rsidRPr="00634773">
        <w:rPr>
          <w:rFonts w:ascii="ITC Avant Garde" w:hAnsi="ITC Avant Garde"/>
          <w:bCs/>
        </w:rPr>
        <w:t xml:space="preserve">35 fracción I, 36, 38 y 39 de la Ley Federal de Procedimiento Administrativo; </w:t>
      </w:r>
      <w:r w:rsidR="003A5601" w:rsidRPr="00634773">
        <w:rPr>
          <w:rFonts w:ascii="ITC Avant Garde" w:hAnsi="ITC Avant Garde"/>
          <w:bCs/>
        </w:rPr>
        <w:t>174</w:t>
      </w:r>
      <w:r w:rsidR="0091279D" w:rsidRPr="00634773">
        <w:rPr>
          <w:rFonts w:ascii="ITC Avant Garde" w:hAnsi="ITC Avant Garde"/>
          <w:bCs/>
        </w:rPr>
        <w:t>-</w:t>
      </w:r>
      <w:r w:rsidR="003A5601" w:rsidRPr="00634773">
        <w:rPr>
          <w:rFonts w:ascii="ITC Avant Garde" w:hAnsi="ITC Avant Garde"/>
          <w:bCs/>
        </w:rPr>
        <w:t>B</w:t>
      </w:r>
      <w:r w:rsidR="009853F2" w:rsidRPr="00634773">
        <w:rPr>
          <w:rFonts w:ascii="ITC Avant Garde" w:hAnsi="ITC Avant Garde"/>
          <w:bCs/>
          <w:color w:val="000000"/>
          <w:lang w:eastAsia="es-MX"/>
        </w:rPr>
        <w:t xml:space="preserve"> fracci</w:t>
      </w:r>
      <w:r w:rsidR="00497058" w:rsidRPr="00634773">
        <w:rPr>
          <w:rFonts w:ascii="ITC Avant Garde" w:hAnsi="ITC Avant Garde"/>
          <w:bCs/>
          <w:color w:val="000000"/>
          <w:lang w:eastAsia="es-MX"/>
        </w:rPr>
        <w:t>ón</w:t>
      </w:r>
      <w:r w:rsidR="003A5601" w:rsidRPr="00634773">
        <w:rPr>
          <w:rFonts w:ascii="ITC Avant Garde" w:hAnsi="ITC Avant Garde"/>
          <w:bCs/>
          <w:color w:val="000000"/>
          <w:lang w:eastAsia="es-MX"/>
        </w:rPr>
        <w:t xml:space="preserve"> I</w:t>
      </w:r>
      <w:r w:rsidR="001B3B36" w:rsidRPr="00634773">
        <w:rPr>
          <w:rFonts w:ascii="ITC Avant Garde" w:hAnsi="ITC Avant Garde"/>
          <w:bCs/>
          <w:color w:val="000000"/>
          <w:lang w:eastAsia="es-MX"/>
        </w:rPr>
        <w:t>, inciso b)</w:t>
      </w:r>
      <w:r w:rsidR="009853F2" w:rsidRPr="00634773">
        <w:rPr>
          <w:rFonts w:ascii="ITC Avant Garde" w:hAnsi="ITC Avant Garde"/>
          <w:bCs/>
          <w:color w:val="000000"/>
          <w:lang w:eastAsia="es-MX"/>
        </w:rPr>
        <w:t xml:space="preserve"> de la Ley Federal de Derechos; </w:t>
      </w:r>
      <w:r w:rsidR="008543BF" w:rsidRPr="00634773">
        <w:rPr>
          <w:rFonts w:ascii="ITC Avant Garde" w:hAnsi="ITC Avant Garde"/>
          <w:bCs/>
        </w:rPr>
        <w:t xml:space="preserve">y 1, 6 fracciones I, </w:t>
      </w:r>
      <w:r w:rsidRPr="00634773">
        <w:rPr>
          <w:rFonts w:ascii="ITC Avant Garde" w:hAnsi="ITC Avant Garde"/>
          <w:bCs/>
        </w:rPr>
        <w:t>VI</w:t>
      </w:r>
      <w:r w:rsidR="008543BF" w:rsidRPr="00634773">
        <w:rPr>
          <w:rFonts w:ascii="ITC Avant Garde" w:hAnsi="ITC Avant Garde"/>
          <w:bCs/>
        </w:rPr>
        <w:t>, XVIII y XXXVIII</w:t>
      </w:r>
      <w:r w:rsidRPr="00634773">
        <w:rPr>
          <w:rFonts w:ascii="ITC Avant Garde" w:hAnsi="ITC Avant Garde"/>
          <w:bCs/>
        </w:rPr>
        <w:t xml:space="preserve">, </w:t>
      </w:r>
      <w:r w:rsidR="008543BF" w:rsidRPr="00634773">
        <w:rPr>
          <w:rFonts w:ascii="ITC Avant Garde" w:hAnsi="ITC Avant Garde"/>
          <w:bCs/>
        </w:rPr>
        <w:t>21,</w:t>
      </w:r>
      <w:r w:rsidR="00F51AF5" w:rsidRPr="00634773">
        <w:rPr>
          <w:rFonts w:ascii="ITC Avant Garde" w:hAnsi="ITC Avant Garde"/>
          <w:bCs/>
        </w:rPr>
        <w:t xml:space="preserve"> </w:t>
      </w:r>
      <w:r w:rsidRPr="00634773">
        <w:rPr>
          <w:rFonts w:ascii="ITC Avant Garde" w:hAnsi="ITC Avant Garde"/>
          <w:bCs/>
        </w:rPr>
        <w:t>32, 33 fracción II, 41</w:t>
      </w:r>
      <w:r w:rsidR="009853F2" w:rsidRPr="00634773">
        <w:rPr>
          <w:rFonts w:ascii="ITC Avant Garde" w:hAnsi="ITC Avant Garde"/>
          <w:bCs/>
        </w:rPr>
        <w:t>,</w:t>
      </w:r>
      <w:r w:rsidR="008543BF" w:rsidRPr="00634773">
        <w:rPr>
          <w:rFonts w:ascii="ITC Avant Garde" w:hAnsi="ITC Avant Garde"/>
          <w:bCs/>
        </w:rPr>
        <w:t xml:space="preserve"> 42 fracciones I</w:t>
      </w:r>
      <w:r w:rsidRPr="00634773">
        <w:rPr>
          <w:rFonts w:ascii="ITC Avant Garde" w:hAnsi="ITC Avant Garde"/>
          <w:bCs/>
        </w:rPr>
        <w:t xml:space="preserve"> y XV</w:t>
      </w:r>
      <w:r w:rsidR="009853F2" w:rsidRPr="00634773">
        <w:rPr>
          <w:rFonts w:ascii="ITC Avant Garde" w:hAnsi="ITC Avant Garde"/>
          <w:bCs/>
        </w:rPr>
        <w:t xml:space="preserve">, </w:t>
      </w:r>
      <w:r w:rsidR="008543BF" w:rsidRPr="00634773">
        <w:rPr>
          <w:rFonts w:ascii="ITC Avant Garde" w:hAnsi="ITC Avant Garde"/>
          <w:bCs/>
        </w:rPr>
        <w:t xml:space="preserve">46, </w:t>
      </w:r>
      <w:r w:rsidR="009853F2" w:rsidRPr="00634773">
        <w:rPr>
          <w:rFonts w:ascii="ITC Avant Garde" w:hAnsi="ITC Avant Garde"/>
          <w:bCs/>
        </w:rPr>
        <w:t>47</w:t>
      </w:r>
      <w:r w:rsidR="008543BF" w:rsidRPr="00634773">
        <w:rPr>
          <w:rFonts w:ascii="ITC Avant Garde" w:hAnsi="ITC Avant Garde"/>
          <w:bCs/>
        </w:rPr>
        <w:t xml:space="preserve">, </w:t>
      </w:r>
      <w:r w:rsidRPr="00634773">
        <w:rPr>
          <w:rFonts w:ascii="ITC Avant Garde" w:hAnsi="ITC Avant Garde"/>
          <w:bCs/>
        </w:rPr>
        <w:t>50 fracción XII</w:t>
      </w:r>
      <w:r w:rsidR="008543BF" w:rsidRPr="00634773">
        <w:rPr>
          <w:rFonts w:ascii="ITC Avant Garde" w:hAnsi="ITC Avant Garde"/>
          <w:bCs/>
        </w:rPr>
        <w:t>, 52 y 54 fracción IX</w:t>
      </w:r>
      <w:r w:rsidRPr="00634773">
        <w:rPr>
          <w:rFonts w:ascii="ITC Avant Garde" w:hAnsi="ITC Avant Garde"/>
          <w:bCs/>
        </w:rPr>
        <w:t xml:space="preserve"> del Estatuto Orgánico del Instituto Federal de Telecomunicaciones, </w:t>
      </w:r>
      <w:r w:rsidR="00624699" w:rsidRPr="00634773">
        <w:rPr>
          <w:rFonts w:ascii="ITC Avant Garde" w:hAnsi="ITC Avant Garde"/>
          <w:bCs/>
        </w:rPr>
        <w:t>el</w:t>
      </w:r>
      <w:r w:rsidRPr="00634773">
        <w:rPr>
          <w:rFonts w:ascii="ITC Avant Garde" w:hAnsi="ITC Avant Garde"/>
          <w:bCs/>
        </w:rPr>
        <w:t xml:space="preserve"> </w:t>
      </w:r>
      <w:r w:rsidR="00C84A01" w:rsidRPr="00634773">
        <w:rPr>
          <w:rFonts w:ascii="ITC Avant Garde" w:hAnsi="ITC Avant Garde"/>
          <w:bCs/>
        </w:rPr>
        <w:t>Pleno del Instituto Federal de Telecomunicaciones</w:t>
      </w:r>
      <w:r w:rsidRPr="00634773">
        <w:rPr>
          <w:rFonts w:ascii="ITC Avant Garde" w:hAnsi="ITC Avant Garde"/>
          <w:bCs/>
        </w:rPr>
        <w:t xml:space="preserve"> emite los siguientes:</w:t>
      </w:r>
    </w:p>
    <w:p w:rsidR="00634773" w:rsidRPr="00634773" w:rsidRDefault="006E21DC" w:rsidP="00634773">
      <w:pPr>
        <w:pStyle w:val="Ttulo2"/>
        <w:spacing w:after="240"/>
        <w:jc w:val="center"/>
        <w:rPr>
          <w:rFonts w:ascii="ITC Avant Garde" w:hAnsi="ITC Avant Garde"/>
          <w:b/>
          <w:color w:val="000000" w:themeColor="text1"/>
          <w:sz w:val="22"/>
          <w:szCs w:val="22"/>
        </w:rPr>
      </w:pPr>
      <w:r w:rsidRPr="00634773">
        <w:rPr>
          <w:rFonts w:ascii="ITC Avant Garde" w:hAnsi="ITC Avant Garde"/>
          <w:b/>
          <w:color w:val="000000" w:themeColor="text1"/>
          <w:sz w:val="22"/>
          <w:szCs w:val="22"/>
        </w:rPr>
        <w:t>RESOLUTIVOS</w:t>
      </w:r>
    </w:p>
    <w:p w:rsidR="00634773" w:rsidRPr="00634773" w:rsidRDefault="006E21DC"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
          <w:bCs/>
        </w:rPr>
        <w:t>PRIMERO.-</w:t>
      </w:r>
      <w:r w:rsidRPr="00634773">
        <w:rPr>
          <w:rFonts w:ascii="ITC Avant Garde" w:hAnsi="ITC Avant Garde"/>
          <w:bCs/>
        </w:rPr>
        <w:t xml:space="preserve"> </w:t>
      </w:r>
      <w:r w:rsidR="00C06CD2" w:rsidRPr="00634773">
        <w:rPr>
          <w:rFonts w:ascii="ITC Avant Garde" w:hAnsi="ITC Avant Garde"/>
          <w:bCs/>
        </w:rPr>
        <w:t>Se pr</w:t>
      </w:r>
      <w:r w:rsidR="00B0660B" w:rsidRPr="00634773">
        <w:rPr>
          <w:rFonts w:ascii="ITC Avant Garde" w:hAnsi="ITC Avant Garde"/>
          <w:bCs/>
        </w:rPr>
        <w:t>o</w:t>
      </w:r>
      <w:r w:rsidR="00C06CD2" w:rsidRPr="00634773">
        <w:rPr>
          <w:rFonts w:ascii="ITC Avant Garde" w:hAnsi="ITC Avant Garde"/>
          <w:bCs/>
        </w:rPr>
        <w:t xml:space="preserve">rroga la vigencia de la </w:t>
      </w:r>
      <w:r w:rsidR="005D2D92" w:rsidRPr="00634773">
        <w:rPr>
          <w:rFonts w:ascii="ITC Avant Garde" w:hAnsi="ITC Avant Garde"/>
          <w:bCs/>
        </w:rPr>
        <w:t>C</w:t>
      </w:r>
      <w:r w:rsidR="00713B40" w:rsidRPr="00634773">
        <w:rPr>
          <w:rFonts w:ascii="ITC Avant Garde" w:hAnsi="ITC Avant Garde"/>
          <w:bCs/>
        </w:rPr>
        <w:t xml:space="preserve">oncesión </w:t>
      </w:r>
      <w:r w:rsidR="0007381C" w:rsidRPr="00634773">
        <w:rPr>
          <w:rFonts w:ascii="ITC Avant Garde" w:hAnsi="ITC Avant Garde"/>
          <w:bCs/>
        </w:rPr>
        <w:t xml:space="preserve">referida en el Antecedente II de la presente Resolución, </w:t>
      </w:r>
      <w:r w:rsidR="00713B40" w:rsidRPr="00634773">
        <w:rPr>
          <w:rFonts w:ascii="ITC Avant Garde" w:hAnsi="ITC Avant Garde"/>
          <w:bCs/>
        </w:rPr>
        <w:t>por un periodo de 30 (treinta) años contados a partir del 11 de marzo de 2026</w:t>
      </w:r>
      <w:r w:rsidR="00AA2F40" w:rsidRPr="00634773">
        <w:rPr>
          <w:rFonts w:ascii="ITC Avant Garde" w:hAnsi="ITC Avant Garde"/>
          <w:bCs/>
        </w:rPr>
        <w:t>, sujeta a la aceptación de las condiciones que se establece</w:t>
      </w:r>
      <w:r w:rsidR="005D2D92" w:rsidRPr="00634773">
        <w:rPr>
          <w:rFonts w:ascii="ITC Avant Garde" w:hAnsi="ITC Avant Garde"/>
          <w:bCs/>
        </w:rPr>
        <w:t>n</w:t>
      </w:r>
      <w:r w:rsidR="00AA2F40" w:rsidRPr="00634773">
        <w:rPr>
          <w:rFonts w:ascii="ITC Avant Garde" w:hAnsi="ITC Avant Garde"/>
          <w:bCs/>
        </w:rPr>
        <w:t xml:space="preserve"> en el Resolutivo siguiente</w:t>
      </w:r>
      <w:r w:rsidR="00B15D4E" w:rsidRPr="00634773">
        <w:rPr>
          <w:rFonts w:ascii="ITC Avant Garde" w:hAnsi="ITC Avant Garde"/>
          <w:bCs/>
        </w:rPr>
        <w:t>.</w:t>
      </w:r>
      <w:r w:rsidR="00085498" w:rsidRPr="00634773">
        <w:rPr>
          <w:rFonts w:ascii="ITC Avant Garde" w:hAnsi="ITC Avant Garde"/>
          <w:bCs/>
        </w:rPr>
        <w:t xml:space="preserve"> </w:t>
      </w:r>
      <w:r w:rsidR="00AE5E8A" w:rsidRPr="00634773">
        <w:rPr>
          <w:rFonts w:ascii="ITC Avant Garde" w:hAnsi="ITC Avant Garde"/>
          <w:bCs/>
        </w:rPr>
        <w:t xml:space="preserve"> </w:t>
      </w:r>
    </w:p>
    <w:p w:rsidR="00634773" w:rsidRPr="00634773" w:rsidRDefault="0029691A" w:rsidP="00634773">
      <w:pPr>
        <w:autoSpaceDE w:val="0"/>
        <w:autoSpaceDN w:val="0"/>
        <w:adjustRightInd w:val="0"/>
        <w:spacing w:before="240" w:line="240" w:lineRule="auto"/>
        <w:jc w:val="both"/>
        <w:rPr>
          <w:rFonts w:ascii="ITC Avant Garde" w:hAnsi="ITC Avant Garde"/>
          <w:bCs/>
        </w:rPr>
      </w:pPr>
      <w:r w:rsidRPr="00634773">
        <w:rPr>
          <w:rFonts w:ascii="ITC Avant Garde" w:hAnsi="ITC Avant Garde"/>
          <w:b/>
          <w:bCs/>
          <w:lang w:val="es-ES_tradnl"/>
        </w:rPr>
        <w:t>SEGUNDO</w:t>
      </w:r>
      <w:r w:rsidR="006E21DC" w:rsidRPr="00634773">
        <w:rPr>
          <w:rFonts w:ascii="ITC Avant Garde" w:hAnsi="ITC Avant Garde"/>
          <w:b/>
          <w:bCs/>
          <w:lang w:val="es-ES_tradnl"/>
        </w:rPr>
        <w:t xml:space="preserve">.- </w:t>
      </w:r>
      <w:r w:rsidR="00AA2F40" w:rsidRPr="00634773">
        <w:rPr>
          <w:rFonts w:ascii="ITC Avant Garde" w:hAnsi="ITC Avant Garde"/>
          <w:bCs/>
          <w:lang w:val="es-ES_tradnl"/>
        </w:rPr>
        <w:t>Para efecto</w:t>
      </w:r>
      <w:r w:rsidR="005D2D92" w:rsidRPr="00634773">
        <w:rPr>
          <w:rFonts w:ascii="ITC Avant Garde" w:hAnsi="ITC Avant Garde"/>
          <w:bCs/>
          <w:lang w:val="es-ES_tradnl"/>
        </w:rPr>
        <w:t>s</w:t>
      </w:r>
      <w:r w:rsidR="00AA2F40" w:rsidRPr="00634773">
        <w:rPr>
          <w:rFonts w:ascii="ITC Avant Garde" w:hAnsi="ITC Avant Garde"/>
          <w:bCs/>
          <w:lang w:val="es-ES_tradnl"/>
        </w:rPr>
        <w:t xml:space="preserve"> de lo señalado en el Resolutivo anterior, </w:t>
      </w:r>
      <w:r w:rsidR="00DC7621" w:rsidRPr="00634773">
        <w:rPr>
          <w:rFonts w:ascii="ITC Avant Garde" w:hAnsi="ITC Avant Garde"/>
          <w:bCs/>
        </w:rPr>
        <w:t>Teléfonos de México, S.A.B. de C.V. deberá manifestar por escrito ante el Instituto</w:t>
      </w:r>
      <w:r w:rsidR="00AA2F40" w:rsidRPr="00634773">
        <w:rPr>
          <w:rFonts w:ascii="ITC Avant Garde" w:hAnsi="ITC Avant Garde"/>
          <w:bCs/>
        </w:rPr>
        <w:t xml:space="preserve"> Federal de Telecomunicaciones</w:t>
      </w:r>
      <w:r w:rsidR="00DC7621" w:rsidRPr="00634773">
        <w:rPr>
          <w:rFonts w:ascii="ITC Avant Garde" w:hAnsi="ITC Avant Garde"/>
          <w:bCs/>
        </w:rPr>
        <w:t xml:space="preserve">, </w:t>
      </w:r>
      <w:r w:rsidR="00FE03AE" w:rsidRPr="00634773">
        <w:rPr>
          <w:rFonts w:ascii="ITC Avant Garde" w:hAnsi="ITC Avant Garde"/>
          <w:bCs/>
        </w:rPr>
        <w:t>dentro de los 15 (quince) días hábiles posteriores a que surta efecto</w:t>
      </w:r>
      <w:r w:rsidR="006B3539" w:rsidRPr="00634773">
        <w:rPr>
          <w:rFonts w:ascii="ITC Avant Garde" w:hAnsi="ITC Avant Garde"/>
          <w:bCs/>
        </w:rPr>
        <w:t>s</w:t>
      </w:r>
      <w:r w:rsidR="00FE03AE" w:rsidRPr="00634773">
        <w:rPr>
          <w:rFonts w:ascii="ITC Avant Garde" w:hAnsi="ITC Avant Garde"/>
          <w:bCs/>
        </w:rPr>
        <w:t xml:space="preserve"> </w:t>
      </w:r>
      <w:r w:rsidR="006B3539" w:rsidRPr="00634773">
        <w:rPr>
          <w:rFonts w:ascii="ITC Avant Garde" w:hAnsi="ITC Avant Garde"/>
          <w:bCs/>
        </w:rPr>
        <w:t xml:space="preserve">la </w:t>
      </w:r>
      <w:r w:rsidR="00FE03AE" w:rsidRPr="00634773">
        <w:rPr>
          <w:rFonts w:ascii="ITC Avant Garde" w:hAnsi="ITC Avant Garde"/>
          <w:bCs/>
        </w:rPr>
        <w:t>notificación</w:t>
      </w:r>
      <w:r w:rsidR="006B3539" w:rsidRPr="00634773">
        <w:rPr>
          <w:rFonts w:ascii="ITC Avant Garde" w:hAnsi="ITC Avant Garde"/>
          <w:bCs/>
        </w:rPr>
        <w:t xml:space="preserve"> de la presente Resolución</w:t>
      </w:r>
      <w:r w:rsidR="00FE03AE" w:rsidRPr="00634773">
        <w:rPr>
          <w:rFonts w:ascii="ITC Avant Garde" w:hAnsi="ITC Avant Garde"/>
          <w:bCs/>
        </w:rPr>
        <w:t xml:space="preserve">, </w:t>
      </w:r>
      <w:r w:rsidR="00AA2F40" w:rsidRPr="00634773">
        <w:rPr>
          <w:rFonts w:ascii="ITC Avant Garde" w:hAnsi="ITC Avant Garde"/>
          <w:bCs/>
        </w:rPr>
        <w:t xml:space="preserve">la aceptación de las siguientes condiciones: </w:t>
      </w:r>
    </w:p>
    <w:p w:rsidR="00634773" w:rsidRPr="00634773" w:rsidRDefault="00FE03AE" w:rsidP="00634773">
      <w:pPr>
        <w:pStyle w:val="Prrafodelista"/>
        <w:numPr>
          <w:ilvl w:val="0"/>
          <w:numId w:val="19"/>
        </w:numPr>
        <w:autoSpaceDE w:val="0"/>
        <w:autoSpaceDN w:val="0"/>
        <w:adjustRightInd w:val="0"/>
        <w:spacing w:before="240" w:after="200"/>
        <w:jc w:val="both"/>
        <w:rPr>
          <w:rFonts w:ascii="ITC Avant Garde" w:hAnsi="ITC Avant Garde"/>
          <w:bCs/>
          <w:sz w:val="22"/>
          <w:szCs w:val="22"/>
          <w:lang w:val="es-ES_tradnl"/>
        </w:rPr>
      </w:pPr>
      <w:r w:rsidRPr="00634773">
        <w:rPr>
          <w:rFonts w:ascii="ITC Avant Garde" w:hAnsi="ITC Avant Garde"/>
          <w:bCs/>
          <w:sz w:val="22"/>
          <w:szCs w:val="22"/>
          <w:lang w:val="es-ES_tradnl"/>
        </w:rPr>
        <w:t>Q</w:t>
      </w:r>
      <w:r w:rsidR="00875064" w:rsidRPr="00634773">
        <w:rPr>
          <w:rFonts w:ascii="ITC Avant Garde" w:hAnsi="ITC Avant Garde"/>
          <w:bCs/>
          <w:sz w:val="22"/>
          <w:szCs w:val="22"/>
          <w:lang w:val="es-ES_tradnl"/>
        </w:rPr>
        <w:t xml:space="preserve">ue </w:t>
      </w:r>
      <w:r w:rsidR="00933C4D" w:rsidRPr="00634773">
        <w:rPr>
          <w:rFonts w:ascii="ITC Avant Garde" w:hAnsi="ITC Avant Garde"/>
          <w:bCs/>
          <w:sz w:val="22"/>
          <w:szCs w:val="22"/>
          <w:lang w:val="es-ES_tradnl"/>
        </w:rPr>
        <w:t>el Institu</w:t>
      </w:r>
      <w:r w:rsidR="005269BE" w:rsidRPr="00634773">
        <w:rPr>
          <w:rFonts w:ascii="ITC Avant Garde" w:hAnsi="ITC Avant Garde"/>
          <w:bCs/>
          <w:sz w:val="22"/>
          <w:szCs w:val="22"/>
          <w:lang w:val="es-ES_tradnl"/>
        </w:rPr>
        <w:t>to le notificará</w:t>
      </w:r>
      <w:r w:rsidR="00933C4D" w:rsidRPr="00634773">
        <w:rPr>
          <w:rFonts w:ascii="ITC Avant Garde" w:hAnsi="ITC Avant Garde"/>
          <w:bCs/>
          <w:sz w:val="22"/>
          <w:szCs w:val="22"/>
          <w:lang w:val="es-ES_tradnl"/>
        </w:rPr>
        <w:t xml:space="preserve"> </w:t>
      </w:r>
      <w:r w:rsidR="00875064" w:rsidRPr="00634773">
        <w:rPr>
          <w:rFonts w:ascii="ITC Avant Garde" w:hAnsi="ITC Avant Garde"/>
          <w:bCs/>
          <w:sz w:val="22"/>
          <w:szCs w:val="22"/>
          <w:lang w:val="es-ES_tradnl"/>
        </w:rPr>
        <w:t>el proyecto de título de concesión</w:t>
      </w:r>
      <w:r w:rsidR="005D2D92" w:rsidRPr="00634773">
        <w:rPr>
          <w:rFonts w:ascii="ITC Avant Garde" w:hAnsi="ITC Avant Garde"/>
          <w:bCs/>
          <w:sz w:val="22"/>
          <w:szCs w:val="22"/>
          <w:lang w:val="es-ES_tradnl"/>
        </w:rPr>
        <w:t xml:space="preserve"> habilitante para la prestación de los servicios respectivos</w:t>
      </w:r>
      <w:r w:rsidR="00933C4D" w:rsidRPr="00634773">
        <w:rPr>
          <w:rFonts w:ascii="ITC Avant Garde" w:hAnsi="ITC Avant Garde"/>
          <w:bCs/>
          <w:sz w:val="22"/>
          <w:szCs w:val="22"/>
          <w:lang w:val="es-ES_tradnl"/>
        </w:rPr>
        <w:t xml:space="preserve"> dentro del primer trimestre </w:t>
      </w:r>
      <w:r w:rsidR="002D60F6" w:rsidRPr="00634773">
        <w:rPr>
          <w:rFonts w:ascii="ITC Avant Garde" w:hAnsi="ITC Avant Garde"/>
          <w:bCs/>
          <w:sz w:val="22"/>
          <w:szCs w:val="22"/>
          <w:lang w:val="es-ES_tradnl"/>
        </w:rPr>
        <w:t xml:space="preserve">calendario </w:t>
      </w:r>
      <w:r w:rsidR="00933C4D" w:rsidRPr="00634773">
        <w:rPr>
          <w:rFonts w:ascii="ITC Avant Garde" w:hAnsi="ITC Avant Garde"/>
          <w:bCs/>
          <w:sz w:val="22"/>
          <w:szCs w:val="22"/>
          <w:lang w:val="es-ES_tradnl"/>
        </w:rPr>
        <w:t>del año 2023</w:t>
      </w:r>
      <w:r w:rsidR="005D2D92" w:rsidRPr="00634773">
        <w:rPr>
          <w:rFonts w:ascii="ITC Avant Garde" w:hAnsi="ITC Avant Garde"/>
          <w:bCs/>
          <w:sz w:val="22"/>
          <w:szCs w:val="22"/>
          <w:lang w:val="es-ES_tradnl"/>
        </w:rPr>
        <w:t xml:space="preserve">, </w:t>
      </w:r>
      <w:r w:rsidR="00875064" w:rsidRPr="00634773">
        <w:rPr>
          <w:rFonts w:ascii="ITC Avant Garde" w:hAnsi="ITC Avant Garde"/>
          <w:bCs/>
          <w:sz w:val="22"/>
          <w:szCs w:val="22"/>
          <w:lang w:val="es-ES_tradnl"/>
        </w:rPr>
        <w:t xml:space="preserve">de conformidad con la </w:t>
      </w:r>
      <w:r w:rsidR="00933C4D" w:rsidRPr="00634773">
        <w:rPr>
          <w:rFonts w:ascii="ITC Avant Garde" w:hAnsi="ITC Avant Garde"/>
          <w:bCs/>
          <w:sz w:val="22"/>
          <w:szCs w:val="22"/>
          <w:lang w:val="es-ES_tradnl"/>
        </w:rPr>
        <w:t>normatividad</w:t>
      </w:r>
      <w:r w:rsidR="00875064" w:rsidRPr="00634773">
        <w:rPr>
          <w:rFonts w:ascii="ITC Avant Garde" w:hAnsi="ITC Avant Garde"/>
          <w:bCs/>
          <w:sz w:val="22"/>
          <w:szCs w:val="22"/>
          <w:lang w:val="es-ES_tradnl"/>
        </w:rPr>
        <w:t xml:space="preserve"> vigente en ese momento</w:t>
      </w:r>
      <w:r w:rsidR="00DC7621" w:rsidRPr="00634773">
        <w:rPr>
          <w:rFonts w:ascii="ITC Avant Garde" w:hAnsi="ITC Avant Garde"/>
          <w:bCs/>
          <w:sz w:val="22"/>
          <w:szCs w:val="22"/>
          <w:lang w:val="es-ES_tradnl"/>
        </w:rPr>
        <w:t>,</w:t>
      </w:r>
      <w:r w:rsidR="00875064" w:rsidRPr="00634773">
        <w:rPr>
          <w:rFonts w:ascii="ITC Avant Garde" w:hAnsi="ITC Avant Garde"/>
          <w:bCs/>
          <w:sz w:val="22"/>
          <w:szCs w:val="22"/>
          <w:lang w:val="es-ES_tradnl"/>
        </w:rPr>
        <w:t xml:space="preserve"> </w:t>
      </w:r>
      <w:r w:rsidR="00DC7621" w:rsidRPr="00634773">
        <w:rPr>
          <w:rFonts w:ascii="ITC Avant Garde" w:hAnsi="ITC Avant Garde"/>
          <w:bCs/>
          <w:sz w:val="22"/>
          <w:szCs w:val="22"/>
          <w:lang w:val="es-ES_tradnl"/>
        </w:rPr>
        <w:t>y</w:t>
      </w:r>
    </w:p>
    <w:p w:rsidR="00634773" w:rsidRPr="00634773" w:rsidRDefault="00FE03AE" w:rsidP="00634773">
      <w:pPr>
        <w:pStyle w:val="Prrafodelista"/>
        <w:numPr>
          <w:ilvl w:val="0"/>
          <w:numId w:val="19"/>
        </w:numPr>
        <w:autoSpaceDE w:val="0"/>
        <w:autoSpaceDN w:val="0"/>
        <w:adjustRightInd w:val="0"/>
        <w:spacing w:before="240" w:after="200"/>
        <w:jc w:val="both"/>
        <w:rPr>
          <w:rFonts w:ascii="ITC Avant Garde" w:eastAsia="Calibri" w:hAnsi="ITC Avant Garde"/>
          <w:bCs/>
          <w:sz w:val="22"/>
          <w:szCs w:val="22"/>
        </w:rPr>
      </w:pPr>
      <w:r w:rsidRPr="00634773">
        <w:rPr>
          <w:rFonts w:ascii="ITC Avant Garde" w:eastAsia="Calibri" w:hAnsi="ITC Avant Garde"/>
          <w:bCs/>
          <w:sz w:val="22"/>
          <w:szCs w:val="22"/>
        </w:rPr>
        <w:t xml:space="preserve">Que </w:t>
      </w:r>
      <w:r w:rsidR="00875064" w:rsidRPr="00634773">
        <w:rPr>
          <w:rFonts w:ascii="ITC Avant Garde" w:eastAsia="Calibri" w:hAnsi="ITC Avant Garde"/>
          <w:bCs/>
          <w:sz w:val="22"/>
          <w:szCs w:val="22"/>
        </w:rPr>
        <w:t>en un plazo de 30 (treinta) días hábiles contados a partir de la notificación del proyecto de título de concesión señalado en el inciso 1</w:t>
      </w:r>
      <w:r w:rsidR="005D2D92" w:rsidRPr="00634773">
        <w:rPr>
          <w:rFonts w:ascii="ITC Avant Garde" w:eastAsia="Calibri" w:hAnsi="ITC Avant Garde"/>
          <w:bCs/>
          <w:sz w:val="22"/>
          <w:szCs w:val="22"/>
        </w:rPr>
        <w:t xml:space="preserve">) </w:t>
      </w:r>
      <w:r w:rsidR="005D2D92" w:rsidRPr="00634773">
        <w:rPr>
          <w:rFonts w:ascii="ITC Avant Garde" w:eastAsia="Calibri" w:hAnsi="ITC Avant Garde"/>
          <w:bCs/>
          <w:sz w:val="22"/>
          <w:szCs w:val="22"/>
        </w:rPr>
        <w:lastRenderedPageBreak/>
        <w:t>anterior</w:t>
      </w:r>
      <w:r w:rsidR="00875064" w:rsidRPr="00634773">
        <w:rPr>
          <w:rFonts w:ascii="ITC Avant Garde" w:eastAsia="Calibri" w:hAnsi="ITC Avant Garde"/>
          <w:bCs/>
          <w:sz w:val="22"/>
          <w:szCs w:val="22"/>
        </w:rPr>
        <w:t xml:space="preserve">, </w:t>
      </w:r>
      <w:r w:rsidRPr="00634773">
        <w:rPr>
          <w:rFonts w:ascii="ITC Avant Garde" w:eastAsia="Calibri" w:hAnsi="ITC Avant Garde"/>
          <w:bCs/>
          <w:sz w:val="22"/>
          <w:szCs w:val="22"/>
        </w:rPr>
        <w:t xml:space="preserve">Teléfonos de México, S.A.B. de C.V. </w:t>
      </w:r>
      <w:r w:rsidR="005269BE" w:rsidRPr="00634773">
        <w:rPr>
          <w:rFonts w:ascii="ITC Avant Garde" w:eastAsia="Calibri" w:hAnsi="ITC Avant Garde"/>
          <w:bCs/>
          <w:sz w:val="22"/>
          <w:szCs w:val="22"/>
        </w:rPr>
        <w:t xml:space="preserve">deberá manifestar </w:t>
      </w:r>
      <w:r w:rsidRPr="00634773">
        <w:rPr>
          <w:rFonts w:ascii="ITC Avant Garde" w:eastAsia="Calibri" w:hAnsi="ITC Avant Garde"/>
          <w:bCs/>
          <w:sz w:val="22"/>
          <w:szCs w:val="22"/>
        </w:rPr>
        <w:t xml:space="preserve">por escrito al Instituto </w:t>
      </w:r>
      <w:r w:rsidR="006B3539" w:rsidRPr="00634773">
        <w:rPr>
          <w:rFonts w:ascii="ITC Avant Garde" w:eastAsia="Calibri" w:hAnsi="ITC Avant Garde"/>
          <w:bCs/>
          <w:sz w:val="22"/>
          <w:szCs w:val="22"/>
        </w:rPr>
        <w:t>Federal de Telecomunicaciones</w:t>
      </w:r>
      <w:r w:rsidR="007C7B42" w:rsidRPr="00634773">
        <w:rPr>
          <w:rFonts w:ascii="ITC Avant Garde" w:eastAsia="Calibri" w:hAnsi="ITC Avant Garde"/>
          <w:bCs/>
          <w:sz w:val="22"/>
          <w:szCs w:val="22"/>
        </w:rPr>
        <w:t>,</w:t>
      </w:r>
      <w:r w:rsidR="006B3539" w:rsidRPr="00634773">
        <w:rPr>
          <w:rFonts w:ascii="ITC Avant Garde" w:eastAsia="Calibri" w:hAnsi="ITC Avant Garde"/>
          <w:bCs/>
          <w:sz w:val="22"/>
          <w:szCs w:val="22"/>
        </w:rPr>
        <w:t xml:space="preserve"> </w:t>
      </w:r>
      <w:r w:rsidRPr="00634773">
        <w:rPr>
          <w:rFonts w:ascii="ITC Avant Garde" w:eastAsia="Calibri" w:hAnsi="ITC Avant Garde"/>
          <w:bCs/>
          <w:sz w:val="22"/>
          <w:szCs w:val="22"/>
        </w:rPr>
        <w:t xml:space="preserve">su conformidad </w:t>
      </w:r>
      <w:r w:rsidR="006B3539" w:rsidRPr="00634773">
        <w:rPr>
          <w:rFonts w:ascii="ITC Avant Garde" w:eastAsia="Calibri" w:hAnsi="ITC Avant Garde"/>
          <w:bCs/>
          <w:sz w:val="22"/>
          <w:szCs w:val="22"/>
        </w:rPr>
        <w:t xml:space="preserve">con </w:t>
      </w:r>
      <w:r w:rsidR="00875064" w:rsidRPr="00634773">
        <w:rPr>
          <w:rFonts w:ascii="ITC Avant Garde" w:eastAsia="Calibri" w:hAnsi="ITC Avant Garde"/>
          <w:bCs/>
          <w:sz w:val="22"/>
          <w:szCs w:val="22"/>
        </w:rPr>
        <w:t xml:space="preserve">las condiciones </w:t>
      </w:r>
      <w:r w:rsidR="005D2D92" w:rsidRPr="00634773">
        <w:rPr>
          <w:rFonts w:ascii="ITC Avant Garde" w:eastAsia="Calibri" w:hAnsi="ITC Avant Garde"/>
          <w:bCs/>
          <w:sz w:val="22"/>
          <w:szCs w:val="22"/>
        </w:rPr>
        <w:t>que al efecto se establezcan</w:t>
      </w:r>
      <w:r w:rsidR="00875064" w:rsidRPr="00634773">
        <w:rPr>
          <w:rFonts w:ascii="ITC Avant Garde" w:eastAsia="Calibri" w:hAnsi="ITC Avant Garde"/>
          <w:bCs/>
          <w:sz w:val="22"/>
          <w:szCs w:val="22"/>
        </w:rPr>
        <w:t xml:space="preserve"> en el citado proyecto</w:t>
      </w:r>
      <w:r w:rsidR="005D2D92" w:rsidRPr="00634773">
        <w:rPr>
          <w:rFonts w:ascii="ITC Avant Garde" w:eastAsia="Calibri" w:hAnsi="ITC Avant Garde"/>
          <w:bCs/>
          <w:sz w:val="22"/>
          <w:szCs w:val="22"/>
        </w:rPr>
        <w:t xml:space="preserve"> de título de concesión</w:t>
      </w:r>
      <w:r w:rsidR="00875064" w:rsidRPr="00634773">
        <w:rPr>
          <w:rFonts w:ascii="ITC Avant Garde" w:eastAsia="Calibri" w:hAnsi="ITC Avant Garde"/>
          <w:bCs/>
          <w:sz w:val="22"/>
          <w:szCs w:val="22"/>
        </w:rPr>
        <w:t>.</w:t>
      </w:r>
    </w:p>
    <w:p w:rsidR="00DC7621" w:rsidRPr="00634773" w:rsidRDefault="00875064" w:rsidP="00634773">
      <w:pPr>
        <w:autoSpaceDE w:val="0"/>
        <w:autoSpaceDN w:val="0"/>
        <w:adjustRightInd w:val="0"/>
        <w:spacing w:before="240" w:line="240" w:lineRule="auto"/>
        <w:jc w:val="both"/>
        <w:rPr>
          <w:rFonts w:ascii="ITC Avant Garde" w:eastAsia="Times New Roman" w:hAnsi="ITC Avant Garde"/>
          <w:bCs/>
          <w:lang w:val="es-ES_tradnl" w:eastAsia="es-ES"/>
        </w:rPr>
      </w:pPr>
      <w:r w:rsidRPr="00634773">
        <w:rPr>
          <w:rFonts w:ascii="ITC Avant Garde" w:hAnsi="ITC Avant Garde"/>
          <w:bCs/>
        </w:rPr>
        <w:t xml:space="preserve">En caso de que no se reciba por parte de Teléfonos de México, S.A.B. de C.V. la aceptación </w:t>
      </w:r>
      <w:r w:rsidR="00F90B31" w:rsidRPr="00634773">
        <w:rPr>
          <w:rFonts w:ascii="ITC Avant Garde" w:hAnsi="ITC Avant Garde"/>
          <w:bCs/>
          <w:lang w:val="es-ES_tradnl"/>
        </w:rPr>
        <w:t xml:space="preserve">expresa e indubitable </w:t>
      </w:r>
      <w:r w:rsidRPr="00634773">
        <w:rPr>
          <w:rFonts w:ascii="ITC Avant Garde" w:hAnsi="ITC Avant Garde"/>
          <w:bCs/>
        </w:rPr>
        <w:t xml:space="preserve">de </w:t>
      </w:r>
      <w:r w:rsidR="00F90B31" w:rsidRPr="00634773">
        <w:rPr>
          <w:rFonts w:ascii="ITC Avant Garde" w:hAnsi="ITC Avant Garde"/>
          <w:bCs/>
        </w:rPr>
        <w:t xml:space="preserve">las </w:t>
      </w:r>
      <w:r w:rsidRPr="00634773">
        <w:rPr>
          <w:rFonts w:ascii="ITC Avant Garde" w:hAnsi="ITC Avant Garde"/>
          <w:bCs/>
        </w:rPr>
        <w:t>condiciones referida</w:t>
      </w:r>
      <w:r w:rsidR="00F90B31" w:rsidRPr="00634773">
        <w:rPr>
          <w:rFonts w:ascii="ITC Avant Garde" w:hAnsi="ITC Avant Garde"/>
          <w:bCs/>
        </w:rPr>
        <w:t>s</w:t>
      </w:r>
      <w:r w:rsidRPr="00634773">
        <w:rPr>
          <w:rFonts w:ascii="ITC Avant Garde" w:hAnsi="ITC Avant Garde"/>
          <w:bCs/>
        </w:rPr>
        <w:t xml:space="preserve"> </w:t>
      </w:r>
      <w:r w:rsidR="005269BE" w:rsidRPr="00634773">
        <w:rPr>
          <w:rFonts w:ascii="ITC Avant Garde" w:hAnsi="ITC Avant Garde"/>
          <w:bCs/>
        </w:rPr>
        <w:t>en los inciso</w:t>
      </w:r>
      <w:r w:rsidR="00864261" w:rsidRPr="00634773">
        <w:rPr>
          <w:rFonts w:ascii="ITC Avant Garde" w:hAnsi="ITC Avant Garde"/>
          <w:bCs/>
        </w:rPr>
        <w:t>s</w:t>
      </w:r>
      <w:r w:rsidR="005269BE" w:rsidRPr="00634773">
        <w:rPr>
          <w:rFonts w:ascii="ITC Avant Garde" w:hAnsi="ITC Avant Garde"/>
          <w:bCs/>
        </w:rPr>
        <w:t xml:space="preserve"> 1</w:t>
      </w:r>
      <w:r w:rsidR="00864261" w:rsidRPr="00634773">
        <w:rPr>
          <w:rFonts w:ascii="ITC Avant Garde" w:hAnsi="ITC Avant Garde"/>
          <w:bCs/>
        </w:rPr>
        <w:t>)</w:t>
      </w:r>
      <w:r w:rsidR="005269BE" w:rsidRPr="00634773">
        <w:rPr>
          <w:rFonts w:ascii="ITC Avant Garde" w:hAnsi="ITC Avant Garde"/>
          <w:bCs/>
        </w:rPr>
        <w:t xml:space="preserve"> y 2</w:t>
      </w:r>
      <w:r w:rsidR="00864261" w:rsidRPr="00634773">
        <w:rPr>
          <w:rFonts w:ascii="ITC Avant Garde" w:hAnsi="ITC Avant Garde"/>
          <w:bCs/>
        </w:rPr>
        <w:t>)</w:t>
      </w:r>
      <w:r w:rsidR="005269BE" w:rsidRPr="00634773">
        <w:rPr>
          <w:rFonts w:ascii="ITC Avant Garde" w:hAnsi="ITC Avant Garde"/>
          <w:bCs/>
        </w:rPr>
        <w:t xml:space="preserve"> </w:t>
      </w:r>
      <w:r w:rsidR="002D60F6" w:rsidRPr="00634773">
        <w:rPr>
          <w:rFonts w:ascii="ITC Avant Garde" w:hAnsi="ITC Avant Garde"/>
          <w:bCs/>
        </w:rPr>
        <w:t xml:space="preserve">anteriores, </w:t>
      </w:r>
      <w:r w:rsidRPr="00634773">
        <w:rPr>
          <w:rFonts w:ascii="ITC Avant Garde" w:hAnsi="ITC Avant Garde"/>
          <w:bCs/>
        </w:rPr>
        <w:t>dentro de</w:t>
      </w:r>
      <w:r w:rsidR="004E19BE" w:rsidRPr="00634773">
        <w:rPr>
          <w:rFonts w:ascii="ITC Avant Garde" w:hAnsi="ITC Avant Garde"/>
          <w:bCs/>
        </w:rPr>
        <w:t>l</w:t>
      </w:r>
      <w:r w:rsidR="00F90B31" w:rsidRPr="00634773">
        <w:rPr>
          <w:rFonts w:ascii="ITC Avant Garde" w:hAnsi="ITC Avant Garde"/>
          <w:bCs/>
        </w:rPr>
        <w:t xml:space="preserve"> </w:t>
      </w:r>
      <w:r w:rsidRPr="00634773">
        <w:rPr>
          <w:rFonts w:ascii="ITC Avant Garde" w:hAnsi="ITC Avant Garde"/>
          <w:bCs/>
        </w:rPr>
        <w:t>plazo</w:t>
      </w:r>
      <w:r w:rsidR="00FE03AE" w:rsidRPr="00634773">
        <w:rPr>
          <w:rFonts w:ascii="ITC Avant Garde" w:hAnsi="ITC Avant Garde"/>
          <w:bCs/>
        </w:rPr>
        <w:t xml:space="preserve"> previsto</w:t>
      </w:r>
      <w:r w:rsidR="00605D69" w:rsidRPr="00634773">
        <w:rPr>
          <w:rFonts w:ascii="ITC Avant Garde" w:hAnsi="ITC Avant Garde"/>
          <w:bCs/>
        </w:rPr>
        <w:t xml:space="preserve"> en el primer párrafo del presente </w:t>
      </w:r>
      <w:r w:rsidR="007C7B42" w:rsidRPr="00634773">
        <w:rPr>
          <w:rFonts w:ascii="ITC Avant Garde" w:hAnsi="ITC Avant Garde"/>
          <w:bCs/>
        </w:rPr>
        <w:t>R</w:t>
      </w:r>
      <w:r w:rsidR="00605D69" w:rsidRPr="00634773">
        <w:rPr>
          <w:rFonts w:ascii="ITC Avant Garde" w:hAnsi="ITC Avant Garde"/>
          <w:bCs/>
        </w:rPr>
        <w:t>esolutivo</w:t>
      </w:r>
      <w:r w:rsidRPr="00634773">
        <w:rPr>
          <w:rFonts w:ascii="ITC Avant Garde" w:hAnsi="ITC Avant Garde"/>
          <w:bCs/>
        </w:rPr>
        <w:t xml:space="preserve">, </w:t>
      </w:r>
      <w:r w:rsidR="00BD2BAE" w:rsidRPr="00634773">
        <w:rPr>
          <w:rFonts w:ascii="ITC Avant Garde" w:hAnsi="ITC Avant Garde"/>
          <w:bCs/>
        </w:rPr>
        <w:t>así como</w:t>
      </w:r>
      <w:r w:rsidR="00FE03AE" w:rsidRPr="00634773">
        <w:rPr>
          <w:rFonts w:ascii="ITC Avant Garde" w:hAnsi="ITC Avant Garde"/>
          <w:bCs/>
        </w:rPr>
        <w:t xml:space="preserve"> la manifestación a que se ref</w:t>
      </w:r>
      <w:r w:rsidR="007C7B42" w:rsidRPr="00634773">
        <w:rPr>
          <w:rFonts w:ascii="ITC Avant Garde" w:hAnsi="ITC Avant Garde"/>
          <w:bCs/>
        </w:rPr>
        <w:t>iere el inciso 2) del presente R</w:t>
      </w:r>
      <w:r w:rsidR="00FE03AE" w:rsidRPr="00634773">
        <w:rPr>
          <w:rFonts w:ascii="ITC Avant Garde" w:hAnsi="ITC Avant Garde"/>
          <w:bCs/>
        </w:rPr>
        <w:t>esolutivo</w:t>
      </w:r>
      <w:r w:rsidR="00605D69" w:rsidRPr="00634773">
        <w:rPr>
          <w:rFonts w:ascii="ITC Avant Garde" w:hAnsi="ITC Avant Garde"/>
          <w:bCs/>
        </w:rPr>
        <w:t xml:space="preserve"> dentro del plazo señalado en </w:t>
      </w:r>
      <w:r w:rsidR="00204B09" w:rsidRPr="00634773">
        <w:rPr>
          <w:rFonts w:ascii="ITC Avant Garde" w:hAnsi="ITC Avant Garde"/>
          <w:bCs/>
        </w:rPr>
        <w:t>el mismo</w:t>
      </w:r>
      <w:r w:rsidR="00FE03AE" w:rsidRPr="00634773">
        <w:rPr>
          <w:rFonts w:ascii="ITC Avant Garde" w:hAnsi="ITC Avant Garde"/>
          <w:bCs/>
        </w:rPr>
        <w:t>,</w:t>
      </w:r>
      <w:r w:rsidRPr="00634773">
        <w:rPr>
          <w:rFonts w:ascii="ITC Avant Garde" w:hAnsi="ITC Avant Garde"/>
          <w:bCs/>
        </w:rPr>
        <w:t xml:space="preserve"> quedará sin efectos </w:t>
      </w:r>
      <w:r w:rsidR="007F6B0D" w:rsidRPr="00634773">
        <w:rPr>
          <w:rFonts w:ascii="ITC Avant Garde" w:hAnsi="ITC Avant Garde"/>
          <w:bCs/>
        </w:rPr>
        <w:t>la prórrog</w:t>
      </w:r>
      <w:r w:rsidR="009E1697" w:rsidRPr="00634773">
        <w:rPr>
          <w:rFonts w:ascii="ITC Avant Garde" w:hAnsi="ITC Avant Garde"/>
          <w:bCs/>
        </w:rPr>
        <w:t>a</w:t>
      </w:r>
      <w:r w:rsidR="00605D69" w:rsidRPr="00634773">
        <w:rPr>
          <w:rFonts w:ascii="ITC Avant Garde" w:hAnsi="ITC Avant Garde"/>
          <w:bCs/>
        </w:rPr>
        <w:t xml:space="preserve"> materia de la presente </w:t>
      </w:r>
      <w:r w:rsidR="009E1697" w:rsidRPr="00634773">
        <w:rPr>
          <w:rFonts w:ascii="ITC Avant Garde" w:hAnsi="ITC Avant Garde"/>
          <w:bCs/>
        </w:rPr>
        <w:t>Resolución</w:t>
      </w:r>
      <w:r w:rsidR="00605D69" w:rsidRPr="00634773">
        <w:rPr>
          <w:rFonts w:ascii="ITC Avant Garde" w:hAnsi="ITC Avant Garde"/>
          <w:bCs/>
        </w:rPr>
        <w:t>.</w:t>
      </w:r>
      <w:r w:rsidR="000E07A7" w:rsidRPr="00634773">
        <w:rPr>
          <w:rFonts w:ascii="ITC Avant Garde" w:hAnsi="ITC Avant Garde"/>
          <w:bCs/>
        </w:rPr>
        <w:t xml:space="preserve"> </w:t>
      </w:r>
    </w:p>
    <w:p w:rsidR="00634773" w:rsidRPr="00634773" w:rsidRDefault="00BB2E2E" w:rsidP="00634773">
      <w:pPr>
        <w:autoSpaceDE w:val="0"/>
        <w:autoSpaceDN w:val="0"/>
        <w:adjustRightInd w:val="0"/>
        <w:spacing w:before="240" w:line="240" w:lineRule="auto"/>
        <w:jc w:val="both"/>
        <w:rPr>
          <w:rFonts w:ascii="ITC Avant Garde" w:hAnsi="ITC Avant Garde"/>
          <w:bCs/>
          <w:lang w:val="es-ES_tradnl"/>
        </w:rPr>
      </w:pPr>
      <w:r w:rsidRPr="00634773">
        <w:rPr>
          <w:rFonts w:ascii="ITC Avant Garde" w:hAnsi="ITC Avant Garde"/>
          <w:b/>
          <w:bCs/>
          <w:lang w:val="es-ES_tradnl"/>
        </w:rPr>
        <w:t xml:space="preserve">TERCERO.- </w:t>
      </w:r>
      <w:r w:rsidR="006E21DC" w:rsidRPr="00634773">
        <w:rPr>
          <w:rFonts w:ascii="ITC Avant Garde" w:hAnsi="ITC Avant Garde"/>
          <w:bCs/>
          <w:lang w:val="es-ES_tradnl"/>
        </w:rPr>
        <w:t xml:space="preserve">Se instruye a la Unidad de Concesiones y Servicios a </w:t>
      </w:r>
      <w:r w:rsidR="009000C4" w:rsidRPr="00634773">
        <w:rPr>
          <w:rFonts w:ascii="ITC Avant Garde" w:hAnsi="ITC Avant Garde"/>
          <w:bCs/>
          <w:lang w:val="es-ES_tradnl"/>
        </w:rPr>
        <w:t>n</w:t>
      </w:r>
      <w:r w:rsidR="006E21DC" w:rsidRPr="00634773">
        <w:rPr>
          <w:rFonts w:ascii="ITC Avant Garde" w:hAnsi="ITC Avant Garde"/>
          <w:bCs/>
          <w:lang w:val="es-ES_tradnl"/>
        </w:rPr>
        <w:t>o</w:t>
      </w:r>
      <w:r w:rsidR="009000C4" w:rsidRPr="00634773">
        <w:rPr>
          <w:rFonts w:ascii="ITC Avant Garde" w:hAnsi="ITC Avant Garde"/>
          <w:bCs/>
          <w:lang w:val="es-ES_tradnl"/>
        </w:rPr>
        <w:t>tificar</w:t>
      </w:r>
      <w:r w:rsidR="006E21DC" w:rsidRPr="00634773">
        <w:rPr>
          <w:rFonts w:ascii="ITC Avant Garde" w:hAnsi="ITC Avant Garde"/>
          <w:bCs/>
          <w:lang w:val="es-ES_tradnl"/>
        </w:rPr>
        <w:t xml:space="preserve"> </w:t>
      </w:r>
      <w:r w:rsidR="009000C4" w:rsidRPr="00634773">
        <w:rPr>
          <w:rFonts w:ascii="ITC Avant Garde" w:hAnsi="ITC Avant Garde"/>
        </w:rPr>
        <w:t>a Te</w:t>
      </w:r>
      <w:r w:rsidR="00EF6C37" w:rsidRPr="00634773">
        <w:rPr>
          <w:rFonts w:ascii="ITC Avant Garde" w:hAnsi="ITC Avant Garde"/>
        </w:rPr>
        <w:t>léfonos de México, S.A.B. de C.V</w:t>
      </w:r>
      <w:r w:rsidR="00EF6C37" w:rsidRPr="00634773">
        <w:rPr>
          <w:rFonts w:ascii="ITC Avant Garde" w:hAnsi="ITC Avant Garde"/>
          <w:bCs/>
        </w:rPr>
        <w:t>.</w:t>
      </w:r>
      <w:r w:rsidR="00EB40AB" w:rsidRPr="00634773">
        <w:rPr>
          <w:rFonts w:ascii="ITC Avant Garde" w:hAnsi="ITC Avant Garde"/>
          <w:bCs/>
        </w:rPr>
        <w:t>,</w:t>
      </w:r>
      <w:r w:rsidR="006E21DC" w:rsidRPr="00634773">
        <w:rPr>
          <w:rFonts w:ascii="ITC Avant Garde" w:hAnsi="ITC Avant Garde"/>
          <w:bCs/>
          <w:lang w:val="es-ES_tradnl"/>
        </w:rPr>
        <w:t xml:space="preserve"> el contenido de la presente </w:t>
      </w:r>
      <w:r w:rsidR="008727EF" w:rsidRPr="00634773">
        <w:rPr>
          <w:rFonts w:ascii="ITC Avant Garde" w:hAnsi="ITC Avant Garde"/>
          <w:bCs/>
          <w:lang w:val="es-ES_tradnl"/>
        </w:rPr>
        <w:t>Resolución</w:t>
      </w:r>
      <w:r w:rsidRPr="00634773">
        <w:rPr>
          <w:rFonts w:ascii="ITC Avant Garde" w:hAnsi="ITC Avant Garde"/>
          <w:bCs/>
          <w:lang w:val="es-ES_tradnl"/>
        </w:rPr>
        <w:t>.</w:t>
      </w:r>
    </w:p>
    <w:p w:rsidR="00634773" w:rsidRPr="00634773" w:rsidRDefault="00793A53" w:rsidP="00634773">
      <w:pPr>
        <w:autoSpaceDE w:val="0"/>
        <w:autoSpaceDN w:val="0"/>
        <w:adjustRightInd w:val="0"/>
        <w:spacing w:before="240" w:line="240" w:lineRule="auto"/>
        <w:jc w:val="both"/>
        <w:rPr>
          <w:rFonts w:ascii="ITC Avant Garde" w:hAnsi="ITC Avant Garde"/>
          <w:bCs/>
          <w:lang w:val="es-ES_tradnl"/>
        </w:rPr>
      </w:pPr>
      <w:r w:rsidRPr="00634773">
        <w:rPr>
          <w:rFonts w:ascii="ITC Avant Garde" w:hAnsi="ITC Avant Garde"/>
          <w:b/>
          <w:bCs/>
          <w:lang w:val="es-ES_tradnl"/>
        </w:rPr>
        <w:t>CUARTO</w:t>
      </w:r>
      <w:r w:rsidR="006E21DC" w:rsidRPr="00634773">
        <w:rPr>
          <w:rFonts w:ascii="ITC Avant Garde" w:hAnsi="ITC Avant Garde"/>
          <w:b/>
          <w:bCs/>
          <w:lang w:val="es-ES_tradnl"/>
        </w:rPr>
        <w:t>.-</w:t>
      </w:r>
      <w:r w:rsidR="006E21DC" w:rsidRPr="00634773">
        <w:rPr>
          <w:rFonts w:ascii="ITC Avant Garde" w:hAnsi="ITC Avant Garde"/>
          <w:bCs/>
          <w:lang w:val="es-ES_tradnl"/>
        </w:rPr>
        <w:t xml:space="preserve"> Inscríbase en el Registro Público de Concesiones </w:t>
      </w:r>
      <w:r w:rsidR="002935D3" w:rsidRPr="00634773">
        <w:rPr>
          <w:rFonts w:ascii="ITC Avant Garde" w:hAnsi="ITC Avant Garde"/>
          <w:bCs/>
          <w:lang w:val="es-ES_tradnl"/>
        </w:rPr>
        <w:t>la presente Resolución</w:t>
      </w:r>
      <w:r w:rsidR="00312FDC" w:rsidRPr="00634773">
        <w:rPr>
          <w:rFonts w:ascii="ITC Avant Garde" w:hAnsi="ITC Avant Garde"/>
          <w:bCs/>
          <w:lang w:val="es-ES_tradnl"/>
        </w:rPr>
        <w:t>.</w:t>
      </w:r>
    </w:p>
    <w:p w:rsidR="00634773" w:rsidRPr="00634773" w:rsidRDefault="00565E4C" w:rsidP="00634773">
      <w:pPr>
        <w:pStyle w:val="N1IFT"/>
        <w:spacing w:before="240" w:line="240" w:lineRule="auto"/>
        <w:rPr>
          <w:rFonts w:eastAsia="Times New Roman"/>
          <w:b w:val="0"/>
          <w:sz w:val="10"/>
          <w:szCs w:val="22"/>
          <w:lang w:val="es-ES"/>
        </w:rPr>
      </w:pPr>
      <w:r w:rsidRPr="00634773">
        <w:rPr>
          <w:rFonts w:eastAsia="Times New Roman"/>
          <w:b w:val="0"/>
          <w:sz w:val="10"/>
          <w:szCs w:val="22"/>
          <w:lang w:val="es-ES"/>
        </w:rPr>
        <w:t xml:space="preserve">La presente Resolución fue aprobada por el Pleno del Instituto Federal de Telecomunicaciones en su XXI Sesión Extraordinaria celebrada el 1° de diciembre de 2016, en lo general por </w:t>
      </w:r>
      <w:r w:rsidRPr="00634773">
        <w:rPr>
          <w:rFonts w:eastAsia="Times New Roman"/>
          <w:b w:val="0"/>
          <w:color w:val="auto"/>
          <w:sz w:val="10"/>
          <w:szCs w:val="22"/>
          <w:lang w:val="es-ES"/>
        </w:rPr>
        <w:t xml:space="preserve">mayoría </w:t>
      </w:r>
      <w:r w:rsidRPr="00634773">
        <w:rPr>
          <w:rFonts w:eastAsia="Times New Roman"/>
          <w:b w:val="0"/>
          <w:sz w:val="10"/>
          <w:szCs w:val="22"/>
          <w:lang w:val="es-ES"/>
        </w:rPr>
        <w:t>de votos de los Comisionados Gabriel Oswaldo Contreras Saldívar, Ernesto Estrada González, Adriana Sofía Labardini Inzunza, María Elena Estavillo Flores, Mario Germán Fromow Rangel y Javier Juárez Mojica; y con el voto en contra del Comisionado Adolfo Cuevas Teja, quien presentará un voto particular por escrito.</w:t>
      </w:r>
    </w:p>
    <w:p w:rsidR="00634773" w:rsidRPr="00634773" w:rsidRDefault="00565E4C" w:rsidP="00634773">
      <w:pPr>
        <w:pStyle w:val="N1IFT"/>
        <w:spacing w:before="240" w:line="240" w:lineRule="auto"/>
        <w:rPr>
          <w:rFonts w:eastAsia="Times New Roman"/>
          <w:b w:val="0"/>
          <w:sz w:val="10"/>
          <w:szCs w:val="22"/>
          <w:lang w:val="es-ES"/>
        </w:rPr>
      </w:pPr>
      <w:r w:rsidRPr="00634773">
        <w:rPr>
          <w:rFonts w:eastAsia="Times New Roman"/>
          <w:b w:val="0"/>
          <w:sz w:val="10"/>
          <w:szCs w:val="22"/>
          <w:lang w:val="es-ES"/>
        </w:rPr>
        <w:t>La Comisionada Adriana Sofía Labardini Inzunza manifestó voto concurrente al no compartir las consideraciones por las cuales se concluye que las obligaciones de preponderancia no son parte de las obligaciones a verificar para el análisis de esta prórroga. Asimismo, en lo particular, manifestó voto en contra del Resolutivo Primero en lo que respecta al período de 30 años de la prórroga; así como del Resolutivo Segundo en lo relativo a la fecha para notificar el título de concesión correspondiente.</w:t>
      </w:r>
    </w:p>
    <w:p w:rsidR="00634773" w:rsidRPr="00634773" w:rsidRDefault="00565E4C" w:rsidP="00634773">
      <w:pPr>
        <w:pStyle w:val="N1IFT"/>
        <w:spacing w:before="240" w:line="240" w:lineRule="auto"/>
        <w:rPr>
          <w:rFonts w:eastAsia="Times New Roman"/>
          <w:b w:val="0"/>
          <w:sz w:val="10"/>
          <w:szCs w:val="22"/>
          <w:lang w:val="es-ES"/>
        </w:rPr>
      </w:pPr>
      <w:r w:rsidRPr="00634773">
        <w:rPr>
          <w:rFonts w:eastAsia="Times New Roman"/>
          <w:b w:val="0"/>
          <w:sz w:val="10"/>
          <w:szCs w:val="22"/>
          <w:lang w:val="es-ES"/>
        </w:rPr>
        <w:t xml:space="preserve">Asimismo, la Comisionada María Elena Estavillo Flores manifestó voto concurrente; y voto en contra del Considerando Cuarto, en cuanto a que la revisión de cumplimiento de obligaciones no incluye las obligaciones de preponderancia. </w:t>
      </w:r>
    </w:p>
    <w:p w:rsidR="00634773" w:rsidRPr="00634773" w:rsidRDefault="00565E4C" w:rsidP="00634773">
      <w:pPr>
        <w:pStyle w:val="N1IFT"/>
        <w:spacing w:before="240" w:line="240" w:lineRule="auto"/>
        <w:rPr>
          <w:rFonts w:eastAsia="Times New Roman"/>
          <w:b w:val="0"/>
          <w:sz w:val="10"/>
          <w:szCs w:val="22"/>
          <w:lang w:val="es-ES"/>
        </w:rPr>
      </w:pPr>
      <w:r w:rsidRPr="00634773">
        <w:rPr>
          <w:rFonts w:eastAsia="Times New Roman"/>
          <w:b w:val="0"/>
          <w:sz w:val="10"/>
          <w:szCs w:val="22"/>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P/IFT/EXT/011216/50.</w:t>
      </w:r>
    </w:p>
    <w:p w:rsidR="00634773" w:rsidRPr="00634773" w:rsidRDefault="00565E4C" w:rsidP="00634773">
      <w:pPr>
        <w:pStyle w:val="N1IFT"/>
        <w:spacing w:before="240" w:line="240" w:lineRule="auto"/>
        <w:rPr>
          <w:rFonts w:eastAsia="Times New Roman"/>
          <w:b w:val="0"/>
          <w:sz w:val="10"/>
          <w:szCs w:val="22"/>
          <w:lang w:val="es-ES"/>
        </w:rPr>
      </w:pPr>
      <w:r w:rsidRPr="00634773">
        <w:rPr>
          <w:rFonts w:eastAsia="Times New Roman"/>
          <w:b w:val="0"/>
          <w:sz w:val="10"/>
          <w:szCs w:val="22"/>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565E4C" w:rsidRPr="00634773" w:rsidRDefault="00565E4C" w:rsidP="00634773">
      <w:pPr>
        <w:pStyle w:val="N1IFT"/>
        <w:spacing w:before="240" w:line="240" w:lineRule="auto"/>
        <w:rPr>
          <w:bCs w:val="0"/>
          <w:lang w:val="es-ES_tradnl"/>
        </w:rPr>
      </w:pPr>
      <w:r w:rsidRPr="00634773">
        <w:rPr>
          <w:rFonts w:eastAsia="Times New Roman"/>
          <w:b w:val="0"/>
          <w:sz w:val="10"/>
          <w:szCs w:val="22"/>
          <w:lang w:val="es-ES"/>
        </w:rPr>
        <w:t>El Comisionado Javier Juárez Mojica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565E4C" w:rsidRPr="00634773" w:rsidSect="00D120B5">
      <w:headerReference w:type="even" r:id="rId8"/>
      <w:footerReference w:type="default" r:id="rId9"/>
      <w:headerReference w:type="first" r:id="rId10"/>
      <w:pgSz w:w="12240" w:h="15840"/>
      <w:pgMar w:top="2127" w:right="1608" w:bottom="1134" w:left="1701" w:header="709" w:footer="1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E3" w:rsidRDefault="009437E3" w:rsidP="00072BC8">
      <w:pPr>
        <w:spacing w:after="0" w:line="240" w:lineRule="auto"/>
      </w:pPr>
      <w:r>
        <w:separator/>
      </w:r>
    </w:p>
  </w:endnote>
  <w:endnote w:type="continuationSeparator" w:id="0">
    <w:p w:rsidR="009437E3" w:rsidRDefault="009437E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636041"/>
      <w:docPartObj>
        <w:docPartGallery w:val="Page Numbers (Bottom of Page)"/>
        <w:docPartUnique/>
      </w:docPartObj>
    </w:sdtPr>
    <w:sdtEndPr>
      <w:rPr>
        <w:rFonts w:ascii="ITC Avant Garde" w:hAnsi="ITC Avant Garde"/>
        <w:sz w:val="20"/>
        <w:szCs w:val="20"/>
      </w:rPr>
    </w:sdtEndPr>
    <w:sdtContent>
      <w:p w:rsidR="00302C04" w:rsidRPr="00302C04" w:rsidRDefault="00302C04">
        <w:pPr>
          <w:pStyle w:val="Piedepgina"/>
          <w:jc w:val="right"/>
          <w:rPr>
            <w:rFonts w:ascii="ITC Avant Garde" w:hAnsi="ITC Avant Garde"/>
            <w:sz w:val="20"/>
            <w:szCs w:val="20"/>
          </w:rPr>
        </w:pPr>
        <w:r w:rsidRPr="00302C04">
          <w:rPr>
            <w:rFonts w:ascii="ITC Avant Garde" w:hAnsi="ITC Avant Garde"/>
            <w:sz w:val="20"/>
            <w:szCs w:val="20"/>
          </w:rPr>
          <w:fldChar w:fldCharType="begin"/>
        </w:r>
        <w:r w:rsidRPr="00302C04">
          <w:rPr>
            <w:rFonts w:ascii="ITC Avant Garde" w:hAnsi="ITC Avant Garde"/>
            <w:sz w:val="20"/>
            <w:szCs w:val="20"/>
          </w:rPr>
          <w:instrText>PAGE   \* MERGEFORMAT</w:instrText>
        </w:r>
        <w:r w:rsidRPr="00302C04">
          <w:rPr>
            <w:rFonts w:ascii="ITC Avant Garde" w:hAnsi="ITC Avant Garde"/>
            <w:sz w:val="20"/>
            <w:szCs w:val="20"/>
          </w:rPr>
          <w:fldChar w:fldCharType="separate"/>
        </w:r>
        <w:r w:rsidR="00634773" w:rsidRPr="00634773">
          <w:rPr>
            <w:rFonts w:ascii="ITC Avant Garde" w:hAnsi="ITC Avant Garde"/>
            <w:noProof/>
            <w:sz w:val="20"/>
            <w:szCs w:val="20"/>
            <w:lang w:val="es-ES"/>
          </w:rPr>
          <w:t>19</w:t>
        </w:r>
        <w:r w:rsidRPr="00302C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E3" w:rsidRDefault="009437E3" w:rsidP="00072BC8">
      <w:pPr>
        <w:spacing w:after="0" w:line="240" w:lineRule="auto"/>
      </w:pPr>
      <w:r>
        <w:separator/>
      </w:r>
    </w:p>
  </w:footnote>
  <w:footnote w:type="continuationSeparator" w:id="0">
    <w:p w:rsidR="009437E3" w:rsidRDefault="009437E3"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CE" w:rsidRDefault="009437E3">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CE" w:rsidRPr="000F5E4B" w:rsidRDefault="009437E3">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51EF"/>
    <w:multiLevelType w:val="hybridMultilevel"/>
    <w:tmpl w:val="EDD46124"/>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710CBE"/>
    <w:multiLevelType w:val="hybridMultilevel"/>
    <w:tmpl w:val="2D5EE860"/>
    <w:lvl w:ilvl="0" w:tplc="4DAC3BDA">
      <w:start w:val="1"/>
      <w:numFmt w:val="upp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0931CCB"/>
    <w:multiLevelType w:val="hybridMultilevel"/>
    <w:tmpl w:val="B12C806E"/>
    <w:lvl w:ilvl="0" w:tplc="5AB2F982">
      <w:start w:val="1"/>
      <w:numFmt w:val="low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17D8"/>
    <w:multiLevelType w:val="hybridMultilevel"/>
    <w:tmpl w:val="9AE60F00"/>
    <w:lvl w:ilvl="0" w:tplc="1F38F19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185F2529"/>
    <w:multiLevelType w:val="hybridMultilevel"/>
    <w:tmpl w:val="B5B8DB1A"/>
    <w:lvl w:ilvl="0" w:tplc="1F38F19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19B1414C"/>
    <w:multiLevelType w:val="hybridMultilevel"/>
    <w:tmpl w:val="B5B8DB1A"/>
    <w:lvl w:ilvl="0" w:tplc="1F38F19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22635AAB"/>
    <w:multiLevelType w:val="hybridMultilevel"/>
    <w:tmpl w:val="7ADE29B6"/>
    <w:lvl w:ilvl="0" w:tplc="F8AA19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2B5A23"/>
    <w:multiLevelType w:val="hybridMultilevel"/>
    <w:tmpl w:val="A9FCC596"/>
    <w:lvl w:ilvl="0" w:tplc="FFB094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C544607"/>
    <w:multiLevelType w:val="hybridMultilevel"/>
    <w:tmpl w:val="4C42FF1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3D125D"/>
    <w:multiLevelType w:val="hybridMultilevel"/>
    <w:tmpl w:val="5888C4BA"/>
    <w:lvl w:ilvl="0" w:tplc="A476B0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7045239"/>
    <w:multiLevelType w:val="hybridMultilevel"/>
    <w:tmpl w:val="2882524E"/>
    <w:lvl w:ilvl="0" w:tplc="012677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79A3B0B"/>
    <w:multiLevelType w:val="hybridMultilevel"/>
    <w:tmpl w:val="872E5E94"/>
    <w:lvl w:ilvl="0" w:tplc="5CB86652">
      <w:numFmt w:val="bullet"/>
      <w:lvlText w:val="-"/>
      <w:lvlJc w:val="left"/>
      <w:pPr>
        <w:ind w:left="2343" w:hanging="360"/>
      </w:pPr>
      <w:rPr>
        <w:rFonts w:ascii="ITC Avant Garde" w:eastAsia="Calibri" w:hAnsi="ITC Avant Garde" w:cs="Times New Roman"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3AAA4B41"/>
    <w:multiLevelType w:val="hybridMultilevel"/>
    <w:tmpl w:val="E92E20CE"/>
    <w:lvl w:ilvl="0" w:tplc="D108A128">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3CA41772"/>
    <w:multiLevelType w:val="hybridMultilevel"/>
    <w:tmpl w:val="D04460F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7A3471"/>
    <w:multiLevelType w:val="hybridMultilevel"/>
    <w:tmpl w:val="7988D486"/>
    <w:lvl w:ilvl="0" w:tplc="080A0001">
      <w:start w:val="1"/>
      <w:numFmt w:val="bullet"/>
      <w:lvlText w:val=""/>
      <w:lvlJc w:val="left"/>
      <w:pPr>
        <w:ind w:left="2343"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45EE7362"/>
    <w:multiLevelType w:val="hybridMultilevel"/>
    <w:tmpl w:val="3F40F2DA"/>
    <w:lvl w:ilvl="0" w:tplc="28D029E0">
      <w:start w:val="1"/>
      <w:numFmt w:val="upperRoman"/>
      <w:lvlText w:val="%1."/>
      <w:lvlJc w:val="left"/>
      <w:pPr>
        <w:ind w:left="4973" w:hanging="720"/>
      </w:pPr>
      <w:rPr>
        <w:rFonts w:ascii="ITC Avant Garde" w:eastAsia="Calibri" w:hAnsi="ITC Avant Garde" w:cs="Times New Roman" w:hint="default"/>
        <w:b/>
      </w:rPr>
    </w:lvl>
    <w:lvl w:ilvl="1" w:tplc="0C0A0019" w:tentative="1">
      <w:start w:val="1"/>
      <w:numFmt w:val="lowerLetter"/>
      <w:lvlText w:val="%2."/>
      <w:lvlJc w:val="left"/>
      <w:pPr>
        <w:ind w:left="5333" w:hanging="360"/>
      </w:pPr>
    </w:lvl>
    <w:lvl w:ilvl="2" w:tplc="0C0A001B" w:tentative="1">
      <w:start w:val="1"/>
      <w:numFmt w:val="lowerRoman"/>
      <w:lvlText w:val="%3."/>
      <w:lvlJc w:val="right"/>
      <w:pPr>
        <w:ind w:left="6053" w:hanging="180"/>
      </w:pPr>
    </w:lvl>
    <w:lvl w:ilvl="3" w:tplc="0C0A000F" w:tentative="1">
      <w:start w:val="1"/>
      <w:numFmt w:val="decimal"/>
      <w:lvlText w:val="%4."/>
      <w:lvlJc w:val="left"/>
      <w:pPr>
        <w:ind w:left="6773" w:hanging="360"/>
      </w:pPr>
    </w:lvl>
    <w:lvl w:ilvl="4" w:tplc="0C0A0019" w:tentative="1">
      <w:start w:val="1"/>
      <w:numFmt w:val="lowerLetter"/>
      <w:lvlText w:val="%5."/>
      <w:lvlJc w:val="left"/>
      <w:pPr>
        <w:ind w:left="7493" w:hanging="360"/>
      </w:pPr>
    </w:lvl>
    <w:lvl w:ilvl="5" w:tplc="0C0A001B" w:tentative="1">
      <w:start w:val="1"/>
      <w:numFmt w:val="lowerRoman"/>
      <w:lvlText w:val="%6."/>
      <w:lvlJc w:val="right"/>
      <w:pPr>
        <w:ind w:left="8213" w:hanging="180"/>
      </w:pPr>
    </w:lvl>
    <w:lvl w:ilvl="6" w:tplc="0C0A000F" w:tentative="1">
      <w:start w:val="1"/>
      <w:numFmt w:val="decimal"/>
      <w:lvlText w:val="%7."/>
      <w:lvlJc w:val="left"/>
      <w:pPr>
        <w:ind w:left="8933" w:hanging="360"/>
      </w:pPr>
    </w:lvl>
    <w:lvl w:ilvl="7" w:tplc="0C0A0019" w:tentative="1">
      <w:start w:val="1"/>
      <w:numFmt w:val="lowerLetter"/>
      <w:lvlText w:val="%8."/>
      <w:lvlJc w:val="left"/>
      <w:pPr>
        <w:ind w:left="9653" w:hanging="360"/>
      </w:pPr>
    </w:lvl>
    <w:lvl w:ilvl="8" w:tplc="0C0A001B" w:tentative="1">
      <w:start w:val="1"/>
      <w:numFmt w:val="lowerRoman"/>
      <w:lvlText w:val="%9."/>
      <w:lvlJc w:val="right"/>
      <w:pPr>
        <w:ind w:left="10373" w:hanging="180"/>
      </w:pPr>
    </w:lvl>
  </w:abstractNum>
  <w:abstractNum w:abstractNumId="16" w15:restartNumberingAfterBreak="0">
    <w:nsid w:val="49C43B66"/>
    <w:multiLevelType w:val="hybridMultilevel"/>
    <w:tmpl w:val="7ADE29B6"/>
    <w:lvl w:ilvl="0" w:tplc="F8AA19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1E1004"/>
    <w:multiLevelType w:val="hybridMultilevel"/>
    <w:tmpl w:val="326262E2"/>
    <w:lvl w:ilvl="0" w:tplc="119A9A90">
      <w:start w:val="1"/>
      <w:numFmt w:val="lowerRoman"/>
      <w:lvlText w:val="%1)"/>
      <w:lvlJc w:val="left"/>
      <w:pPr>
        <w:ind w:left="2214" w:hanging="72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8" w15:restartNumberingAfterBreak="0">
    <w:nsid w:val="5B6613A9"/>
    <w:multiLevelType w:val="hybridMultilevel"/>
    <w:tmpl w:val="131EDDF2"/>
    <w:lvl w:ilvl="0" w:tplc="26C4A5D8">
      <w:start w:val="1"/>
      <w:numFmt w:val="lowerLetter"/>
      <w:lvlText w:val="%1)"/>
      <w:lvlJc w:val="left"/>
      <w:pPr>
        <w:ind w:left="1776" w:hanging="360"/>
      </w:pPr>
      <w:rPr>
        <w:rFonts w:ascii="ITC Avant Garde" w:eastAsia="Calibri" w:hAnsi="ITC Avant Garde" w:cs="Times New Roman"/>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9" w15:restartNumberingAfterBreak="0">
    <w:nsid w:val="5E0B0F93"/>
    <w:multiLevelType w:val="hybridMultilevel"/>
    <w:tmpl w:val="B6E85D3C"/>
    <w:lvl w:ilvl="0" w:tplc="51E8C790">
      <w:start w:val="1"/>
      <w:numFmt w:val="bullet"/>
      <w:lvlText w:val="-"/>
      <w:lvlJc w:val="left"/>
      <w:pPr>
        <w:ind w:left="1776" w:hanging="360"/>
      </w:pPr>
      <w:rPr>
        <w:rFonts w:ascii="ITC Avant Garde" w:eastAsia="Calibri" w:hAnsi="ITC Avant Garde" w:cs="Times New Roman"/>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0" w15:restartNumberingAfterBreak="0">
    <w:nsid w:val="68BE113B"/>
    <w:multiLevelType w:val="hybridMultilevel"/>
    <w:tmpl w:val="D37E07BC"/>
    <w:lvl w:ilvl="0" w:tplc="3566E46E">
      <w:numFmt w:val="bullet"/>
      <w:lvlText w:val="-"/>
      <w:lvlJc w:val="left"/>
      <w:pPr>
        <w:ind w:left="1065" w:hanging="360"/>
      </w:pPr>
      <w:rPr>
        <w:rFonts w:ascii="ITC Avant Garde" w:eastAsia="Calibri" w:hAnsi="ITC Avant Garde" w:cs="Tahoma"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1" w15:restartNumberingAfterBreak="0">
    <w:nsid w:val="75580157"/>
    <w:multiLevelType w:val="hybridMultilevel"/>
    <w:tmpl w:val="8F5C3F24"/>
    <w:lvl w:ilvl="0" w:tplc="14263DB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5"/>
  </w:num>
  <w:num w:numId="2">
    <w:abstractNumId w:val="3"/>
  </w:num>
  <w:num w:numId="3">
    <w:abstractNumId w:val="1"/>
  </w:num>
  <w:num w:numId="4">
    <w:abstractNumId w:val="4"/>
  </w:num>
  <w:num w:numId="5">
    <w:abstractNumId w:val="5"/>
  </w:num>
  <w:num w:numId="6">
    <w:abstractNumId w:val="17"/>
  </w:num>
  <w:num w:numId="7">
    <w:abstractNumId w:val="2"/>
  </w:num>
  <w:num w:numId="8">
    <w:abstractNumId w:val="9"/>
  </w:num>
  <w:num w:numId="9">
    <w:abstractNumId w:val="10"/>
  </w:num>
  <w:num w:numId="10">
    <w:abstractNumId w:val="7"/>
  </w:num>
  <w:num w:numId="11">
    <w:abstractNumId w:val="21"/>
  </w:num>
  <w:num w:numId="12">
    <w:abstractNumId w:val="16"/>
  </w:num>
  <w:num w:numId="13">
    <w:abstractNumId w:val="6"/>
  </w:num>
  <w:num w:numId="14">
    <w:abstractNumId w:val="20"/>
  </w:num>
  <w:num w:numId="15">
    <w:abstractNumId w:val="19"/>
  </w:num>
  <w:num w:numId="16">
    <w:abstractNumId w:val="12"/>
  </w:num>
  <w:num w:numId="17">
    <w:abstractNumId w:val="11"/>
  </w:num>
  <w:num w:numId="18">
    <w:abstractNumId w:val="14"/>
  </w:num>
  <w:num w:numId="19">
    <w:abstractNumId w:val="0"/>
  </w:num>
  <w:num w:numId="20">
    <w:abstractNumId w:val="13"/>
  </w:num>
  <w:num w:numId="21">
    <w:abstractNumId w:val="8"/>
  </w:num>
  <w:num w:numId="2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925"/>
    <w:rsid w:val="000029D6"/>
    <w:rsid w:val="0000341D"/>
    <w:rsid w:val="00004279"/>
    <w:rsid w:val="00005228"/>
    <w:rsid w:val="00005A94"/>
    <w:rsid w:val="0000761B"/>
    <w:rsid w:val="00007B4B"/>
    <w:rsid w:val="00010EFF"/>
    <w:rsid w:val="000116D0"/>
    <w:rsid w:val="00011FCA"/>
    <w:rsid w:val="0001239A"/>
    <w:rsid w:val="00012FF1"/>
    <w:rsid w:val="00013E26"/>
    <w:rsid w:val="00014EFF"/>
    <w:rsid w:val="000154B0"/>
    <w:rsid w:val="00016467"/>
    <w:rsid w:val="000167EA"/>
    <w:rsid w:val="000173C1"/>
    <w:rsid w:val="00020418"/>
    <w:rsid w:val="00022A8C"/>
    <w:rsid w:val="000233E7"/>
    <w:rsid w:val="00023687"/>
    <w:rsid w:val="00024CAC"/>
    <w:rsid w:val="00024D9A"/>
    <w:rsid w:val="00024F70"/>
    <w:rsid w:val="000253E2"/>
    <w:rsid w:val="00027E13"/>
    <w:rsid w:val="00031312"/>
    <w:rsid w:val="00034237"/>
    <w:rsid w:val="00036C1D"/>
    <w:rsid w:val="00036EDA"/>
    <w:rsid w:val="00037344"/>
    <w:rsid w:val="00037D31"/>
    <w:rsid w:val="00037F73"/>
    <w:rsid w:val="00040405"/>
    <w:rsid w:val="0004040B"/>
    <w:rsid w:val="0004050C"/>
    <w:rsid w:val="00042A05"/>
    <w:rsid w:val="00042CB6"/>
    <w:rsid w:val="00043043"/>
    <w:rsid w:val="0004385A"/>
    <w:rsid w:val="000446B8"/>
    <w:rsid w:val="000448E7"/>
    <w:rsid w:val="00045D66"/>
    <w:rsid w:val="0004727D"/>
    <w:rsid w:val="000500D9"/>
    <w:rsid w:val="000504E4"/>
    <w:rsid w:val="00051A61"/>
    <w:rsid w:val="00052976"/>
    <w:rsid w:val="00052F16"/>
    <w:rsid w:val="00053B64"/>
    <w:rsid w:val="000544E5"/>
    <w:rsid w:val="0005470B"/>
    <w:rsid w:val="000566FC"/>
    <w:rsid w:val="00056740"/>
    <w:rsid w:val="000606F7"/>
    <w:rsid w:val="00060F71"/>
    <w:rsid w:val="00062519"/>
    <w:rsid w:val="00062880"/>
    <w:rsid w:val="00062C40"/>
    <w:rsid w:val="0006409E"/>
    <w:rsid w:val="00064C0D"/>
    <w:rsid w:val="00066C6A"/>
    <w:rsid w:val="00070120"/>
    <w:rsid w:val="00070EF0"/>
    <w:rsid w:val="00071BED"/>
    <w:rsid w:val="000720FE"/>
    <w:rsid w:val="00072221"/>
    <w:rsid w:val="00072268"/>
    <w:rsid w:val="000722FE"/>
    <w:rsid w:val="00072BC8"/>
    <w:rsid w:val="00072D11"/>
    <w:rsid w:val="0007381C"/>
    <w:rsid w:val="0007410C"/>
    <w:rsid w:val="00074819"/>
    <w:rsid w:val="00074B1C"/>
    <w:rsid w:val="00074C09"/>
    <w:rsid w:val="00074CC5"/>
    <w:rsid w:val="000757CF"/>
    <w:rsid w:val="00075AC0"/>
    <w:rsid w:val="000762F0"/>
    <w:rsid w:val="000773D1"/>
    <w:rsid w:val="00077572"/>
    <w:rsid w:val="000776CA"/>
    <w:rsid w:val="00077BAD"/>
    <w:rsid w:val="000801B5"/>
    <w:rsid w:val="0008187B"/>
    <w:rsid w:val="000837C7"/>
    <w:rsid w:val="00085181"/>
    <w:rsid w:val="00085498"/>
    <w:rsid w:val="00086E66"/>
    <w:rsid w:val="0008763C"/>
    <w:rsid w:val="00087676"/>
    <w:rsid w:val="00087A92"/>
    <w:rsid w:val="0009112F"/>
    <w:rsid w:val="000922C3"/>
    <w:rsid w:val="0009353B"/>
    <w:rsid w:val="00093A0F"/>
    <w:rsid w:val="0009578B"/>
    <w:rsid w:val="000957A0"/>
    <w:rsid w:val="00095BA4"/>
    <w:rsid w:val="00097B1B"/>
    <w:rsid w:val="000A017B"/>
    <w:rsid w:val="000A22CB"/>
    <w:rsid w:val="000A3973"/>
    <w:rsid w:val="000A3E65"/>
    <w:rsid w:val="000A4670"/>
    <w:rsid w:val="000A4AAD"/>
    <w:rsid w:val="000A646F"/>
    <w:rsid w:val="000A7474"/>
    <w:rsid w:val="000A7CC3"/>
    <w:rsid w:val="000B0454"/>
    <w:rsid w:val="000B0A2E"/>
    <w:rsid w:val="000B0AD6"/>
    <w:rsid w:val="000B109B"/>
    <w:rsid w:val="000B1B50"/>
    <w:rsid w:val="000B3728"/>
    <w:rsid w:val="000B67C5"/>
    <w:rsid w:val="000B6D3F"/>
    <w:rsid w:val="000B73BC"/>
    <w:rsid w:val="000B7A68"/>
    <w:rsid w:val="000B7FD1"/>
    <w:rsid w:val="000C0163"/>
    <w:rsid w:val="000C25A2"/>
    <w:rsid w:val="000C2E7A"/>
    <w:rsid w:val="000C39A1"/>
    <w:rsid w:val="000C4562"/>
    <w:rsid w:val="000C474A"/>
    <w:rsid w:val="000C49E4"/>
    <w:rsid w:val="000C4C55"/>
    <w:rsid w:val="000C5148"/>
    <w:rsid w:val="000C5721"/>
    <w:rsid w:val="000C75AA"/>
    <w:rsid w:val="000C7734"/>
    <w:rsid w:val="000D0201"/>
    <w:rsid w:val="000D1115"/>
    <w:rsid w:val="000D4A5A"/>
    <w:rsid w:val="000D58BE"/>
    <w:rsid w:val="000D6145"/>
    <w:rsid w:val="000D7634"/>
    <w:rsid w:val="000E041D"/>
    <w:rsid w:val="000E07A7"/>
    <w:rsid w:val="000E17BC"/>
    <w:rsid w:val="000E1AED"/>
    <w:rsid w:val="000E1E55"/>
    <w:rsid w:val="000E23FE"/>
    <w:rsid w:val="000E398A"/>
    <w:rsid w:val="000E3ABA"/>
    <w:rsid w:val="000E3D9E"/>
    <w:rsid w:val="000E45D2"/>
    <w:rsid w:val="000E4E59"/>
    <w:rsid w:val="000E532E"/>
    <w:rsid w:val="000E6A55"/>
    <w:rsid w:val="000F0C8E"/>
    <w:rsid w:val="000F0DDF"/>
    <w:rsid w:val="000F17CF"/>
    <w:rsid w:val="000F1D6D"/>
    <w:rsid w:val="000F34F2"/>
    <w:rsid w:val="000F4D94"/>
    <w:rsid w:val="000F4E85"/>
    <w:rsid w:val="000F5E4B"/>
    <w:rsid w:val="000F6866"/>
    <w:rsid w:val="001007D0"/>
    <w:rsid w:val="00100DE3"/>
    <w:rsid w:val="0010438C"/>
    <w:rsid w:val="0010459A"/>
    <w:rsid w:val="00105433"/>
    <w:rsid w:val="001058B6"/>
    <w:rsid w:val="00106523"/>
    <w:rsid w:val="001073D6"/>
    <w:rsid w:val="00107E37"/>
    <w:rsid w:val="0011057F"/>
    <w:rsid w:val="00111B1E"/>
    <w:rsid w:val="0011234A"/>
    <w:rsid w:val="00112517"/>
    <w:rsid w:val="00112C0E"/>
    <w:rsid w:val="00115778"/>
    <w:rsid w:val="00115FE9"/>
    <w:rsid w:val="0011623C"/>
    <w:rsid w:val="0011745E"/>
    <w:rsid w:val="00120884"/>
    <w:rsid w:val="0012166F"/>
    <w:rsid w:val="001257DC"/>
    <w:rsid w:val="0012592B"/>
    <w:rsid w:val="001265BA"/>
    <w:rsid w:val="0012660D"/>
    <w:rsid w:val="0012679A"/>
    <w:rsid w:val="001269DF"/>
    <w:rsid w:val="00127477"/>
    <w:rsid w:val="00130E04"/>
    <w:rsid w:val="001314A5"/>
    <w:rsid w:val="001315D9"/>
    <w:rsid w:val="001315FA"/>
    <w:rsid w:val="00131A13"/>
    <w:rsid w:val="00132547"/>
    <w:rsid w:val="00134D4D"/>
    <w:rsid w:val="00135D0A"/>
    <w:rsid w:val="00136C0E"/>
    <w:rsid w:val="00137104"/>
    <w:rsid w:val="001410D1"/>
    <w:rsid w:val="00141660"/>
    <w:rsid w:val="00141968"/>
    <w:rsid w:val="001423B1"/>
    <w:rsid w:val="001425C1"/>
    <w:rsid w:val="001425EA"/>
    <w:rsid w:val="00143CEF"/>
    <w:rsid w:val="00144765"/>
    <w:rsid w:val="00144C7F"/>
    <w:rsid w:val="0014766B"/>
    <w:rsid w:val="00147884"/>
    <w:rsid w:val="00147968"/>
    <w:rsid w:val="00147A19"/>
    <w:rsid w:val="00151BB3"/>
    <w:rsid w:val="00151C5F"/>
    <w:rsid w:val="00152C58"/>
    <w:rsid w:val="00152E6E"/>
    <w:rsid w:val="0015321B"/>
    <w:rsid w:val="00153356"/>
    <w:rsid w:val="00155669"/>
    <w:rsid w:val="00156BE9"/>
    <w:rsid w:val="001619EE"/>
    <w:rsid w:val="00161E26"/>
    <w:rsid w:val="0016433F"/>
    <w:rsid w:val="0016577A"/>
    <w:rsid w:val="00166285"/>
    <w:rsid w:val="001666A3"/>
    <w:rsid w:val="0017019A"/>
    <w:rsid w:val="00170967"/>
    <w:rsid w:val="0017142F"/>
    <w:rsid w:val="0017222D"/>
    <w:rsid w:val="0017258E"/>
    <w:rsid w:val="00174394"/>
    <w:rsid w:val="0017460B"/>
    <w:rsid w:val="0017747C"/>
    <w:rsid w:val="001775EC"/>
    <w:rsid w:val="00180348"/>
    <w:rsid w:val="001807A1"/>
    <w:rsid w:val="00180C08"/>
    <w:rsid w:val="00181018"/>
    <w:rsid w:val="0018125B"/>
    <w:rsid w:val="00181A19"/>
    <w:rsid w:val="00181BE0"/>
    <w:rsid w:val="00183AFE"/>
    <w:rsid w:val="0018405B"/>
    <w:rsid w:val="0018572D"/>
    <w:rsid w:val="00187518"/>
    <w:rsid w:val="0018774E"/>
    <w:rsid w:val="0019077D"/>
    <w:rsid w:val="00190A72"/>
    <w:rsid w:val="00193FA8"/>
    <w:rsid w:val="00194699"/>
    <w:rsid w:val="0019490F"/>
    <w:rsid w:val="00194C7F"/>
    <w:rsid w:val="00195BEF"/>
    <w:rsid w:val="001965B6"/>
    <w:rsid w:val="001A1C52"/>
    <w:rsid w:val="001A20B6"/>
    <w:rsid w:val="001A3049"/>
    <w:rsid w:val="001A4A95"/>
    <w:rsid w:val="001A58D7"/>
    <w:rsid w:val="001A64C7"/>
    <w:rsid w:val="001A686F"/>
    <w:rsid w:val="001A6B6F"/>
    <w:rsid w:val="001A6F22"/>
    <w:rsid w:val="001A786E"/>
    <w:rsid w:val="001B0F1F"/>
    <w:rsid w:val="001B12B0"/>
    <w:rsid w:val="001B28FC"/>
    <w:rsid w:val="001B3B36"/>
    <w:rsid w:val="001B447A"/>
    <w:rsid w:val="001B4696"/>
    <w:rsid w:val="001B58A1"/>
    <w:rsid w:val="001C085E"/>
    <w:rsid w:val="001C095D"/>
    <w:rsid w:val="001C15FF"/>
    <w:rsid w:val="001C20F1"/>
    <w:rsid w:val="001C3538"/>
    <w:rsid w:val="001C3820"/>
    <w:rsid w:val="001C42BD"/>
    <w:rsid w:val="001C5C6E"/>
    <w:rsid w:val="001C5E0F"/>
    <w:rsid w:val="001C6359"/>
    <w:rsid w:val="001C6389"/>
    <w:rsid w:val="001C71A8"/>
    <w:rsid w:val="001D012D"/>
    <w:rsid w:val="001D0B73"/>
    <w:rsid w:val="001D2800"/>
    <w:rsid w:val="001D2B0C"/>
    <w:rsid w:val="001D2D9D"/>
    <w:rsid w:val="001D4002"/>
    <w:rsid w:val="001D48C6"/>
    <w:rsid w:val="001D4B81"/>
    <w:rsid w:val="001D4DA7"/>
    <w:rsid w:val="001D5473"/>
    <w:rsid w:val="001D54C4"/>
    <w:rsid w:val="001D6297"/>
    <w:rsid w:val="001E10A0"/>
    <w:rsid w:val="001E12A4"/>
    <w:rsid w:val="001E1A00"/>
    <w:rsid w:val="001E1D9C"/>
    <w:rsid w:val="001E207D"/>
    <w:rsid w:val="001E285C"/>
    <w:rsid w:val="001E3FE3"/>
    <w:rsid w:val="001E451D"/>
    <w:rsid w:val="001E54C8"/>
    <w:rsid w:val="001E602E"/>
    <w:rsid w:val="001E6FC2"/>
    <w:rsid w:val="001E7872"/>
    <w:rsid w:val="001F0562"/>
    <w:rsid w:val="001F06CA"/>
    <w:rsid w:val="001F0A47"/>
    <w:rsid w:val="001F119D"/>
    <w:rsid w:val="001F1DB1"/>
    <w:rsid w:val="001F1FF7"/>
    <w:rsid w:val="001F384B"/>
    <w:rsid w:val="001F4A20"/>
    <w:rsid w:val="001F4ECF"/>
    <w:rsid w:val="001F4FB8"/>
    <w:rsid w:val="001F5873"/>
    <w:rsid w:val="001F59C7"/>
    <w:rsid w:val="001F631A"/>
    <w:rsid w:val="001F7CF2"/>
    <w:rsid w:val="001F7D39"/>
    <w:rsid w:val="0020071A"/>
    <w:rsid w:val="00202422"/>
    <w:rsid w:val="00202E7B"/>
    <w:rsid w:val="00204B09"/>
    <w:rsid w:val="00211674"/>
    <w:rsid w:val="00212E6C"/>
    <w:rsid w:val="00214376"/>
    <w:rsid w:val="00215BAB"/>
    <w:rsid w:val="00216619"/>
    <w:rsid w:val="002167D3"/>
    <w:rsid w:val="00216928"/>
    <w:rsid w:val="00217C61"/>
    <w:rsid w:val="002206B8"/>
    <w:rsid w:val="00221568"/>
    <w:rsid w:val="00221BEB"/>
    <w:rsid w:val="00224164"/>
    <w:rsid w:val="002243BC"/>
    <w:rsid w:val="00224AFA"/>
    <w:rsid w:val="0022561C"/>
    <w:rsid w:val="00226F42"/>
    <w:rsid w:val="0022735C"/>
    <w:rsid w:val="0022796A"/>
    <w:rsid w:val="002315C3"/>
    <w:rsid w:val="002323F6"/>
    <w:rsid w:val="00232ADA"/>
    <w:rsid w:val="00232B5F"/>
    <w:rsid w:val="00232C2A"/>
    <w:rsid w:val="00235124"/>
    <w:rsid w:val="0023752B"/>
    <w:rsid w:val="002401E1"/>
    <w:rsid w:val="00242466"/>
    <w:rsid w:val="00243BFB"/>
    <w:rsid w:val="00243EBF"/>
    <w:rsid w:val="002441DD"/>
    <w:rsid w:val="002450D7"/>
    <w:rsid w:val="00245BED"/>
    <w:rsid w:val="00245FA9"/>
    <w:rsid w:val="00247FA5"/>
    <w:rsid w:val="00252997"/>
    <w:rsid w:val="00252EB7"/>
    <w:rsid w:val="00254051"/>
    <w:rsid w:val="00257179"/>
    <w:rsid w:val="0025794B"/>
    <w:rsid w:val="00257DE1"/>
    <w:rsid w:val="00261929"/>
    <w:rsid w:val="002636E5"/>
    <w:rsid w:val="00263801"/>
    <w:rsid w:val="00263DA9"/>
    <w:rsid w:val="00263E80"/>
    <w:rsid w:val="002643B5"/>
    <w:rsid w:val="00264B68"/>
    <w:rsid w:val="002656A1"/>
    <w:rsid w:val="002660A4"/>
    <w:rsid w:val="00266643"/>
    <w:rsid w:val="00266695"/>
    <w:rsid w:val="002670A6"/>
    <w:rsid w:val="0026790C"/>
    <w:rsid w:val="002713EE"/>
    <w:rsid w:val="002717B0"/>
    <w:rsid w:val="002722E2"/>
    <w:rsid w:val="002729A9"/>
    <w:rsid w:val="00273146"/>
    <w:rsid w:val="002731B7"/>
    <w:rsid w:val="00273931"/>
    <w:rsid w:val="0027444E"/>
    <w:rsid w:val="002744EC"/>
    <w:rsid w:val="0027565E"/>
    <w:rsid w:val="00276988"/>
    <w:rsid w:val="00276BEA"/>
    <w:rsid w:val="00276D2C"/>
    <w:rsid w:val="00277232"/>
    <w:rsid w:val="0027746C"/>
    <w:rsid w:val="002779D1"/>
    <w:rsid w:val="00277BFB"/>
    <w:rsid w:val="00281968"/>
    <w:rsid w:val="002819E0"/>
    <w:rsid w:val="00282BC5"/>
    <w:rsid w:val="002837AD"/>
    <w:rsid w:val="00286D88"/>
    <w:rsid w:val="00287CBF"/>
    <w:rsid w:val="00287CF9"/>
    <w:rsid w:val="00290211"/>
    <w:rsid w:val="002915DF"/>
    <w:rsid w:val="002917D6"/>
    <w:rsid w:val="00291CF1"/>
    <w:rsid w:val="00292541"/>
    <w:rsid w:val="0029348C"/>
    <w:rsid w:val="002935D3"/>
    <w:rsid w:val="00295C81"/>
    <w:rsid w:val="00296687"/>
    <w:rsid w:val="0029691A"/>
    <w:rsid w:val="00297330"/>
    <w:rsid w:val="002A0C72"/>
    <w:rsid w:val="002A1034"/>
    <w:rsid w:val="002A2EBC"/>
    <w:rsid w:val="002A33B8"/>
    <w:rsid w:val="002A3C35"/>
    <w:rsid w:val="002A46D7"/>
    <w:rsid w:val="002A489F"/>
    <w:rsid w:val="002A67FD"/>
    <w:rsid w:val="002B0869"/>
    <w:rsid w:val="002B1491"/>
    <w:rsid w:val="002B35AD"/>
    <w:rsid w:val="002B4B7E"/>
    <w:rsid w:val="002B6CB6"/>
    <w:rsid w:val="002C1B95"/>
    <w:rsid w:val="002C1F3A"/>
    <w:rsid w:val="002C289B"/>
    <w:rsid w:val="002C3B54"/>
    <w:rsid w:val="002C3C33"/>
    <w:rsid w:val="002C4044"/>
    <w:rsid w:val="002C4AE5"/>
    <w:rsid w:val="002C5635"/>
    <w:rsid w:val="002C58DA"/>
    <w:rsid w:val="002C5CA3"/>
    <w:rsid w:val="002C5D31"/>
    <w:rsid w:val="002C6AB9"/>
    <w:rsid w:val="002C6BBF"/>
    <w:rsid w:val="002C7E0A"/>
    <w:rsid w:val="002D0348"/>
    <w:rsid w:val="002D0F52"/>
    <w:rsid w:val="002D102D"/>
    <w:rsid w:val="002D25FD"/>
    <w:rsid w:val="002D287C"/>
    <w:rsid w:val="002D2960"/>
    <w:rsid w:val="002D4852"/>
    <w:rsid w:val="002D52BD"/>
    <w:rsid w:val="002D5567"/>
    <w:rsid w:val="002D5764"/>
    <w:rsid w:val="002D60F6"/>
    <w:rsid w:val="002D651A"/>
    <w:rsid w:val="002D74C6"/>
    <w:rsid w:val="002D7BF7"/>
    <w:rsid w:val="002E0045"/>
    <w:rsid w:val="002E0AF2"/>
    <w:rsid w:val="002E1806"/>
    <w:rsid w:val="002E329B"/>
    <w:rsid w:val="002E42D5"/>
    <w:rsid w:val="002E454A"/>
    <w:rsid w:val="002E4A09"/>
    <w:rsid w:val="002E5CDC"/>
    <w:rsid w:val="002E7CD2"/>
    <w:rsid w:val="002F0480"/>
    <w:rsid w:val="002F07F2"/>
    <w:rsid w:val="002F0C17"/>
    <w:rsid w:val="002F50CB"/>
    <w:rsid w:val="002F594E"/>
    <w:rsid w:val="002F7C3B"/>
    <w:rsid w:val="003014AB"/>
    <w:rsid w:val="00302992"/>
    <w:rsid w:val="00302BA8"/>
    <w:rsid w:val="00302C04"/>
    <w:rsid w:val="003034B1"/>
    <w:rsid w:val="003043AE"/>
    <w:rsid w:val="003050F2"/>
    <w:rsid w:val="003072A9"/>
    <w:rsid w:val="003111C5"/>
    <w:rsid w:val="003120FF"/>
    <w:rsid w:val="0031217E"/>
    <w:rsid w:val="003121AE"/>
    <w:rsid w:val="00312FDC"/>
    <w:rsid w:val="0031471C"/>
    <w:rsid w:val="00314DB0"/>
    <w:rsid w:val="003151DA"/>
    <w:rsid w:val="00315974"/>
    <w:rsid w:val="00315BCE"/>
    <w:rsid w:val="003169F4"/>
    <w:rsid w:val="0031794A"/>
    <w:rsid w:val="00317953"/>
    <w:rsid w:val="00321F67"/>
    <w:rsid w:val="00322283"/>
    <w:rsid w:val="00323039"/>
    <w:rsid w:val="0032755C"/>
    <w:rsid w:val="00327C9C"/>
    <w:rsid w:val="00327D25"/>
    <w:rsid w:val="00331D65"/>
    <w:rsid w:val="00332F91"/>
    <w:rsid w:val="003335A6"/>
    <w:rsid w:val="003335D9"/>
    <w:rsid w:val="00333A95"/>
    <w:rsid w:val="00333CF9"/>
    <w:rsid w:val="003349D8"/>
    <w:rsid w:val="003351E2"/>
    <w:rsid w:val="00335F36"/>
    <w:rsid w:val="00335F51"/>
    <w:rsid w:val="0033780B"/>
    <w:rsid w:val="00340AF0"/>
    <w:rsid w:val="00340EC1"/>
    <w:rsid w:val="00340F9F"/>
    <w:rsid w:val="00341067"/>
    <w:rsid w:val="00341D2B"/>
    <w:rsid w:val="00345EE1"/>
    <w:rsid w:val="003465D8"/>
    <w:rsid w:val="00346A8A"/>
    <w:rsid w:val="00350911"/>
    <w:rsid w:val="0035132B"/>
    <w:rsid w:val="00351695"/>
    <w:rsid w:val="00351C23"/>
    <w:rsid w:val="00353CD8"/>
    <w:rsid w:val="003555E9"/>
    <w:rsid w:val="003559B2"/>
    <w:rsid w:val="00356156"/>
    <w:rsid w:val="003601C9"/>
    <w:rsid w:val="00360EF8"/>
    <w:rsid w:val="00360FD8"/>
    <w:rsid w:val="00362D2F"/>
    <w:rsid w:val="00363D3F"/>
    <w:rsid w:val="00366BFA"/>
    <w:rsid w:val="00371021"/>
    <w:rsid w:val="00372386"/>
    <w:rsid w:val="003737C1"/>
    <w:rsid w:val="00374ED7"/>
    <w:rsid w:val="003753ED"/>
    <w:rsid w:val="0037579C"/>
    <w:rsid w:val="003757DC"/>
    <w:rsid w:val="00376CF0"/>
    <w:rsid w:val="00377FA2"/>
    <w:rsid w:val="00380D78"/>
    <w:rsid w:val="00381E63"/>
    <w:rsid w:val="00384C61"/>
    <w:rsid w:val="00385C0C"/>
    <w:rsid w:val="003874FD"/>
    <w:rsid w:val="00387901"/>
    <w:rsid w:val="00387BAB"/>
    <w:rsid w:val="0039032C"/>
    <w:rsid w:val="00390951"/>
    <w:rsid w:val="00390C9D"/>
    <w:rsid w:val="003919D8"/>
    <w:rsid w:val="00392CF0"/>
    <w:rsid w:val="0039474E"/>
    <w:rsid w:val="00396DE3"/>
    <w:rsid w:val="00397C91"/>
    <w:rsid w:val="003A19FB"/>
    <w:rsid w:val="003A1B0D"/>
    <w:rsid w:val="003A3427"/>
    <w:rsid w:val="003A491C"/>
    <w:rsid w:val="003A4A66"/>
    <w:rsid w:val="003A5601"/>
    <w:rsid w:val="003A6263"/>
    <w:rsid w:val="003B173B"/>
    <w:rsid w:val="003B22D6"/>
    <w:rsid w:val="003B5A23"/>
    <w:rsid w:val="003C17BB"/>
    <w:rsid w:val="003C1DCD"/>
    <w:rsid w:val="003C29D1"/>
    <w:rsid w:val="003C3A0D"/>
    <w:rsid w:val="003C42A3"/>
    <w:rsid w:val="003C5243"/>
    <w:rsid w:val="003C568C"/>
    <w:rsid w:val="003D0457"/>
    <w:rsid w:val="003D1862"/>
    <w:rsid w:val="003D3436"/>
    <w:rsid w:val="003D5A77"/>
    <w:rsid w:val="003D6094"/>
    <w:rsid w:val="003D71AB"/>
    <w:rsid w:val="003D7513"/>
    <w:rsid w:val="003E0885"/>
    <w:rsid w:val="003E1393"/>
    <w:rsid w:val="003E2C9E"/>
    <w:rsid w:val="003E4054"/>
    <w:rsid w:val="003E4F3A"/>
    <w:rsid w:val="003E5B75"/>
    <w:rsid w:val="003E5C16"/>
    <w:rsid w:val="003E5D06"/>
    <w:rsid w:val="003E66ED"/>
    <w:rsid w:val="003E7497"/>
    <w:rsid w:val="003F18FC"/>
    <w:rsid w:val="003F2BF3"/>
    <w:rsid w:val="003F2CC2"/>
    <w:rsid w:val="003F3844"/>
    <w:rsid w:val="003F4244"/>
    <w:rsid w:val="003F530D"/>
    <w:rsid w:val="003F602F"/>
    <w:rsid w:val="003F6DC0"/>
    <w:rsid w:val="003F7510"/>
    <w:rsid w:val="003F7923"/>
    <w:rsid w:val="0040013B"/>
    <w:rsid w:val="00400EF9"/>
    <w:rsid w:val="004015F8"/>
    <w:rsid w:val="00402E6A"/>
    <w:rsid w:val="004032B4"/>
    <w:rsid w:val="00403367"/>
    <w:rsid w:val="00403621"/>
    <w:rsid w:val="00403829"/>
    <w:rsid w:val="00403E5C"/>
    <w:rsid w:val="00403FB6"/>
    <w:rsid w:val="004040D9"/>
    <w:rsid w:val="004056F3"/>
    <w:rsid w:val="0040643B"/>
    <w:rsid w:val="00407183"/>
    <w:rsid w:val="004109E0"/>
    <w:rsid w:val="00411B9F"/>
    <w:rsid w:val="0041325D"/>
    <w:rsid w:val="004148D3"/>
    <w:rsid w:val="00414E02"/>
    <w:rsid w:val="00415E0A"/>
    <w:rsid w:val="00417979"/>
    <w:rsid w:val="00420FA3"/>
    <w:rsid w:val="00422D4B"/>
    <w:rsid w:val="0042731F"/>
    <w:rsid w:val="00427590"/>
    <w:rsid w:val="00427C38"/>
    <w:rsid w:val="00430C32"/>
    <w:rsid w:val="00431324"/>
    <w:rsid w:val="0043148B"/>
    <w:rsid w:val="00432CE4"/>
    <w:rsid w:val="00433161"/>
    <w:rsid w:val="00433AC8"/>
    <w:rsid w:val="004344B7"/>
    <w:rsid w:val="004348ED"/>
    <w:rsid w:val="00435EDD"/>
    <w:rsid w:val="00436AC2"/>
    <w:rsid w:val="00441E09"/>
    <w:rsid w:val="0044226A"/>
    <w:rsid w:val="004424A1"/>
    <w:rsid w:val="00443F29"/>
    <w:rsid w:val="0044500B"/>
    <w:rsid w:val="00446853"/>
    <w:rsid w:val="00446858"/>
    <w:rsid w:val="0045021A"/>
    <w:rsid w:val="00450A26"/>
    <w:rsid w:val="00450DC0"/>
    <w:rsid w:val="00453E39"/>
    <w:rsid w:val="0045499C"/>
    <w:rsid w:val="00454A27"/>
    <w:rsid w:val="00456B81"/>
    <w:rsid w:val="00457628"/>
    <w:rsid w:val="0046128B"/>
    <w:rsid w:val="004613E8"/>
    <w:rsid w:val="0046159A"/>
    <w:rsid w:val="00461DE8"/>
    <w:rsid w:val="00462384"/>
    <w:rsid w:val="00463B16"/>
    <w:rsid w:val="00464F8B"/>
    <w:rsid w:val="004656C3"/>
    <w:rsid w:val="004670BB"/>
    <w:rsid w:val="004670C8"/>
    <w:rsid w:val="00467CE4"/>
    <w:rsid w:val="004715E9"/>
    <w:rsid w:val="0047205F"/>
    <w:rsid w:val="0047289B"/>
    <w:rsid w:val="004736E3"/>
    <w:rsid w:val="00474851"/>
    <w:rsid w:val="00476364"/>
    <w:rsid w:val="00480C98"/>
    <w:rsid w:val="0048193C"/>
    <w:rsid w:val="004848FF"/>
    <w:rsid w:val="00485999"/>
    <w:rsid w:val="004908E3"/>
    <w:rsid w:val="0049184B"/>
    <w:rsid w:val="00491F22"/>
    <w:rsid w:val="00493028"/>
    <w:rsid w:val="004951FB"/>
    <w:rsid w:val="0049537D"/>
    <w:rsid w:val="00495CA6"/>
    <w:rsid w:val="004962F8"/>
    <w:rsid w:val="00497058"/>
    <w:rsid w:val="00497107"/>
    <w:rsid w:val="00497542"/>
    <w:rsid w:val="004975CD"/>
    <w:rsid w:val="00497BA5"/>
    <w:rsid w:val="004A0F1A"/>
    <w:rsid w:val="004A2095"/>
    <w:rsid w:val="004A295A"/>
    <w:rsid w:val="004A393C"/>
    <w:rsid w:val="004A42F2"/>
    <w:rsid w:val="004A49A0"/>
    <w:rsid w:val="004A5F95"/>
    <w:rsid w:val="004A6CD5"/>
    <w:rsid w:val="004B08AA"/>
    <w:rsid w:val="004B13B5"/>
    <w:rsid w:val="004B2E9E"/>
    <w:rsid w:val="004B323F"/>
    <w:rsid w:val="004B4BC0"/>
    <w:rsid w:val="004B5462"/>
    <w:rsid w:val="004B569E"/>
    <w:rsid w:val="004B56B1"/>
    <w:rsid w:val="004B6061"/>
    <w:rsid w:val="004B7836"/>
    <w:rsid w:val="004C00EE"/>
    <w:rsid w:val="004C02D5"/>
    <w:rsid w:val="004C0506"/>
    <w:rsid w:val="004C0A60"/>
    <w:rsid w:val="004C0C2D"/>
    <w:rsid w:val="004C0E44"/>
    <w:rsid w:val="004C0EE0"/>
    <w:rsid w:val="004C249C"/>
    <w:rsid w:val="004C2F05"/>
    <w:rsid w:val="004C3E47"/>
    <w:rsid w:val="004C6E2F"/>
    <w:rsid w:val="004C7706"/>
    <w:rsid w:val="004D1997"/>
    <w:rsid w:val="004D3C9A"/>
    <w:rsid w:val="004D3F86"/>
    <w:rsid w:val="004D507D"/>
    <w:rsid w:val="004D5F6E"/>
    <w:rsid w:val="004D7684"/>
    <w:rsid w:val="004E15EF"/>
    <w:rsid w:val="004E19BE"/>
    <w:rsid w:val="004E2E27"/>
    <w:rsid w:val="004E6FB3"/>
    <w:rsid w:val="004F1332"/>
    <w:rsid w:val="004F3BC4"/>
    <w:rsid w:val="004F4E8E"/>
    <w:rsid w:val="004F543D"/>
    <w:rsid w:val="004F5487"/>
    <w:rsid w:val="004F5813"/>
    <w:rsid w:val="004F6E26"/>
    <w:rsid w:val="004F73C5"/>
    <w:rsid w:val="0050163C"/>
    <w:rsid w:val="005030F0"/>
    <w:rsid w:val="00504144"/>
    <w:rsid w:val="00504517"/>
    <w:rsid w:val="00504FF0"/>
    <w:rsid w:val="00505D4F"/>
    <w:rsid w:val="005062A1"/>
    <w:rsid w:val="0050714D"/>
    <w:rsid w:val="005101FD"/>
    <w:rsid w:val="00511A1F"/>
    <w:rsid w:val="0051488F"/>
    <w:rsid w:val="00515367"/>
    <w:rsid w:val="00515877"/>
    <w:rsid w:val="0051716F"/>
    <w:rsid w:val="0052048E"/>
    <w:rsid w:val="0052115B"/>
    <w:rsid w:val="00521504"/>
    <w:rsid w:val="00522417"/>
    <w:rsid w:val="00522652"/>
    <w:rsid w:val="00522B3D"/>
    <w:rsid w:val="00524A03"/>
    <w:rsid w:val="00525EB2"/>
    <w:rsid w:val="005269BE"/>
    <w:rsid w:val="00527572"/>
    <w:rsid w:val="00530F3C"/>
    <w:rsid w:val="00531726"/>
    <w:rsid w:val="00531873"/>
    <w:rsid w:val="005327DB"/>
    <w:rsid w:val="005337FA"/>
    <w:rsid w:val="00534B95"/>
    <w:rsid w:val="00534D2E"/>
    <w:rsid w:val="00535664"/>
    <w:rsid w:val="005368B0"/>
    <w:rsid w:val="005375DB"/>
    <w:rsid w:val="005403D1"/>
    <w:rsid w:val="00540620"/>
    <w:rsid w:val="00541094"/>
    <w:rsid w:val="00542B97"/>
    <w:rsid w:val="00543F7C"/>
    <w:rsid w:val="0054676B"/>
    <w:rsid w:val="005504BB"/>
    <w:rsid w:val="005507CC"/>
    <w:rsid w:val="0055141B"/>
    <w:rsid w:val="00551A3D"/>
    <w:rsid w:val="00551B7F"/>
    <w:rsid w:val="0055278F"/>
    <w:rsid w:val="00554367"/>
    <w:rsid w:val="0055497B"/>
    <w:rsid w:val="00557281"/>
    <w:rsid w:val="00560095"/>
    <w:rsid w:val="00560794"/>
    <w:rsid w:val="005608D0"/>
    <w:rsid w:val="00560B40"/>
    <w:rsid w:val="00561191"/>
    <w:rsid w:val="0056245E"/>
    <w:rsid w:val="005626E5"/>
    <w:rsid w:val="00562F94"/>
    <w:rsid w:val="00563BE1"/>
    <w:rsid w:val="00563D87"/>
    <w:rsid w:val="00563E87"/>
    <w:rsid w:val="00565E4C"/>
    <w:rsid w:val="00565FD0"/>
    <w:rsid w:val="00565FFA"/>
    <w:rsid w:val="00566095"/>
    <w:rsid w:val="005704BA"/>
    <w:rsid w:val="005722B6"/>
    <w:rsid w:val="00572A65"/>
    <w:rsid w:val="005770BA"/>
    <w:rsid w:val="00577A20"/>
    <w:rsid w:val="005820E9"/>
    <w:rsid w:val="005821E2"/>
    <w:rsid w:val="005838BF"/>
    <w:rsid w:val="005840B5"/>
    <w:rsid w:val="005840CB"/>
    <w:rsid w:val="00584E1B"/>
    <w:rsid w:val="005861C6"/>
    <w:rsid w:val="005871CB"/>
    <w:rsid w:val="00587D42"/>
    <w:rsid w:val="00587FDE"/>
    <w:rsid w:val="005903DD"/>
    <w:rsid w:val="00590F2B"/>
    <w:rsid w:val="00592261"/>
    <w:rsid w:val="00592B27"/>
    <w:rsid w:val="00593377"/>
    <w:rsid w:val="00594CC9"/>
    <w:rsid w:val="0059543A"/>
    <w:rsid w:val="00596E95"/>
    <w:rsid w:val="00596EE3"/>
    <w:rsid w:val="005A0530"/>
    <w:rsid w:val="005A05FB"/>
    <w:rsid w:val="005A1FD9"/>
    <w:rsid w:val="005A3548"/>
    <w:rsid w:val="005A36E6"/>
    <w:rsid w:val="005A5075"/>
    <w:rsid w:val="005A5D87"/>
    <w:rsid w:val="005A61CC"/>
    <w:rsid w:val="005A65A6"/>
    <w:rsid w:val="005A789E"/>
    <w:rsid w:val="005B01D2"/>
    <w:rsid w:val="005B04D3"/>
    <w:rsid w:val="005B0826"/>
    <w:rsid w:val="005B0B2F"/>
    <w:rsid w:val="005B0C52"/>
    <w:rsid w:val="005B1312"/>
    <w:rsid w:val="005B2153"/>
    <w:rsid w:val="005B29A7"/>
    <w:rsid w:val="005B3AF0"/>
    <w:rsid w:val="005B3C76"/>
    <w:rsid w:val="005B473C"/>
    <w:rsid w:val="005B4911"/>
    <w:rsid w:val="005B53C3"/>
    <w:rsid w:val="005B5EEC"/>
    <w:rsid w:val="005B782D"/>
    <w:rsid w:val="005B7D35"/>
    <w:rsid w:val="005C086D"/>
    <w:rsid w:val="005C4659"/>
    <w:rsid w:val="005C48B6"/>
    <w:rsid w:val="005C5762"/>
    <w:rsid w:val="005C6326"/>
    <w:rsid w:val="005C669A"/>
    <w:rsid w:val="005C70A4"/>
    <w:rsid w:val="005D0B5B"/>
    <w:rsid w:val="005D0F2D"/>
    <w:rsid w:val="005D16B2"/>
    <w:rsid w:val="005D2A0B"/>
    <w:rsid w:val="005D2D92"/>
    <w:rsid w:val="005D38C7"/>
    <w:rsid w:val="005D4A72"/>
    <w:rsid w:val="005D5C94"/>
    <w:rsid w:val="005D7D7C"/>
    <w:rsid w:val="005D7EDC"/>
    <w:rsid w:val="005E06F8"/>
    <w:rsid w:val="005E164A"/>
    <w:rsid w:val="005E181D"/>
    <w:rsid w:val="005E3168"/>
    <w:rsid w:val="005E3E4C"/>
    <w:rsid w:val="005E3F74"/>
    <w:rsid w:val="005E4149"/>
    <w:rsid w:val="005E462B"/>
    <w:rsid w:val="005E46F7"/>
    <w:rsid w:val="005E4C0B"/>
    <w:rsid w:val="005E53C4"/>
    <w:rsid w:val="005E7480"/>
    <w:rsid w:val="005E7C39"/>
    <w:rsid w:val="005F01CE"/>
    <w:rsid w:val="005F0B7A"/>
    <w:rsid w:val="005F1778"/>
    <w:rsid w:val="005F2A3E"/>
    <w:rsid w:val="005F2EBE"/>
    <w:rsid w:val="005F2EC4"/>
    <w:rsid w:val="005F344E"/>
    <w:rsid w:val="005F48E4"/>
    <w:rsid w:val="005F4D46"/>
    <w:rsid w:val="005F5AE5"/>
    <w:rsid w:val="005F5B4B"/>
    <w:rsid w:val="005F6383"/>
    <w:rsid w:val="005F64A1"/>
    <w:rsid w:val="005F7802"/>
    <w:rsid w:val="005F7BA9"/>
    <w:rsid w:val="005F7F43"/>
    <w:rsid w:val="0060253D"/>
    <w:rsid w:val="00603288"/>
    <w:rsid w:val="0060511C"/>
    <w:rsid w:val="00605B78"/>
    <w:rsid w:val="00605D69"/>
    <w:rsid w:val="00610A7F"/>
    <w:rsid w:val="00611FBA"/>
    <w:rsid w:val="00612D3D"/>
    <w:rsid w:val="00613C05"/>
    <w:rsid w:val="00617E52"/>
    <w:rsid w:val="0062270B"/>
    <w:rsid w:val="00622DAF"/>
    <w:rsid w:val="00623C6F"/>
    <w:rsid w:val="0062407C"/>
    <w:rsid w:val="00624699"/>
    <w:rsid w:val="00625025"/>
    <w:rsid w:val="00625962"/>
    <w:rsid w:val="00626A59"/>
    <w:rsid w:val="00626C94"/>
    <w:rsid w:val="006272AE"/>
    <w:rsid w:val="0062753D"/>
    <w:rsid w:val="006305D5"/>
    <w:rsid w:val="00630D91"/>
    <w:rsid w:val="00630EAC"/>
    <w:rsid w:val="00631ACE"/>
    <w:rsid w:val="0063208D"/>
    <w:rsid w:val="00632357"/>
    <w:rsid w:val="006335FF"/>
    <w:rsid w:val="00634773"/>
    <w:rsid w:val="00636AA4"/>
    <w:rsid w:val="00636E5E"/>
    <w:rsid w:val="006426B3"/>
    <w:rsid w:val="00642ADF"/>
    <w:rsid w:val="00644702"/>
    <w:rsid w:val="00644755"/>
    <w:rsid w:val="0064498D"/>
    <w:rsid w:val="00644C49"/>
    <w:rsid w:val="00645091"/>
    <w:rsid w:val="006453F9"/>
    <w:rsid w:val="0064560F"/>
    <w:rsid w:val="00646579"/>
    <w:rsid w:val="00647287"/>
    <w:rsid w:val="0065111D"/>
    <w:rsid w:val="00651669"/>
    <w:rsid w:val="006527CB"/>
    <w:rsid w:val="006529AD"/>
    <w:rsid w:val="00654B24"/>
    <w:rsid w:val="00656CBD"/>
    <w:rsid w:val="00660EE7"/>
    <w:rsid w:val="00661D35"/>
    <w:rsid w:val="00663169"/>
    <w:rsid w:val="0066343C"/>
    <w:rsid w:val="00663F91"/>
    <w:rsid w:val="00664007"/>
    <w:rsid w:val="00665233"/>
    <w:rsid w:val="00665C06"/>
    <w:rsid w:val="00666623"/>
    <w:rsid w:val="00666A2D"/>
    <w:rsid w:val="00671220"/>
    <w:rsid w:val="0067184B"/>
    <w:rsid w:val="006724D5"/>
    <w:rsid w:val="0067323D"/>
    <w:rsid w:val="00674E5F"/>
    <w:rsid w:val="00675E1A"/>
    <w:rsid w:val="00676E68"/>
    <w:rsid w:val="0067717E"/>
    <w:rsid w:val="00680A28"/>
    <w:rsid w:val="00682FD5"/>
    <w:rsid w:val="0068412C"/>
    <w:rsid w:val="00685017"/>
    <w:rsid w:val="00685BDB"/>
    <w:rsid w:val="0068724B"/>
    <w:rsid w:val="006902A6"/>
    <w:rsid w:val="006911D3"/>
    <w:rsid w:val="00692E47"/>
    <w:rsid w:val="00693A1B"/>
    <w:rsid w:val="00695071"/>
    <w:rsid w:val="00696B1B"/>
    <w:rsid w:val="00696C48"/>
    <w:rsid w:val="006970D0"/>
    <w:rsid w:val="006975CC"/>
    <w:rsid w:val="00697F1F"/>
    <w:rsid w:val="006A0631"/>
    <w:rsid w:val="006A0914"/>
    <w:rsid w:val="006A1233"/>
    <w:rsid w:val="006A210B"/>
    <w:rsid w:val="006A26FC"/>
    <w:rsid w:val="006A38B1"/>
    <w:rsid w:val="006A40BE"/>
    <w:rsid w:val="006A7705"/>
    <w:rsid w:val="006A7994"/>
    <w:rsid w:val="006B05C9"/>
    <w:rsid w:val="006B156B"/>
    <w:rsid w:val="006B1803"/>
    <w:rsid w:val="006B191F"/>
    <w:rsid w:val="006B1A67"/>
    <w:rsid w:val="006B34F7"/>
    <w:rsid w:val="006B3539"/>
    <w:rsid w:val="006B4376"/>
    <w:rsid w:val="006B48B1"/>
    <w:rsid w:val="006B4A7F"/>
    <w:rsid w:val="006B557B"/>
    <w:rsid w:val="006B72B8"/>
    <w:rsid w:val="006B774B"/>
    <w:rsid w:val="006C06E1"/>
    <w:rsid w:val="006C2075"/>
    <w:rsid w:val="006C27F9"/>
    <w:rsid w:val="006C2DF6"/>
    <w:rsid w:val="006C2EE6"/>
    <w:rsid w:val="006C3490"/>
    <w:rsid w:val="006C37D1"/>
    <w:rsid w:val="006C416C"/>
    <w:rsid w:val="006C4906"/>
    <w:rsid w:val="006C61CE"/>
    <w:rsid w:val="006C6B66"/>
    <w:rsid w:val="006C71DE"/>
    <w:rsid w:val="006C7626"/>
    <w:rsid w:val="006D081E"/>
    <w:rsid w:val="006D19C1"/>
    <w:rsid w:val="006D1D70"/>
    <w:rsid w:val="006D21C8"/>
    <w:rsid w:val="006D56DC"/>
    <w:rsid w:val="006D5FE8"/>
    <w:rsid w:val="006D6F61"/>
    <w:rsid w:val="006D7AF5"/>
    <w:rsid w:val="006E14E6"/>
    <w:rsid w:val="006E21DC"/>
    <w:rsid w:val="006E2E56"/>
    <w:rsid w:val="006E3700"/>
    <w:rsid w:val="006E465B"/>
    <w:rsid w:val="006E59F1"/>
    <w:rsid w:val="006E5C73"/>
    <w:rsid w:val="006E60AA"/>
    <w:rsid w:val="006F03D3"/>
    <w:rsid w:val="006F07EF"/>
    <w:rsid w:val="006F0A82"/>
    <w:rsid w:val="006F1048"/>
    <w:rsid w:val="006F1569"/>
    <w:rsid w:val="006F21D8"/>
    <w:rsid w:val="006F5D9E"/>
    <w:rsid w:val="006F5F1D"/>
    <w:rsid w:val="00700188"/>
    <w:rsid w:val="007012A4"/>
    <w:rsid w:val="0070234A"/>
    <w:rsid w:val="00702C9B"/>
    <w:rsid w:val="007045CB"/>
    <w:rsid w:val="0070478F"/>
    <w:rsid w:val="00704DFA"/>
    <w:rsid w:val="0070603E"/>
    <w:rsid w:val="0070796B"/>
    <w:rsid w:val="0071048A"/>
    <w:rsid w:val="00710757"/>
    <w:rsid w:val="00710FBD"/>
    <w:rsid w:val="00711548"/>
    <w:rsid w:val="0071165B"/>
    <w:rsid w:val="00713B40"/>
    <w:rsid w:val="00714A17"/>
    <w:rsid w:val="00714D30"/>
    <w:rsid w:val="0071543F"/>
    <w:rsid w:val="0071544C"/>
    <w:rsid w:val="0072029C"/>
    <w:rsid w:val="0072043C"/>
    <w:rsid w:val="00720C84"/>
    <w:rsid w:val="00721910"/>
    <w:rsid w:val="0072207F"/>
    <w:rsid w:val="00724197"/>
    <w:rsid w:val="00724423"/>
    <w:rsid w:val="00731C82"/>
    <w:rsid w:val="00731CB7"/>
    <w:rsid w:val="00732711"/>
    <w:rsid w:val="007328D6"/>
    <w:rsid w:val="007350D4"/>
    <w:rsid w:val="00735C0A"/>
    <w:rsid w:val="00736263"/>
    <w:rsid w:val="00737309"/>
    <w:rsid w:val="0074087F"/>
    <w:rsid w:val="007419EB"/>
    <w:rsid w:val="0074265D"/>
    <w:rsid w:val="00742C59"/>
    <w:rsid w:val="00745833"/>
    <w:rsid w:val="00745C14"/>
    <w:rsid w:val="0074689A"/>
    <w:rsid w:val="00746E54"/>
    <w:rsid w:val="0074779B"/>
    <w:rsid w:val="00747912"/>
    <w:rsid w:val="007504EE"/>
    <w:rsid w:val="00750D1B"/>
    <w:rsid w:val="007510B1"/>
    <w:rsid w:val="00751E8F"/>
    <w:rsid w:val="00753CAE"/>
    <w:rsid w:val="007542EA"/>
    <w:rsid w:val="00754468"/>
    <w:rsid w:val="0075597A"/>
    <w:rsid w:val="007560E2"/>
    <w:rsid w:val="00756F95"/>
    <w:rsid w:val="00757350"/>
    <w:rsid w:val="00757F31"/>
    <w:rsid w:val="0076136A"/>
    <w:rsid w:val="007619AB"/>
    <w:rsid w:val="00761C83"/>
    <w:rsid w:val="007631AF"/>
    <w:rsid w:val="00763340"/>
    <w:rsid w:val="007647C6"/>
    <w:rsid w:val="007658DA"/>
    <w:rsid w:val="00765D75"/>
    <w:rsid w:val="0076603F"/>
    <w:rsid w:val="007665E0"/>
    <w:rsid w:val="007672AF"/>
    <w:rsid w:val="00770051"/>
    <w:rsid w:val="00772DB6"/>
    <w:rsid w:val="00773A22"/>
    <w:rsid w:val="00773F40"/>
    <w:rsid w:val="00781229"/>
    <w:rsid w:val="00781755"/>
    <w:rsid w:val="00785305"/>
    <w:rsid w:val="00785672"/>
    <w:rsid w:val="0078578F"/>
    <w:rsid w:val="00785CB8"/>
    <w:rsid w:val="00785E66"/>
    <w:rsid w:val="00787C58"/>
    <w:rsid w:val="007911CC"/>
    <w:rsid w:val="00791D53"/>
    <w:rsid w:val="00791F3A"/>
    <w:rsid w:val="007939B0"/>
    <w:rsid w:val="00793A53"/>
    <w:rsid w:val="007942CE"/>
    <w:rsid w:val="007942D6"/>
    <w:rsid w:val="00794FE1"/>
    <w:rsid w:val="007951FB"/>
    <w:rsid w:val="007953F2"/>
    <w:rsid w:val="00795870"/>
    <w:rsid w:val="007A0AAA"/>
    <w:rsid w:val="007A1035"/>
    <w:rsid w:val="007A3687"/>
    <w:rsid w:val="007A3A9B"/>
    <w:rsid w:val="007A5D8A"/>
    <w:rsid w:val="007A6487"/>
    <w:rsid w:val="007A6882"/>
    <w:rsid w:val="007A6F80"/>
    <w:rsid w:val="007A7D11"/>
    <w:rsid w:val="007B0C59"/>
    <w:rsid w:val="007B2AC8"/>
    <w:rsid w:val="007B456A"/>
    <w:rsid w:val="007B67A2"/>
    <w:rsid w:val="007B6EAA"/>
    <w:rsid w:val="007B7D80"/>
    <w:rsid w:val="007C0931"/>
    <w:rsid w:val="007C1155"/>
    <w:rsid w:val="007C255C"/>
    <w:rsid w:val="007C3140"/>
    <w:rsid w:val="007C35BD"/>
    <w:rsid w:val="007C5464"/>
    <w:rsid w:val="007C7B42"/>
    <w:rsid w:val="007D00EB"/>
    <w:rsid w:val="007D0F7C"/>
    <w:rsid w:val="007D7C3F"/>
    <w:rsid w:val="007E002F"/>
    <w:rsid w:val="007E036C"/>
    <w:rsid w:val="007E0B84"/>
    <w:rsid w:val="007E172A"/>
    <w:rsid w:val="007E45EA"/>
    <w:rsid w:val="007E5B1C"/>
    <w:rsid w:val="007E5CEC"/>
    <w:rsid w:val="007E6E30"/>
    <w:rsid w:val="007E7B38"/>
    <w:rsid w:val="007F0140"/>
    <w:rsid w:val="007F1CF5"/>
    <w:rsid w:val="007F1E61"/>
    <w:rsid w:val="007F237A"/>
    <w:rsid w:val="007F265F"/>
    <w:rsid w:val="007F35B4"/>
    <w:rsid w:val="007F47D5"/>
    <w:rsid w:val="007F4BEB"/>
    <w:rsid w:val="007F51ED"/>
    <w:rsid w:val="007F5CF6"/>
    <w:rsid w:val="007F66D0"/>
    <w:rsid w:val="007F6B0D"/>
    <w:rsid w:val="00800841"/>
    <w:rsid w:val="00800D47"/>
    <w:rsid w:val="00801866"/>
    <w:rsid w:val="00804013"/>
    <w:rsid w:val="0080492B"/>
    <w:rsid w:val="00804BFF"/>
    <w:rsid w:val="0080680A"/>
    <w:rsid w:val="00806AA9"/>
    <w:rsid w:val="008078E0"/>
    <w:rsid w:val="00807FBE"/>
    <w:rsid w:val="008100F7"/>
    <w:rsid w:val="008106E9"/>
    <w:rsid w:val="00810FA4"/>
    <w:rsid w:val="0081229F"/>
    <w:rsid w:val="00812AD0"/>
    <w:rsid w:val="00813D1F"/>
    <w:rsid w:val="008147F1"/>
    <w:rsid w:val="00815233"/>
    <w:rsid w:val="00816769"/>
    <w:rsid w:val="00817BEA"/>
    <w:rsid w:val="008214A2"/>
    <w:rsid w:val="0082176D"/>
    <w:rsid w:val="00821B3D"/>
    <w:rsid w:val="00821C67"/>
    <w:rsid w:val="00822E6B"/>
    <w:rsid w:val="00823AB2"/>
    <w:rsid w:val="00824083"/>
    <w:rsid w:val="00824140"/>
    <w:rsid w:val="00824E5F"/>
    <w:rsid w:val="0082518F"/>
    <w:rsid w:val="00831EA3"/>
    <w:rsid w:val="008326C8"/>
    <w:rsid w:val="00832D71"/>
    <w:rsid w:val="00833B27"/>
    <w:rsid w:val="00833F65"/>
    <w:rsid w:val="00836BF6"/>
    <w:rsid w:val="00836C42"/>
    <w:rsid w:val="00837188"/>
    <w:rsid w:val="00840167"/>
    <w:rsid w:val="008423FC"/>
    <w:rsid w:val="0084259E"/>
    <w:rsid w:val="00842B34"/>
    <w:rsid w:val="00842D35"/>
    <w:rsid w:val="00842EA0"/>
    <w:rsid w:val="00844A1B"/>
    <w:rsid w:val="00845762"/>
    <w:rsid w:val="00845F5F"/>
    <w:rsid w:val="00846A6E"/>
    <w:rsid w:val="00847959"/>
    <w:rsid w:val="00852A0A"/>
    <w:rsid w:val="00852C0D"/>
    <w:rsid w:val="008530C7"/>
    <w:rsid w:val="0085366C"/>
    <w:rsid w:val="00854090"/>
    <w:rsid w:val="00854371"/>
    <w:rsid w:val="008543BF"/>
    <w:rsid w:val="00854BAD"/>
    <w:rsid w:val="00854E64"/>
    <w:rsid w:val="00855F4D"/>
    <w:rsid w:val="0085618F"/>
    <w:rsid w:val="00856778"/>
    <w:rsid w:val="008578FF"/>
    <w:rsid w:val="008606E6"/>
    <w:rsid w:val="00860917"/>
    <w:rsid w:val="00863226"/>
    <w:rsid w:val="00864008"/>
    <w:rsid w:val="008640FD"/>
    <w:rsid w:val="00864261"/>
    <w:rsid w:val="00864ED9"/>
    <w:rsid w:val="008667B0"/>
    <w:rsid w:val="00866D2A"/>
    <w:rsid w:val="008678C2"/>
    <w:rsid w:val="008723F0"/>
    <w:rsid w:val="008727EF"/>
    <w:rsid w:val="00875064"/>
    <w:rsid w:val="00876B09"/>
    <w:rsid w:val="0087716F"/>
    <w:rsid w:val="0088035D"/>
    <w:rsid w:val="008810B4"/>
    <w:rsid w:val="00882D16"/>
    <w:rsid w:val="00884874"/>
    <w:rsid w:val="00884E4F"/>
    <w:rsid w:val="00885B7D"/>
    <w:rsid w:val="0088600A"/>
    <w:rsid w:val="008870D6"/>
    <w:rsid w:val="00890319"/>
    <w:rsid w:val="00893856"/>
    <w:rsid w:val="00893CB1"/>
    <w:rsid w:val="00893FA6"/>
    <w:rsid w:val="00894E8E"/>
    <w:rsid w:val="00894F16"/>
    <w:rsid w:val="00895279"/>
    <w:rsid w:val="008958E7"/>
    <w:rsid w:val="008972CA"/>
    <w:rsid w:val="008A01ED"/>
    <w:rsid w:val="008A0E71"/>
    <w:rsid w:val="008A3268"/>
    <w:rsid w:val="008A386D"/>
    <w:rsid w:val="008A48D1"/>
    <w:rsid w:val="008A622F"/>
    <w:rsid w:val="008A6B07"/>
    <w:rsid w:val="008A6C35"/>
    <w:rsid w:val="008B01B4"/>
    <w:rsid w:val="008B2DEB"/>
    <w:rsid w:val="008B39B6"/>
    <w:rsid w:val="008B3C27"/>
    <w:rsid w:val="008B3C2A"/>
    <w:rsid w:val="008B450E"/>
    <w:rsid w:val="008B4C51"/>
    <w:rsid w:val="008B6A26"/>
    <w:rsid w:val="008B6B2A"/>
    <w:rsid w:val="008C1CCF"/>
    <w:rsid w:val="008C2FC1"/>
    <w:rsid w:val="008C4B5C"/>
    <w:rsid w:val="008C51F0"/>
    <w:rsid w:val="008C53E8"/>
    <w:rsid w:val="008C6060"/>
    <w:rsid w:val="008D22DC"/>
    <w:rsid w:val="008D36B8"/>
    <w:rsid w:val="008D4681"/>
    <w:rsid w:val="008D532F"/>
    <w:rsid w:val="008E07AF"/>
    <w:rsid w:val="008E2F50"/>
    <w:rsid w:val="008E300B"/>
    <w:rsid w:val="008E405B"/>
    <w:rsid w:val="008E49BD"/>
    <w:rsid w:val="008E51FD"/>
    <w:rsid w:val="008E64B5"/>
    <w:rsid w:val="008E774A"/>
    <w:rsid w:val="008E7D10"/>
    <w:rsid w:val="008E7E29"/>
    <w:rsid w:val="008F0482"/>
    <w:rsid w:val="008F0679"/>
    <w:rsid w:val="008F0FC1"/>
    <w:rsid w:val="008F318F"/>
    <w:rsid w:val="008F3F16"/>
    <w:rsid w:val="008F5FE1"/>
    <w:rsid w:val="009000C4"/>
    <w:rsid w:val="00901043"/>
    <w:rsid w:val="009012BA"/>
    <w:rsid w:val="0090150F"/>
    <w:rsid w:val="009034E6"/>
    <w:rsid w:val="0090537E"/>
    <w:rsid w:val="0090605E"/>
    <w:rsid w:val="009061F9"/>
    <w:rsid w:val="00906442"/>
    <w:rsid w:val="00906D98"/>
    <w:rsid w:val="00911ABA"/>
    <w:rsid w:val="00912184"/>
    <w:rsid w:val="0091279D"/>
    <w:rsid w:val="00912C6D"/>
    <w:rsid w:val="009133DA"/>
    <w:rsid w:val="00916A7E"/>
    <w:rsid w:val="00917251"/>
    <w:rsid w:val="009206A8"/>
    <w:rsid w:val="009207B7"/>
    <w:rsid w:val="00920E19"/>
    <w:rsid w:val="00923663"/>
    <w:rsid w:val="00923894"/>
    <w:rsid w:val="00923AB8"/>
    <w:rsid w:val="00927309"/>
    <w:rsid w:val="00930132"/>
    <w:rsid w:val="00930134"/>
    <w:rsid w:val="00930A17"/>
    <w:rsid w:val="00931527"/>
    <w:rsid w:val="00933C4D"/>
    <w:rsid w:val="009341A6"/>
    <w:rsid w:val="00934AE3"/>
    <w:rsid w:val="00937A48"/>
    <w:rsid w:val="00937BE2"/>
    <w:rsid w:val="00940195"/>
    <w:rsid w:val="0094169A"/>
    <w:rsid w:val="009422BD"/>
    <w:rsid w:val="009422FF"/>
    <w:rsid w:val="00942B78"/>
    <w:rsid w:val="009437E3"/>
    <w:rsid w:val="009438D6"/>
    <w:rsid w:val="0094430F"/>
    <w:rsid w:val="00945BBC"/>
    <w:rsid w:val="00950A84"/>
    <w:rsid w:val="00950DE2"/>
    <w:rsid w:val="009511A9"/>
    <w:rsid w:val="00951A79"/>
    <w:rsid w:val="00952086"/>
    <w:rsid w:val="00953AED"/>
    <w:rsid w:val="00955B3A"/>
    <w:rsid w:val="00955B6F"/>
    <w:rsid w:val="009572DB"/>
    <w:rsid w:val="00957776"/>
    <w:rsid w:val="00957CD7"/>
    <w:rsid w:val="00957EEA"/>
    <w:rsid w:val="0096000D"/>
    <w:rsid w:val="00961188"/>
    <w:rsid w:val="00962B3E"/>
    <w:rsid w:val="00965E00"/>
    <w:rsid w:val="0096676D"/>
    <w:rsid w:val="00966EF4"/>
    <w:rsid w:val="00967731"/>
    <w:rsid w:val="00967B38"/>
    <w:rsid w:val="00967DEC"/>
    <w:rsid w:val="0097164F"/>
    <w:rsid w:val="0097420C"/>
    <w:rsid w:val="009752B5"/>
    <w:rsid w:val="0097579E"/>
    <w:rsid w:val="0097633D"/>
    <w:rsid w:val="0097650F"/>
    <w:rsid w:val="0098040A"/>
    <w:rsid w:val="009804FF"/>
    <w:rsid w:val="00980AF7"/>
    <w:rsid w:val="00980F4B"/>
    <w:rsid w:val="00981B4D"/>
    <w:rsid w:val="00982A94"/>
    <w:rsid w:val="0098511D"/>
    <w:rsid w:val="009853F2"/>
    <w:rsid w:val="0098642D"/>
    <w:rsid w:val="00987AE0"/>
    <w:rsid w:val="00991B89"/>
    <w:rsid w:val="00991D90"/>
    <w:rsid w:val="009942F1"/>
    <w:rsid w:val="00994370"/>
    <w:rsid w:val="00994CCE"/>
    <w:rsid w:val="009954FF"/>
    <w:rsid w:val="00995961"/>
    <w:rsid w:val="009969AC"/>
    <w:rsid w:val="009972C9"/>
    <w:rsid w:val="009976CA"/>
    <w:rsid w:val="009A041F"/>
    <w:rsid w:val="009A0985"/>
    <w:rsid w:val="009A10E5"/>
    <w:rsid w:val="009A16BE"/>
    <w:rsid w:val="009A1B52"/>
    <w:rsid w:val="009A2B8C"/>
    <w:rsid w:val="009A2CD8"/>
    <w:rsid w:val="009A34BE"/>
    <w:rsid w:val="009A4D1A"/>
    <w:rsid w:val="009A50B7"/>
    <w:rsid w:val="009A52CF"/>
    <w:rsid w:val="009A64CE"/>
    <w:rsid w:val="009A7836"/>
    <w:rsid w:val="009B068D"/>
    <w:rsid w:val="009B111C"/>
    <w:rsid w:val="009B24CD"/>
    <w:rsid w:val="009B52E1"/>
    <w:rsid w:val="009B53D4"/>
    <w:rsid w:val="009B5408"/>
    <w:rsid w:val="009B6417"/>
    <w:rsid w:val="009B7394"/>
    <w:rsid w:val="009B7D9E"/>
    <w:rsid w:val="009C0D4A"/>
    <w:rsid w:val="009C2967"/>
    <w:rsid w:val="009C2D6B"/>
    <w:rsid w:val="009C39E9"/>
    <w:rsid w:val="009C4586"/>
    <w:rsid w:val="009C4773"/>
    <w:rsid w:val="009C4AB3"/>
    <w:rsid w:val="009C4AE8"/>
    <w:rsid w:val="009C5A1C"/>
    <w:rsid w:val="009C7C3B"/>
    <w:rsid w:val="009D2091"/>
    <w:rsid w:val="009D2400"/>
    <w:rsid w:val="009D2655"/>
    <w:rsid w:val="009D2D0D"/>
    <w:rsid w:val="009D2F6F"/>
    <w:rsid w:val="009D343F"/>
    <w:rsid w:val="009D3824"/>
    <w:rsid w:val="009D693D"/>
    <w:rsid w:val="009D6EAD"/>
    <w:rsid w:val="009E0304"/>
    <w:rsid w:val="009E0AE6"/>
    <w:rsid w:val="009E134F"/>
    <w:rsid w:val="009E1697"/>
    <w:rsid w:val="009E1F80"/>
    <w:rsid w:val="009E290D"/>
    <w:rsid w:val="009E2911"/>
    <w:rsid w:val="009E4A3B"/>
    <w:rsid w:val="009E53AF"/>
    <w:rsid w:val="009E75DA"/>
    <w:rsid w:val="009E775D"/>
    <w:rsid w:val="009E7C33"/>
    <w:rsid w:val="009F1159"/>
    <w:rsid w:val="009F1269"/>
    <w:rsid w:val="009F21AA"/>
    <w:rsid w:val="009F26FA"/>
    <w:rsid w:val="009F396B"/>
    <w:rsid w:val="009F520D"/>
    <w:rsid w:val="009F537E"/>
    <w:rsid w:val="009F6B06"/>
    <w:rsid w:val="009F6FB9"/>
    <w:rsid w:val="009F74E8"/>
    <w:rsid w:val="00A00C86"/>
    <w:rsid w:val="00A0116B"/>
    <w:rsid w:val="00A011AD"/>
    <w:rsid w:val="00A0156D"/>
    <w:rsid w:val="00A04802"/>
    <w:rsid w:val="00A05649"/>
    <w:rsid w:val="00A065A3"/>
    <w:rsid w:val="00A06A83"/>
    <w:rsid w:val="00A10983"/>
    <w:rsid w:val="00A10C28"/>
    <w:rsid w:val="00A135BB"/>
    <w:rsid w:val="00A13BBB"/>
    <w:rsid w:val="00A14782"/>
    <w:rsid w:val="00A149CC"/>
    <w:rsid w:val="00A14EF9"/>
    <w:rsid w:val="00A15408"/>
    <w:rsid w:val="00A15E3B"/>
    <w:rsid w:val="00A1651D"/>
    <w:rsid w:val="00A17EE9"/>
    <w:rsid w:val="00A2130F"/>
    <w:rsid w:val="00A215C8"/>
    <w:rsid w:val="00A21CC5"/>
    <w:rsid w:val="00A2264B"/>
    <w:rsid w:val="00A226B5"/>
    <w:rsid w:val="00A22B17"/>
    <w:rsid w:val="00A24A56"/>
    <w:rsid w:val="00A24C08"/>
    <w:rsid w:val="00A25303"/>
    <w:rsid w:val="00A2582C"/>
    <w:rsid w:val="00A25C06"/>
    <w:rsid w:val="00A31AA7"/>
    <w:rsid w:val="00A32CC9"/>
    <w:rsid w:val="00A3310C"/>
    <w:rsid w:val="00A341D1"/>
    <w:rsid w:val="00A354C0"/>
    <w:rsid w:val="00A3726E"/>
    <w:rsid w:val="00A37CD4"/>
    <w:rsid w:val="00A37D21"/>
    <w:rsid w:val="00A40198"/>
    <w:rsid w:val="00A40EB6"/>
    <w:rsid w:val="00A415FA"/>
    <w:rsid w:val="00A4218E"/>
    <w:rsid w:val="00A43B44"/>
    <w:rsid w:val="00A448AC"/>
    <w:rsid w:val="00A46DB5"/>
    <w:rsid w:val="00A50973"/>
    <w:rsid w:val="00A54769"/>
    <w:rsid w:val="00A55E75"/>
    <w:rsid w:val="00A60397"/>
    <w:rsid w:val="00A60694"/>
    <w:rsid w:val="00A607E8"/>
    <w:rsid w:val="00A6301B"/>
    <w:rsid w:val="00A63774"/>
    <w:rsid w:val="00A645E1"/>
    <w:rsid w:val="00A6521D"/>
    <w:rsid w:val="00A6598A"/>
    <w:rsid w:val="00A65FC0"/>
    <w:rsid w:val="00A66033"/>
    <w:rsid w:val="00A66EC3"/>
    <w:rsid w:val="00A67E5A"/>
    <w:rsid w:val="00A67EDC"/>
    <w:rsid w:val="00A706AA"/>
    <w:rsid w:val="00A73529"/>
    <w:rsid w:val="00A738D8"/>
    <w:rsid w:val="00A73CD6"/>
    <w:rsid w:val="00A747FA"/>
    <w:rsid w:val="00A75D0F"/>
    <w:rsid w:val="00A77453"/>
    <w:rsid w:val="00A77C49"/>
    <w:rsid w:val="00A80EE8"/>
    <w:rsid w:val="00A81491"/>
    <w:rsid w:val="00A8185E"/>
    <w:rsid w:val="00A81AEB"/>
    <w:rsid w:val="00A83B39"/>
    <w:rsid w:val="00A8430B"/>
    <w:rsid w:val="00A84A69"/>
    <w:rsid w:val="00A910C3"/>
    <w:rsid w:val="00A9331A"/>
    <w:rsid w:val="00A94A91"/>
    <w:rsid w:val="00A94C42"/>
    <w:rsid w:val="00A94DC9"/>
    <w:rsid w:val="00A94E14"/>
    <w:rsid w:val="00A95B00"/>
    <w:rsid w:val="00A962B8"/>
    <w:rsid w:val="00AA140D"/>
    <w:rsid w:val="00AA19CC"/>
    <w:rsid w:val="00AA2F40"/>
    <w:rsid w:val="00AA3C0E"/>
    <w:rsid w:val="00AA47D3"/>
    <w:rsid w:val="00AA59AB"/>
    <w:rsid w:val="00AA5AA5"/>
    <w:rsid w:val="00AA7D54"/>
    <w:rsid w:val="00AB1E6F"/>
    <w:rsid w:val="00AB23BA"/>
    <w:rsid w:val="00AB45D0"/>
    <w:rsid w:val="00AB4722"/>
    <w:rsid w:val="00AB4C07"/>
    <w:rsid w:val="00AB6B9B"/>
    <w:rsid w:val="00AC1531"/>
    <w:rsid w:val="00AC1EF1"/>
    <w:rsid w:val="00AC27C4"/>
    <w:rsid w:val="00AC3F8F"/>
    <w:rsid w:val="00AC5C46"/>
    <w:rsid w:val="00AC5E41"/>
    <w:rsid w:val="00AC6764"/>
    <w:rsid w:val="00AC6A9E"/>
    <w:rsid w:val="00AD1E1C"/>
    <w:rsid w:val="00AD1F09"/>
    <w:rsid w:val="00AD2101"/>
    <w:rsid w:val="00AD46B0"/>
    <w:rsid w:val="00AD4C88"/>
    <w:rsid w:val="00AD4EBE"/>
    <w:rsid w:val="00AD634A"/>
    <w:rsid w:val="00AD6C21"/>
    <w:rsid w:val="00AD7226"/>
    <w:rsid w:val="00AD73AF"/>
    <w:rsid w:val="00AE0348"/>
    <w:rsid w:val="00AE05D2"/>
    <w:rsid w:val="00AE11CA"/>
    <w:rsid w:val="00AE1394"/>
    <w:rsid w:val="00AE1A21"/>
    <w:rsid w:val="00AE1A89"/>
    <w:rsid w:val="00AE21CB"/>
    <w:rsid w:val="00AE27F2"/>
    <w:rsid w:val="00AE2828"/>
    <w:rsid w:val="00AE4198"/>
    <w:rsid w:val="00AE5E8A"/>
    <w:rsid w:val="00AE7E83"/>
    <w:rsid w:val="00AF1912"/>
    <w:rsid w:val="00AF2254"/>
    <w:rsid w:val="00AF2B59"/>
    <w:rsid w:val="00AF301B"/>
    <w:rsid w:val="00B03E6F"/>
    <w:rsid w:val="00B04148"/>
    <w:rsid w:val="00B048BA"/>
    <w:rsid w:val="00B05084"/>
    <w:rsid w:val="00B05770"/>
    <w:rsid w:val="00B05BA5"/>
    <w:rsid w:val="00B06101"/>
    <w:rsid w:val="00B0660B"/>
    <w:rsid w:val="00B06AA5"/>
    <w:rsid w:val="00B07989"/>
    <w:rsid w:val="00B07FC8"/>
    <w:rsid w:val="00B1172D"/>
    <w:rsid w:val="00B12A16"/>
    <w:rsid w:val="00B12BB1"/>
    <w:rsid w:val="00B138F1"/>
    <w:rsid w:val="00B15D4E"/>
    <w:rsid w:val="00B1720A"/>
    <w:rsid w:val="00B23080"/>
    <w:rsid w:val="00B234C7"/>
    <w:rsid w:val="00B234C9"/>
    <w:rsid w:val="00B23BC4"/>
    <w:rsid w:val="00B255D0"/>
    <w:rsid w:val="00B26762"/>
    <w:rsid w:val="00B30334"/>
    <w:rsid w:val="00B30542"/>
    <w:rsid w:val="00B31904"/>
    <w:rsid w:val="00B31A99"/>
    <w:rsid w:val="00B32A54"/>
    <w:rsid w:val="00B32AA1"/>
    <w:rsid w:val="00B401FF"/>
    <w:rsid w:val="00B407A2"/>
    <w:rsid w:val="00B40897"/>
    <w:rsid w:val="00B40FE0"/>
    <w:rsid w:val="00B41491"/>
    <w:rsid w:val="00B42EE7"/>
    <w:rsid w:val="00B43A49"/>
    <w:rsid w:val="00B4467D"/>
    <w:rsid w:val="00B4571D"/>
    <w:rsid w:val="00B50007"/>
    <w:rsid w:val="00B5035F"/>
    <w:rsid w:val="00B50AB5"/>
    <w:rsid w:val="00B51993"/>
    <w:rsid w:val="00B51A98"/>
    <w:rsid w:val="00B521C3"/>
    <w:rsid w:val="00B5247B"/>
    <w:rsid w:val="00B52FBE"/>
    <w:rsid w:val="00B5588F"/>
    <w:rsid w:val="00B56C98"/>
    <w:rsid w:val="00B56FA2"/>
    <w:rsid w:val="00B573B6"/>
    <w:rsid w:val="00B57A53"/>
    <w:rsid w:val="00B60094"/>
    <w:rsid w:val="00B60429"/>
    <w:rsid w:val="00B624B9"/>
    <w:rsid w:val="00B645A1"/>
    <w:rsid w:val="00B650EF"/>
    <w:rsid w:val="00B65636"/>
    <w:rsid w:val="00B6583F"/>
    <w:rsid w:val="00B66A08"/>
    <w:rsid w:val="00B673E8"/>
    <w:rsid w:val="00B72208"/>
    <w:rsid w:val="00B73543"/>
    <w:rsid w:val="00B737BA"/>
    <w:rsid w:val="00B738FE"/>
    <w:rsid w:val="00B74A5A"/>
    <w:rsid w:val="00B7557A"/>
    <w:rsid w:val="00B80209"/>
    <w:rsid w:val="00B81A8F"/>
    <w:rsid w:val="00B81C0F"/>
    <w:rsid w:val="00B820A8"/>
    <w:rsid w:val="00B8388F"/>
    <w:rsid w:val="00B842AD"/>
    <w:rsid w:val="00B85134"/>
    <w:rsid w:val="00B85598"/>
    <w:rsid w:val="00B86A23"/>
    <w:rsid w:val="00B87740"/>
    <w:rsid w:val="00B90EC5"/>
    <w:rsid w:val="00B94E00"/>
    <w:rsid w:val="00B952E7"/>
    <w:rsid w:val="00B971FF"/>
    <w:rsid w:val="00B9741B"/>
    <w:rsid w:val="00BA05E4"/>
    <w:rsid w:val="00BA0B06"/>
    <w:rsid w:val="00BA14AE"/>
    <w:rsid w:val="00BA209B"/>
    <w:rsid w:val="00BA6073"/>
    <w:rsid w:val="00BA7BF9"/>
    <w:rsid w:val="00BB1313"/>
    <w:rsid w:val="00BB1C68"/>
    <w:rsid w:val="00BB22C6"/>
    <w:rsid w:val="00BB28D3"/>
    <w:rsid w:val="00BB2E2E"/>
    <w:rsid w:val="00BB3247"/>
    <w:rsid w:val="00BB44E2"/>
    <w:rsid w:val="00BB51D3"/>
    <w:rsid w:val="00BB642B"/>
    <w:rsid w:val="00BB6ED6"/>
    <w:rsid w:val="00BB7BD0"/>
    <w:rsid w:val="00BC0ACF"/>
    <w:rsid w:val="00BC13F5"/>
    <w:rsid w:val="00BC3D1F"/>
    <w:rsid w:val="00BC48A5"/>
    <w:rsid w:val="00BC48BB"/>
    <w:rsid w:val="00BC5A89"/>
    <w:rsid w:val="00BC5E18"/>
    <w:rsid w:val="00BC6A87"/>
    <w:rsid w:val="00BD076B"/>
    <w:rsid w:val="00BD0EBF"/>
    <w:rsid w:val="00BD1400"/>
    <w:rsid w:val="00BD2BAE"/>
    <w:rsid w:val="00BD2EB2"/>
    <w:rsid w:val="00BD38D3"/>
    <w:rsid w:val="00BD66DC"/>
    <w:rsid w:val="00BD7002"/>
    <w:rsid w:val="00BD7B13"/>
    <w:rsid w:val="00BE0D6D"/>
    <w:rsid w:val="00BE2E0F"/>
    <w:rsid w:val="00BE39B3"/>
    <w:rsid w:val="00BE3C54"/>
    <w:rsid w:val="00BE4DCD"/>
    <w:rsid w:val="00BE54B3"/>
    <w:rsid w:val="00BE6027"/>
    <w:rsid w:val="00BE6098"/>
    <w:rsid w:val="00BE62ED"/>
    <w:rsid w:val="00BE6747"/>
    <w:rsid w:val="00BE7410"/>
    <w:rsid w:val="00BE7466"/>
    <w:rsid w:val="00BE7EE9"/>
    <w:rsid w:val="00BF0E90"/>
    <w:rsid w:val="00BF200E"/>
    <w:rsid w:val="00BF2089"/>
    <w:rsid w:val="00BF467A"/>
    <w:rsid w:val="00BF46B9"/>
    <w:rsid w:val="00BF4ABA"/>
    <w:rsid w:val="00BF501B"/>
    <w:rsid w:val="00BF720E"/>
    <w:rsid w:val="00C00184"/>
    <w:rsid w:val="00C00AAD"/>
    <w:rsid w:val="00C022CA"/>
    <w:rsid w:val="00C0271B"/>
    <w:rsid w:val="00C032E2"/>
    <w:rsid w:val="00C03842"/>
    <w:rsid w:val="00C04D76"/>
    <w:rsid w:val="00C04D7B"/>
    <w:rsid w:val="00C05F67"/>
    <w:rsid w:val="00C06CD2"/>
    <w:rsid w:val="00C07B32"/>
    <w:rsid w:val="00C10307"/>
    <w:rsid w:val="00C12FD2"/>
    <w:rsid w:val="00C1325C"/>
    <w:rsid w:val="00C1536D"/>
    <w:rsid w:val="00C15F97"/>
    <w:rsid w:val="00C176C7"/>
    <w:rsid w:val="00C17CAA"/>
    <w:rsid w:val="00C207D8"/>
    <w:rsid w:val="00C21E5E"/>
    <w:rsid w:val="00C21F92"/>
    <w:rsid w:val="00C229A6"/>
    <w:rsid w:val="00C22BDF"/>
    <w:rsid w:val="00C2416A"/>
    <w:rsid w:val="00C245B7"/>
    <w:rsid w:val="00C24929"/>
    <w:rsid w:val="00C2694C"/>
    <w:rsid w:val="00C3590C"/>
    <w:rsid w:val="00C3629A"/>
    <w:rsid w:val="00C36EC0"/>
    <w:rsid w:val="00C37814"/>
    <w:rsid w:val="00C40C70"/>
    <w:rsid w:val="00C41FBD"/>
    <w:rsid w:val="00C42306"/>
    <w:rsid w:val="00C42BF5"/>
    <w:rsid w:val="00C432C3"/>
    <w:rsid w:val="00C43AD2"/>
    <w:rsid w:val="00C44AD7"/>
    <w:rsid w:val="00C45346"/>
    <w:rsid w:val="00C456FC"/>
    <w:rsid w:val="00C468CB"/>
    <w:rsid w:val="00C46D0B"/>
    <w:rsid w:val="00C50175"/>
    <w:rsid w:val="00C50A58"/>
    <w:rsid w:val="00C50DAF"/>
    <w:rsid w:val="00C53815"/>
    <w:rsid w:val="00C55345"/>
    <w:rsid w:val="00C56208"/>
    <w:rsid w:val="00C57751"/>
    <w:rsid w:val="00C60855"/>
    <w:rsid w:val="00C60B30"/>
    <w:rsid w:val="00C60F74"/>
    <w:rsid w:val="00C6233C"/>
    <w:rsid w:val="00C6259E"/>
    <w:rsid w:val="00C630FF"/>
    <w:rsid w:val="00C64648"/>
    <w:rsid w:val="00C648C4"/>
    <w:rsid w:val="00C64FE0"/>
    <w:rsid w:val="00C6585C"/>
    <w:rsid w:val="00C67660"/>
    <w:rsid w:val="00C70277"/>
    <w:rsid w:val="00C7098A"/>
    <w:rsid w:val="00C7171B"/>
    <w:rsid w:val="00C7390C"/>
    <w:rsid w:val="00C73945"/>
    <w:rsid w:val="00C74022"/>
    <w:rsid w:val="00C74103"/>
    <w:rsid w:val="00C7496F"/>
    <w:rsid w:val="00C75D69"/>
    <w:rsid w:val="00C77543"/>
    <w:rsid w:val="00C775CE"/>
    <w:rsid w:val="00C77672"/>
    <w:rsid w:val="00C77A7F"/>
    <w:rsid w:val="00C80515"/>
    <w:rsid w:val="00C81722"/>
    <w:rsid w:val="00C822CF"/>
    <w:rsid w:val="00C844A5"/>
    <w:rsid w:val="00C84A01"/>
    <w:rsid w:val="00C85BA9"/>
    <w:rsid w:val="00C8772A"/>
    <w:rsid w:val="00C87BB0"/>
    <w:rsid w:val="00C87BF7"/>
    <w:rsid w:val="00C90FB0"/>
    <w:rsid w:val="00C91C1E"/>
    <w:rsid w:val="00C920EB"/>
    <w:rsid w:val="00C922A1"/>
    <w:rsid w:val="00C92925"/>
    <w:rsid w:val="00C93AB5"/>
    <w:rsid w:val="00C93B10"/>
    <w:rsid w:val="00C95F6A"/>
    <w:rsid w:val="00C963D6"/>
    <w:rsid w:val="00C96CC4"/>
    <w:rsid w:val="00C972CF"/>
    <w:rsid w:val="00CA0ABF"/>
    <w:rsid w:val="00CA13A7"/>
    <w:rsid w:val="00CA2211"/>
    <w:rsid w:val="00CA25C6"/>
    <w:rsid w:val="00CA28E1"/>
    <w:rsid w:val="00CA301F"/>
    <w:rsid w:val="00CA390D"/>
    <w:rsid w:val="00CA6C2F"/>
    <w:rsid w:val="00CB2DCF"/>
    <w:rsid w:val="00CB4474"/>
    <w:rsid w:val="00CB455F"/>
    <w:rsid w:val="00CB5EE9"/>
    <w:rsid w:val="00CB5FB4"/>
    <w:rsid w:val="00CB7DB7"/>
    <w:rsid w:val="00CC012D"/>
    <w:rsid w:val="00CC02AF"/>
    <w:rsid w:val="00CC1087"/>
    <w:rsid w:val="00CC238E"/>
    <w:rsid w:val="00CC293F"/>
    <w:rsid w:val="00CC30AE"/>
    <w:rsid w:val="00CC3CAD"/>
    <w:rsid w:val="00CC499F"/>
    <w:rsid w:val="00CC4E76"/>
    <w:rsid w:val="00CC5CBF"/>
    <w:rsid w:val="00CC60A2"/>
    <w:rsid w:val="00CC6455"/>
    <w:rsid w:val="00CC6513"/>
    <w:rsid w:val="00CC6B52"/>
    <w:rsid w:val="00CD054B"/>
    <w:rsid w:val="00CD4C61"/>
    <w:rsid w:val="00CD5C7D"/>
    <w:rsid w:val="00CD5C8C"/>
    <w:rsid w:val="00CD6634"/>
    <w:rsid w:val="00CD723F"/>
    <w:rsid w:val="00CE046B"/>
    <w:rsid w:val="00CE25BD"/>
    <w:rsid w:val="00CE5169"/>
    <w:rsid w:val="00CE6479"/>
    <w:rsid w:val="00CE684E"/>
    <w:rsid w:val="00CF20DB"/>
    <w:rsid w:val="00CF3B19"/>
    <w:rsid w:val="00CF3E99"/>
    <w:rsid w:val="00CF50B4"/>
    <w:rsid w:val="00CF5CA1"/>
    <w:rsid w:val="00CF72A2"/>
    <w:rsid w:val="00D00D7D"/>
    <w:rsid w:val="00D01ED8"/>
    <w:rsid w:val="00D02F0B"/>
    <w:rsid w:val="00D03FFC"/>
    <w:rsid w:val="00D04041"/>
    <w:rsid w:val="00D04139"/>
    <w:rsid w:val="00D0520B"/>
    <w:rsid w:val="00D06F43"/>
    <w:rsid w:val="00D07B84"/>
    <w:rsid w:val="00D10741"/>
    <w:rsid w:val="00D11BA4"/>
    <w:rsid w:val="00D120B5"/>
    <w:rsid w:val="00D120DB"/>
    <w:rsid w:val="00D13179"/>
    <w:rsid w:val="00D15370"/>
    <w:rsid w:val="00D1611E"/>
    <w:rsid w:val="00D16ECF"/>
    <w:rsid w:val="00D16FBC"/>
    <w:rsid w:val="00D2148B"/>
    <w:rsid w:val="00D222A5"/>
    <w:rsid w:val="00D25C4E"/>
    <w:rsid w:val="00D26331"/>
    <w:rsid w:val="00D2689A"/>
    <w:rsid w:val="00D27539"/>
    <w:rsid w:val="00D27815"/>
    <w:rsid w:val="00D314A2"/>
    <w:rsid w:val="00D34D03"/>
    <w:rsid w:val="00D35311"/>
    <w:rsid w:val="00D35ECD"/>
    <w:rsid w:val="00D37473"/>
    <w:rsid w:val="00D4008B"/>
    <w:rsid w:val="00D4016B"/>
    <w:rsid w:val="00D40880"/>
    <w:rsid w:val="00D40894"/>
    <w:rsid w:val="00D40DC1"/>
    <w:rsid w:val="00D41E4B"/>
    <w:rsid w:val="00D420E0"/>
    <w:rsid w:val="00D43A33"/>
    <w:rsid w:val="00D4606F"/>
    <w:rsid w:val="00D46B1F"/>
    <w:rsid w:val="00D46DC6"/>
    <w:rsid w:val="00D4753F"/>
    <w:rsid w:val="00D47931"/>
    <w:rsid w:val="00D50A2F"/>
    <w:rsid w:val="00D50FCD"/>
    <w:rsid w:val="00D51EBD"/>
    <w:rsid w:val="00D51F26"/>
    <w:rsid w:val="00D523E5"/>
    <w:rsid w:val="00D52E34"/>
    <w:rsid w:val="00D537CE"/>
    <w:rsid w:val="00D54697"/>
    <w:rsid w:val="00D57D47"/>
    <w:rsid w:val="00D612A4"/>
    <w:rsid w:val="00D61609"/>
    <w:rsid w:val="00D6198D"/>
    <w:rsid w:val="00D6332B"/>
    <w:rsid w:val="00D63F5D"/>
    <w:rsid w:val="00D64817"/>
    <w:rsid w:val="00D6542C"/>
    <w:rsid w:val="00D701B6"/>
    <w:rsid w:val="00D712D8"/>
    <w:rsid w:val="00D73180"/>
    <w:rsid w:val="00D745F5"/>
    <w:rsid w:val="00D76599"/>
    <w:rsid w:val="00D824E1"/>
    <w:rsid w:val="00D825BE"/>
    <w:rsid w:val="00D82CC2"/>
    <w:rsid w:val="00D83769"/>
    <w:rsid w:val="00D83772"/>
    <w:rsid w:val="00D841A5"/>
    <w:rsid w:val="00D8501D"/>
    <w:rsid w:val="00D85CF7"/>
    <w:rsid w:val="00D86849"/>
    <w:rsid w:val="00D86EFA"/>
    <w:rsid w:val="00D91010"/>
    <w:rsid w:val="00D91757"/>
    <w:rsid w:val="00D93484"/>
    <w:rsid w:val="00D94B44"/>
    <w:rsid w:val="00D9688C"/>
    <w:rsid w:val="00DA00E5"/>
    <w:rsid w:val="00DA06F8"/>
    <w:rsid w:val="00DA2207"/>
    <w:rsid w:val="00DA2AAD"/>
    <w:rsid w:val="00DA3795"/>
    <w:rsid w:val="00DA4A62"/>
    <w:rsid w:val="00DA610C"/>
    <w:rsid w:val="00DA670D"/>
    <w:rsid w:val="00DB0D6F"/>
    <w:rsid w:val="00DB0F1B"/>
    <w:rsid w:val="00DB12E1"/>
    <w:rsid w:val="00DB345B"/>
    <w:rsid w:val="00DB3C77"/>
    <w:rsid w:val="00DB4753"/>
    <w:rsid w:val="00DB4A57"/>
    <w:rsid w:val="00DB4D97"/>
    <w:rsid w:val="00DB4DE4"/>
    <w:rsid w:val="00DB5A7C"/>
    <w:rsid w:val="00DB6D42"/>
    <w:rsid w:val="00DC15FD"/>
    <w:rsid w:val="00DC2F92"/>
    <w:rsid w:val="00DC4A74"/>
    <w:rsid w:val="00DC525E"/>
    <w:rsid w:val="00DC653E"/>
    <w:rsid w:val="00DC6EAA"/>
    <w:rsid w:val="00DC6F45"/>
    <w:rsid w:val="00DC7621"/>
    <w:rsid w:val="00DC7ACD"/>
    <w:rsid w:val="00DD2011"/>
    <w:rsid w:val="00DD2A4B"/>
    <w:rsid w:val="00DD2C4E"/>
    <w:rsid w:val="00DD3838"/>
    <w:rsid w:val="00DD3C1E"/>
    <w:rsid w:val="00DD5A29"/>
    <w:rsid w:val="00DD7937"/>
    <w:rsid w:val="00DE1DF4"/>
    <w:rsid w:val="00DE2836"/>
    <w:rsid w:val="00DE2EDB"/>
    <w:rsid w:val="00DE3B6B"/>
    <w:rsid w:val="00DE41EA"/>
    <w:rsid w:val="00DE628B"/>
    <w:rsid w:val="00DF03EE"/>
    <w:rsid w:val="00DF0722"/>
    <w:rsid w:val="00DF17EF"/>
    <w:rsid w:val="00DF1A0D"/>
    <w:rsid w:val="00DF3D6D"/>
    <w:rsid w:val="00DF438B"/>
    <w:rsid w:val="00DF5A17"/>
    <w:rsid w:val="00DF5BAF"/>
    <w:rsid w:val="00DF5E3A"/>
    <w:rsid w:val="00DF6624"/>
    <w:rsid w:val="00DF79CB"/>
    <w:rsid w:val="00E01D26"/>
    <w:rsid w:val="00E03536"/>
    <w:rsid w:val="00E044CE"/>
    <w:rsid w:val="00E05784"/>
    <w:rsid w:val="00E10D2B"/>
    <w:rsid w:val="00E116F3"/>
    <w:rsid w:val="00E12A7F"/>
    <w:rsid w:val="00E13581"/>
    <w:rsid w:val="00E14F3E"/>
    <w:rsid w:val="00E1526D"/>
    <w:rsid w:val="00E152AC"/>
    <w:rsid w:val="00E166F5"/>
    <w:rsid w:val="00E17697"/>
    <w:rsid w:val="00E17EBE"/>
    <w:rsid w:val="00E204A3"/>
    <w:rsid w:val="00E20D33"/>
    <w:rsid w:val="00E22721"/>
    <w:rsid w:val="00E2673D"/>
    <w:rsid w:val="00E269B7"/>
    <w:rsid w:val="00E277D7"/>
    <w:rsid w:val="00E278C5"/>
    <w:rsid w:val="00E310AB"/>
    <w:rsid w:val="00E31A87"/>
    <w:rsid w:val="00E31F6C"/>
    <w:rsid w:val="00E32AD4"/>
    <w:rsid w:val="00E3314F"/>
    <w:rsid w:val="00E3331C"/>
    <w:rsid w:val="00E34182"/>
    <w:rsid w:val="00E352D3"/>
    <w:rsid w:val="00E357F3"/>
    <w:rsid w:val="00E372DD"/>
    <w:rsid w:val="00E3789C"/>
    <w:rsid w:val="00E37DD4"/>
    <w:rsid w:val="00E40934"/>
    <w:rsid w:val="00E40F14"/>
    <w:rsid w:val="00E42B17"/>
    <w:rsid w:val="00E43148"/>
    <w:rsid w:val="00E43291"/>
    <w:rsid w:val="00E43829"/>
    <w:rsid w:val="00E43EDF"/>
    <w:rsid w:val="00E44AD0"/>
    <w:rsid w:val="00E46E60"/>
    <w:rsid w:val="00E4756F"/>
    <w:rsid w:val="00E507B0"/>
    <w:rsid w:val="00E50A88"/>
    <w:rsid w:val="00E51FC0"/>
    <w:rsid w:val="00E52E7B"/>
    <w:rsid w:val="00E53E37"/>
    <w:rsid w:val="00E53E92"/>
    <w:rsid w:val="00E53FFE"/>
    <w:rsid w:val="00E54E96"/>
    <w:rsid w:val="00E5543A"/>
    <w:rsid w:val="00E560BB"/>
    <w:rsid w:val="00E57237"/>
    <w:rsid w:val="00E5733A"/>
    <w:rsid w:val="00E57F0B"/>
    <w:rsid w:val="00E61A53"/>
    <w:rsid w:val="00E62069"/>
    <w:rsid w:val="00E62121"/>
    <w:rsid w:val="00E622A7"/>
    <w:rsid w:val="00E63410"/>
    <w:rsid w:val="00E64BA4"/>
    <w:rsid w:val="00E64BA7"/>
    <w:rsid w:val="00E65B5E"/>
    <w:rsid w:val="00E6612D"/>
    <w:rsid w:val="00E70A30"/>
    <w:rsid w:val="00E71D3D"/>
    <w:rsid w:val="00E72765"/>
    <w:rsid w:val="00E73F26"/>
    <w:rsid w:val="00E74419"/>
    <w:rsid w:val="00E77F1B"/>
    <w:rsid w:val="00E81804"/>
    <w:rsid w:val="00E8298A"/>
    <w:rsid w:val="00E82D3D"/>
    <w:rsid w:val="00E8383E"/>
    <w:rsid w:val="00E84A0C"/>
    <w:rsid w:val="00E86A51"/>
    <w:rsid w:val="00E86FCA"/>
    <w:rsid w:val="00E87C10"/>
    <w:rsid w:val="00E87DD4"/>
    <w:rsid w:val="00E90189"/>
    <w:rsid w:val="00E90239"/>
    <w:rsid w:val="00E92071"/>
    <w:rsid w:val="00E94CB0"/>
    <w:rsid w:val="00E963F3"/>
    <w:rsid w:val="00E96741"/>
    <w:rsid w:val="00E96AB9"/>
    <w:rsid w:val="00E96B0A"/>
    <w:rsid w:val="00E97964"/>
    <w:rsid w:val="00EA150F"/>
    <w:rsid w:val="00EA19FF"/>
    <w:rsid w:val="00EA32ED"/>
    <w:rsid w:val="00EA344E"/>
    <w:rsid w:val="00EA4008"/>
    <w:rsid w:val="00EA5BD5"/>
    <w:rsid w:val="00EA6511"/>
    <w:rsid w:val="00EA6AC2"/>
    <w:rsid w:val="00EA6C42"/>
    <w:rsid w:val="00EA6EEE"/>
    <w:rsid w:val="00EB1CD9"/>
    <w:rsid w:val="00EB1F03"/>
    <w:rsid w:val="00EB3281"/>
    <w:rsid w:val="00EB38E4"/>
    <w:rsid w:val="00EB409C"/>
    <w:rsid w:val="00EB40AB"/>
    <w:rsid w:val="00EB4D56"/>
    <w:rsid w:val="00EB5293"/>
    <w:rsid w:val="00EB5335"/>
    <w:rsid w:val="00EB54D6"/>
    <w:rsid w:val="00EB5A62"/>
    <w:rsid w:val="00EB7144"/>
    <w:rsid w:val="00EB73F6"/>
    <w:rsid w:val="00EC098E"/>
    <w:rsid w:val="00EC118E"/>
    <w:rsid w:val="00EC1859"/>
    <w:rsid w:val="00EC2300"/>
    <w:rsid w:val="00EC35EA"/>
    <w:rsid w:val="00EC4E72"/>
    <w:rsid w:val="00EC4F83"/>
    <w:rsid w:val="00EC570E"/>
    <w:rsid w:val="00EC718F"/>
    <w:rsid w:val="00ED0831"/>
    <w:rsid w:val="00ED0E9B"/>
    <w:rsid w:val="00ED1C6E"/>
    <w:rsid w:val="00ED1D21"/>
    <w:rsid w:val="00ED28A5"/>
    <w:rsid w:val="00ED335E"/>
    <w:rsid w:val="00ED661A"/>
    <w:rsid w:val="00ED6BA0"/>
    <w:rsid w:val="00ED722C"/>
    <w:rsid w:val="00EE19CD"/>
    <w:rsid w:val="00EE1B94"/>
    <w:rsid w:val="00EE31E2"/>
    <w:rsid w:val="00EE35AC"/>
    <w:rsid w:val="00EE52F2"/>
    <w:rsid w:val="00EE53F1"/>
    <w:rsid w:val="00EE5653"/>
    <w:rsid w:val="00EE7460"/>
    <w:rsid w:val="00EE7822"/>
    <w:rsid w:val="00EE7C64"/>
    <w:rsid w:val="00EF0BFE"/>
    <w:rsid w:val="00EF34DE"/>
    <w:rsid w:val="00EF3D61"/>
    <w:rsid w:val="00EF47A4"/>
    <w:rsid w:val="00EF6C37"/>
    <w:rsid w:val="00EF749B"/>
    <w:rsid w:val="00F0307C"/>
    <w:rsid w:val="00F05098"/>
    <w:rsid w:val="00F057B5"/>
    <w:rsid w:val="00F10A4C"/>
    <w:rsid w:val="00F11027"/>
    <w:rsid w:val="00F1360D"/>
    <w:rsid w:val="00F16246"/>
    <w:rsid w:val="00F1796C"/>
    <w:rsid w:val="00F20F10"/>
    <w:rsid w:val="00F211FD"/>
    <w:rsid w:val="00F21668"/>
    <w:rsid w:val="00F21747"/>
    <w:rsid w:val="00F2220F"/>
    <w:rsid w:val="00F22A5E"/>
    <w:rsid w:val="00F23767"/>
    <w:rsid w:val="00F24198"/>
    <w:rsid w:val="00F26571"/>
    <w:rsid w:val="00F30917"/>
    <w:rsid w:val="00F310DD"/>
    <w:rsid w:val="00F31D76"/>
    <w:rsid w:val="00F32796"/>
    <w:rsid w:val="00F3284B"/>
    <w:rsid w:val="00F32A5D"/>
    <w:rsid w:val="00F3480B"/>
    <w:rsid w:val="00F348AF"/>
    <w:rsid w:val="00F34BA1"/>
    <w:rsid w:val="00F35FF0"/>
    <w:rsid w:val="00F40845"/>
    <w:rsid w:val="00F408D3"/>
    <w:rsid w:val="00F40B26"/>
    <w:rsid w:val="00F40C9E"/>
    <w:rsid w:val="00F414B9"/>
    <w:rsid w:val="00F41FAD"/>
    <w:rsid w:val="00F44571"/>
    <w:rsid w:val="00F45C52"/>
    <w:rsid w:val="00F4692B"/>
    <w:rsid w:val="00F4693E"/>
    <w:rsid w:val="00F46F29"/>
    <w:rsid w:val="00F4753C"/>
    <w:rsid w:val="00F47C55"/>
    <w:rsid w:val="00F50FB0"/>
    <w:rsid w:val="00F5125A"/>
    <w:rsid w:val="00F51AF5"/>
    <w:rsid w:val="00F52E67"/>
    <w:rsid w:val="00F5377A"/>
    <w:rsid w:val="00F5492C"/>
    <w:rsid w:val="00F56B35"/>
    <w:rsid w:val="00F56E4E"/>
    <w:rsid w:val="00F57358"/>
    <w:rsid w:val="00F57A93"/>
    <w:rsid w:val="00F57B0A"/>
    <w:rsid w:val="00F61792"/>
    <w:rsid w:val="00F633C2"/>
    <w:rsid w:val="00F64206"/>
    <w:rsid w:val="00F644B8"/>
    <w:rsid w:val="00F64E9A"/>
    <w:rsid w:val="00F653EE"/>
    <w:rsid w:val="00F6571B"/>
    <w:rsid w:val="00F66D46"/>
    <w:rsid w:val="00F66FA4"/>
    <w:rsid w:val="00F70117"/>
    <w:rsid w:val="00F709DA"/>
    <w:rsid w:val="00F70C9B"/>
    <w:rsid w:val="00F7266D"/>
    <w:rsid w:val="00F734C8"/>
    <w:rsid w:val="00F7392A"/>
    <w:rsid w:val="00F74059"/>
    <w:rsid w:val="00F75A72"/>
    <w:rsid w:val="00F76D71"/>
    <w:rsid w:val="00F770A4"/>
    <w:rsid w:val="00F7787F"/>
    <w:rsid w:val="00F778A8"/>
    <w:rsid w:val="00F77FE9"/>
    <w:rsid w:val="00F80E3E"/>
    <w:rsid w:val="00F8293A"/>
    <w:rsid w:val="00F8337F"/>
    <w:rsid w:val="00F83E8E"/>
    <w:rsid w:val="00F840D0"/>
    <w:rsid w:val="00F84C6B"/>
    <w:rsid w:val="00F84CB3"/>
    <w:rsid w:val="00F86016"/>
    <w:rsid w:val="00F866F2"/>
    <w:rsid w:val="00F86842"/>
    <w:rsid w:val="00F86867"/>
    <w:rsid w:val="00F86C61"/>
    <w:rsid w:val="00F873EC"/>
    <w:rsid w:val="00F9007D"/>
    <w:rsid w:val="00F90B31"/>
    <w:rsid w:val="00F90CF5"/>
    <w:rsid w:val="00F90D04"/>
    <w:rsid w:val="00F930A4"/>
    <w:rsid w:val="00F93E22"/>
    <w:rsid w:val="00F93EFF"/>
    <w:rsid w:val="00F94130"/>
    <w:rsid w:val="00F950EA"/>
    <w:rsid w:val="00F9545D"/>
    <w:rsid w:val="00F9618F"/>
    <w:rsid w:val="00F96564"/>
    <w:rsid w:val="00F97B2B"/>
    <w:rsid w:val="00FA0380"/>
    <w:rsid w:val="00FA0DD3"/>
    <w:rsid w:val="00FA25E9"/>
    <w:rsid w:val="00FA2D06"/>
    <w:rsid w:val="00FA3A5F"/>
    <w:rsid w:val="00FA4510"/>
    <w:rsid w:val="00FA4921"/>
    <w:rsid w:val="00FA49B6"/>
    <w:rsid w:val="00FA5AF8"/>
    <w:rsid w:val="00FA65E8"/>
    <w:rsid w:val="00FB08BB"/>
    <w:rsid w:val="00FB09F6"/>
    <w:rsid w:val="00FB0DA7"/>
    <w:rsid w:val="00FB14F5"/>
    <w:rsid w:val="00FB1AF8"/>
    <w:rsid w:val="00FB493D"/>
    <w:rsid w:val="00FB4F4E"/>
    <w:rsid w:val="00FB6136"/>
    <w:rsid w:val="00FB6656"/>
    <w:rsid w:val="00FB6C4A"/>
    <w:rsid w:val="00FB72ED"/>
    <w:rsid w:val="00FB748A"/>
    <w:rsid w:val="00FB7C8D"/>
    <w:rsid w:val="00FC0899"/>
    <w:rsid w:val="00FC20F7"/>
    <w:rsid w:val="00FC25BC"/>
    <w:rsid w:val="00FC29FC"/>
    <w:rsid w:val="00FC3298"/>
    <w:rsid w:val="00FC385D"/>
    <w:rsid w:val="00FC4E80"/>
    <w:rsid w:val="00FC5B19"/>
    <w:rsid w:val="00FC5F2F"/>
    <w:rsid w:val="00FC71DB"/>
    <w:rsid w:val="00FD0AF6"/>
    <w:rsid w:val="00FD17EB"/>
    <w:rsid w:val="00FD50F7"/>
    <w:rsid w:val="00FD526B"/>
    <w:rsid w:val="00FD750B"/>
    <w:rsid w:val="00FD772C"/>
    <w:rsid w:val="00FE03AE"/>
    <w:rsid w:val="00FE15DC"/>
    <w:rsid w:val="00FE1826"/>
    <w:rsid w:val="00FE2A89"/>
    <w:rsid w:val="00FE3192"/>
    <w:rsid w:val="00FE374B"/>
    <w:rsid w:val="00FE3A2C"/>
    <w:rsid w:val="00FE483C"/>
    <w:rsid w:val="00FE497A"/>
    <w:rsid w:val="00FE4DA7"/>
    <w:rsid w:val="00FE540B"/>
    <w:rsid w:val="00FE5B31"/>
    <w:rsid w:val="00FE66F9"/>
    <w:rsid w:val="00FE6DA8"/>
    <w:rsid w:val="00FE7483"/>
    <w:rsid w:val="00FE7975"/>
    <w:rsid w:val="00FF123D"/>
    <w:rsid w:val="00FF642C"/>
    <w:rsid w:val="00FF75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6347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347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Textoindependiente">
    <w:name w:val="Body Text"/>
    <w:basedOn w:val="Normal"/>
    <w:link w:val="TextoindependienteCar"/>
    <w:rsid w:val="005821E2"/>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5821E2"/>
    <w:rPr>
      <w:rFonts w:ascii="Arial" w:eastAsia="Times New Roman" w:hAnsi="Arial"/>
      <w:sz w:val="24"/>
      <w:lang w:eastAsia="es-ES"/>
    </w:rPr>
  </w:style>
  <w:style w:type="paragraph" w:customStyle="1" w:styleId="texto">
    <w:name w:val="texto"/>
    <w:basedOn w:val="Normal"/>
    <w:rsid w:val="005821E2"/>
    <w:pPr>
      <w:spacing w:after="101" w:line="216" w:lineRule="atLeast"/>
      <w:ind w:firstLine="288"/>
      <w:jc w:val="both"/>
    </w:pPr>
    <w:rPr>
      <w:rFonts w:ascii="Arial" w:eastAsia="Times New Roman" w:hAnsi="Arial" w:cs="Arial"/>
      <w:sz w:val="18"/>
      <w:szCs w:val="20"/>
      <w:lang w:val="es-ES_tradnl" w:eastAsia="es-MX"/>
    </w:rPr>
  </w:style>
  <w:style w:type="table" w:styleId="Tablaconcuadrcula">
    <w:name w:val="Table Grid"/>
    <w:basedOn w:val="Tablanormal"/>
    <w:uiPriority w:val="39"/>
    <w:rsid w:val="0089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27393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C1859"/>
    <w:rPr>
      <w:sz w:val="22"/>
      <w:szCs w:val="22"/>
      <w:lang w:eastAsia="en-US"/>
    </w:rPr>
  </w:style>
  <w:style w:type="character" w:styleId="Hipervnculo">
    <w:name w:val="Hyperlink"/>
    <w:basedOn w:val="Fuentedeprrafopredeter"/>
    <w:uiPriority w:val="99"/>
    <w:unhideWhenUsed/>
    <w:rsid w:val="00F840D0"/>
    <w:rPr>
      <w:color w:val="0000FF" w:themeColor="hyperlink"/>
      <w:u w:val="single"/>
    </w:rPr>
  </w:style>
  <w:style w:type="character" w:customStyle="1" w:styleId="N1IFTCar">
    <w:name w:val="N1 IFT Car"/>
    <w:basedOn w:val="Fuentedeprrafopredeter"/>
    <w:link w:val="N1IFT"/>
    <w:locked/>
    <w:rsid w:val="00565E4C"/>
    <w:rPr>
      <w:rFonts w:ascii="ITC Avant Garde" w:hAnsi="ITC Avant Garde"/>
      <w:b/>
      <w:bCs/>
      <w:color w:val="000000"/>
      <w:lang w:eastAsia="es-ES"/>
    </w:rPr>
  </w:style>
  <w:style w:type="paragraph" w:customStyle="1" w:styleId="N1IFT">
    <w:name w:val="N1 IFT"/>
    <w:basedOn w:val="Normal"/>
    <w:link w:val="N1IFTCar"/>
    <w:rsid w:val="00565E4C"/>
    <w:pPr>
      <w:jc w:val="both"/>
    </w:pPr>
    <w:rPr>
      <w:rFonts w:ascii="ITC Avant Garde" w:hAnsi="ITC Avant Garde"/>
      <w:b/>
      <w:bCs/>
      <w:color w:val="000000"/>
      <w:sz w:val="20"/>
      <w:szCs w:val="20"/>
      <w:lang w:eastAsia="es-ES"/>
    </w:rPr>
  </w:style>
  <w:style w:type="character" w:customStyle="1" w:styleId="Ttulo1Car">
    <w:name w:val="Título 1 Car"/>
    <w:basedOn w:val="Fuentedeprrafopredeter"/>
    <w:link w:val="Ttulo1"/>
    <w:uiPriority w:val="9"/>
    <w:rsid w:val="00634773"/>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63477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6363">
      <w:bodyDiv w:val="1"/>
      <w:marLeft w:val="0"/>
      <w:marRight w:val="0"/>
      <w:marTop w:val="0"/>
      <w:marBottom w:val="0"/>
      <w:divBdr>
        <w:top w:val="none" w:sz="0" w:space="0" w:color="auto"/>
        <w:left w:val="none" w:sz="0" w:space="0" w:color="auto"/>
        <w:bottom w:val="none" w:sz="0" w:space="0" w:color="auto"/>
        <w:right w:val="none" w:sz="0" w:space="0" w:color="auto"/>
      </w:divBdr>
    </w:div>
    <w:div w:id="193276805">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27469042">
      <w:bodyDiv w:val="1"/>
      <w:marLeft w:val="0"/>
      <w:marRight w:val="0"/>
      <w:marTop w:val="0"/>
      <w:marBottom w:val="0"/>
      <w:divBdr>
        <w:top w:val="none" w:sz="0" w:space="0" w:color="auto"/>
        <w:left w:val="none" w:sz="0" w:space="0" w:color="auto"/>
        <w:bottom w:val="none" w:sz="0" w:space="0" w:color="auto"/>
        <w:right w:val="none" w:sz="0" w:space="0" w:color="auto"/>
      </w:divBdr>
    </w:div>
    <w:div w:id="1009256198">
      <w:bodyDiv w:val="1"/>
      <w:marLeft w:val="0"/>
      <w:marRight w:val="0"/>
      <w:marTop w:val="0"/>
      <w:marBottom w:val="0"/>
      <w:divBdr>
        <w:top w:val="none" w:sz="0" w:space="0" w:color="auto"/>
        <w:left w:val="none" w:sz="0" w:space="0" w:color="auto"/>
        <w:bottom w:val="none" w:sz="0" w:space="0" w:color="auto"/>
        <w:right w:val="none" w:sz="0" w:space="0" w:color="auto"/>
      </w:divBdr>
    </w:div>
    <w:div w:id="1105423573">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305937317">
      <w:bodyDiv w:val="1"/>
      <w:marLeft w:val="0"/>
      <w:marRight w:val="0"/>
      <w:marTop w:val="0"/>
      <w:marBottom w:val="0"/>
      <w:divBdr>
        <w:top w:val="none" w:sz="0" w:space="0" w:color="auto"/>
        <w:left w:val="none" w:sz="0" w:space="0" w:color="auto"/>
        <w:bottom w:val="none" w:sz="0" w:space="0" w:color="auto"/>
        <w:right w:val="none" w:sz="0" w:space="0" w:color="auto"/>
      </w:divBdr>
    </w:div>
    <w:div w:id="14684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34FB-8B4D-4D40-ACD7-A808C8EF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8528</Words>
  <Characters>46904</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Obdulia Arciniega Rosales</dc:creator>
  <cp:lastModifiedBy>Maria del Consuelo Gonzalez Moreno</cp:lastModifiedBy>
  <cp:revision>13</cp:revision>
  <cp:lastPrinted>2016-12-07T16:12:00Z</cp:lastPrinted>
  <dcterms:created xsi:type="dcterms:W3CDTF">2016-12-06T21:02:00Z</dcterms:created>
  <dcterms:modified xsi:type="dcterms:W3CDTF">2017-01-17T17:03:00Z</dcterms:modified>
</cp:coreProperties>
</file>