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59A99" w14:textId="77777777" w:rsidR="00866C94" w:rsidRPr="00866C94" w:rsidRDefault="00CE2304" w:rsidP="00866C94">
      <w:pPr>
        <w:pStyle w:val="Ttulo1"/>
        <w:keepLines/>
        <w:spacing w:before="240" w:after="240"/>
        <w:jc w:val="both"/>
        <w:rPr>
          <w:rFonts w:ascii="ITC Avant Garde" w:eastAsiaTheme="majorEastAsia" w:hAnsi="ITC Avant Garde" w:cstheme="majorBidi"/>
          <w:color w:val="000000" w:themeColor="text1"/>
          <w:sz w:val="24"/>
          <w:szCs w:val="24"/>
          <w:lang w:eastAsia="es-MX"/>
        </w:rPr>
      </w:pPr>
      <w:r w:rsidRPr="00866C94">
        <w:rPr>
          <w:rFonts w:ascii="ITC Avant Garde" w:eastAsiaTheme="majorEastAsia" w:hAnsi="ITC Avant Garde" w:cstheme="majorBidi"/>
          <w:color w:val="000000" w:themeColor="text1"/>
          <w:sz w:val="24"/>
          <w:szCs w:val="24"/>
          <w:lang w:eastAsia="es-MX"/>
        </w:rPr>
        <w:t>RESOLUCIÓN MEDIANTE LA CUAL EL PLENO DEL INSTITUTO FEDERAL DE TELECOMUNICACIONES DETERMINA LAS CONDICIONES DE INTERCONEXIÓN NO CONVENIDAS ENTRE</w:t>
      </w:r>
      <w:r w:rsidR="001F6834" w:rsidRPr="00866C94">
        <w:rPr>
          <w:rFonts w:ascii="ITC Avant Garde" w:eastAsiaTheme="majorEastAsia" w:hAnsi="ITC Avant Garde" w:cstheme="majorBidi"/>
          <w:color w:val="000000" w:themeColor="text1"/>
          <w:sz w:val="24"/>
          <w:szCs w:val="24"/>
          <w:lang w:eastAsia="es-MX"/>
        </w:rPr>
        <w:t xml:space="preserve"> </w:t>
      </w:r>
      <w:r w:rsidR="007E3AAD" w:rsidRPr="00866C94">
        <w:rPr>
          <w:rFonts w:ascii="ITC Avant Garde" w:eastAsiaTheme="majorEastAsia" w:hAnsi="ITC Avant Garde" w:cstheme="majorBidi"/>
          <w:color w:val="000000" w:themeColor="text1"/>
          <w:sz w:val="24"/>
          <w:szCs w:val="24"/>
          <w:lang w:eastAsia="es-MX"/>
        </w:rPr>
        <w:t xml:space="preserve">LAS EMPRESAS </w:t>
      </w:r>
      <w:r w:rsidR="00951E69" w:rsidRPr="00866C94">
        <w:rPr>
          <w:rFonts w:ascii="ITC Avant Garde" w:eastAsiaTheme="majorEastAsia" w:hAnsi="ITC Avant Garde" w:cstheme="majorBidi"/>
          <w:color w:val="000000" w:themeColor="text1"/>
          <w:sz w:val="24"/>
          <w:szCs w:val="24"/>
          <w:lang w:eastAsia="es-MX"/>
        </w:rPr>
        <w:t>CABLEVISIÓN RED, S.A. DE C.V.,</w:t>
      </w:r>
      <w:r w:rsidR="007E3AAD" w:rsidRPr="00866C94">
        <w:rPr>
          <w:rFonts w:ascii="ITC Avant Garde" w:eastAsiaTheme="majorEastAsia" w:hAnsi="ITC Avant Garde" w:cstheme="majorBidi"/>
          <w:color w:val="000000" w:themeColor="text1"/>
          <w:sz w:val="24"/>
          <w:szCs w:val="24"/>
          <w:lang w:eastAsia="es-MX"/>
        </w:rPr>
        <w:t xml:space="preserve"> CABLEVISIÓN, S.A. DE C.V., OPERBES, S.A. DE C.V., BESTPHONE, S.A. DE C.V., CABLE Y COMUNICACIÓN DE CAMPECHE, S.A. DE C.V., CABLEMÁS TELECOMUNICACIONES, S.A. DE C.V.,</w:t>
      </w:r>
      <w:r w:rsidR="00951E69" w:rsidRPr="00866C94">
        <w:rPr>
          <w:rFonts w:ascii="ITC Avant Garde" w:eastAsiaTheme="majorEastAsia" w:hAnsi="ITC Avant Garde" w:cstheme="majorBidi"/>
          <w:color w:val="000000" w:themeColor="text1"/>
          <w:sz w:val="24"/>
          <w:szCs w:val="24"/>
          <w:lang w:eastAsia="es-MX"/>
        </w:rPr>
        <w:t xml:space="preserve"> </w:t>
      </w:r>
      <w:r w:rsidR="003F358A" w:rsidRPr="00866C94">
        <w:rPr>
          <w:rFonts w:ascii="ITC Avant Garde" w:eastAsiaTheme="majorEastAsia" w:hAnsi="ITC Avant Garde" w:cstheme="majorBidi"/>
          <w:color w:val="000000" w:themeColor="text1"/>
          <w:sz w:val="24"/>
          <w:szCs w:val="24"/>
          <w:lang w:eastAsia="es-MX"/>
        </w:rPr>
        <w:t>TELE AZTECA, S.A. DE C.V., TV CABLE DE ORIENTE, S.A. DE C.V.</w:t>
      </w:r>
      <w:r w:rsidR="007E3AAD" w:rsidRPr="00866C94">
        <w:rPr>
          <w:rFonts w:ascii="ITC Avant Garde" w:eastAsiaTheme="majorEastAsia" w:hAnsi="ITC Avant Garde" w:cstheme="majorBidi"/>
          <w:color w:val="000000" w:themeColor="text1"/>
          <w:sz w:val="24"/>
          <w:szCs w:val="24"/>
          <w:lang w:eastAsia="es-MX"/>
        </w:rPr>
        <w:t xml:space="preserve"> Y </w:t>
      </w:r>
      <w:r w:rsidR="003F358A" w:rsidRPr="00866C94">
        <w:rPr>
          <w:rFonts w:ascii="ITC Avant Garde" w:eastAsiaTheme="majorEastAsia" w:hAnsi="ITC Avant Garde" w:cstheme="majorBidi"/>
          <w:color w:val="000000" w:themeColor="text1"/>
          <w:sz w:val="24"/>
          <w:szCs w:val="24"/>
          <w:lang w:eastAsia="es-MX"/>
        </w:rPr>
        <w:t xml:space="preserve">MÉXICO RED DE TELECOMUNICACIONES, S. DE R.L. DE C.V., </w:t>
      </w:r>
      <w:r w:rsidRPr="00866C94">
        <w:rPr>
          <w:rFonts w:ascii="ITC Avant Garde" w:eastAsiaTheme="majorEastAsia" w:hAnsi="ITC Avant Garde" w:cstheme="majorBidi"/>
          <w:color w:val="000000" w:themeColor="text1"/>
          <w:sz w:val="24"/>
          <w:szCs w:val="24"/>
          <w:lang w:eastAsia="es-MX"/>
        </w:rPr>
        <w:t xml:space="preserve">Y LAS EMPRESAS GRUPO DE TELECOMUNICACIONES MEXICANAS, S.A. DE C.V. Y PEGASO PCS, S.A. DE C.V., APLICABLES DEL 1 DE </w:t>
      </w:r>
      <w:r w:rsidR="008A6035" w:rsidRPr="00866C94">
        <w:rPr>
          <w:rFonts w:ascii="ITC Avant Garde" w:eastAsiaTheme="majorEastAsia" w:hAnsi="ITC Avant Garde" w:cstheme="majorBidi"/>
          <w:color w:val="000000" w:themeColor="text1"/>
          <w:sz w:val="24"/>
          <w:szCs w:val="24"/>
          <w:lang w:eastAsia="es-MX"/>
        </w:rPr>
        <w:t>ENERO AL 31 DE DICIEMBRE DE 2017</w:t>
      </w:r>
    </w:p>
    <w:p w14:paraId="465269CE" w14:textId="77777777" w:rsidR="00866C94" w:rsidRPr="00866C94" w:rsidRDefault="00C25F00" w:rsidP="00866C94">
      <w:pPr>
        <w:pStyle w:val="Ttulo2"/>
        <w:keepLines/>
        <w:spacing w:before="40" w:after="240" w:line="276" w:lineRule="auto"/>
        <w:jc w:val="center"/>
        <w:rPr>
          <w:rFonts w:ascii="ITC Avant Garde" w:eastAsiaTheme="majorEastAsia" w:hAnsi="ITC Avant Garde" w:cstheme="majorBidi"/>
          <w:color w:val="000000" w:themeColor="text1"/>
          <w:szCs w:val="22"/>
        </w:rPr>
      </w:pPr>
      <w:r w:rsidRPr="00866C94">
        <w:rPr>
          <w:rFonts w:ascii="ITC Avant Garde" w:eastAsiaTheme="majorEastAsia" w:hAnsi="ITC Avant Garde" w:cstheme="majorBidi"/>
          <w:color w:val="000000" w:themeColor="text1"/>
          <w:szCs w:val="22"/>
        </w:rPr>
        <w:t>ANTECEDENTES</w:t>
      </w:r>
    </w:p>
    <w:p w14:paraId="5EA00FDA" w14:textId="77777777" w:rsidR="00866C94" w:rsidRDefault="00C23293" w:rsidP="00866C94">
      <w:pPr>
        <w:numPr>
          <w:ilvl w:val="0"/>
          <w:numId w:val="1"/>
        </w:numPr>
        <w:tabs>
          <w:tab w:val="clear" w:pos="1106"/>
          <w:tab w:val="num" w:pos="964"/>
        </w:tabs>
        <w:spacing w:before="240"/>
        <w:ind w:left="720"/>
        <w:jc w:val="both"/>
        <w:rPr>
          <w:rFonts w:ascii="ITC Avant Garde" w:eastAsia="Times New Roman" w:hAnsi="ITC Avant Garde" w:cs="Arial"/>
          <w:b/>
          <w:bCs/>
          <w:lang w:eastAsia="es-ES"/>
        </w:rPr>
      </w:pPr>
      <w:r w:rsidRPr="001C10FE">
        <w:rPr>
          <w:rFonts w:ascii="ITC Avant Garde" w:hAnsi="ITC Avant Garde"/>
          <w:b/>
          <w:bCs/>
        </w:rPr>
        <w:t xml:space="preserve">Concesiones de Cablevisión Red, S.A. de C.V. </w:t>
      </w:r>
      <w:r w:rsidRPr="001C10FE">
        <w:rPr>
          <w:rFonts w:ascii="ITC Avant Garde" w:hAnsi="ITC Avant Garde" w:cs="Arial"/>
          <w:b/>
          <w:bCs/>
        </w:rPr>
        <w:t>(en lo sucesivo, “Cablevisión Red”)</w:t>
      </w:r>
      <w:r w:rsidRPr="001C10FE">
        <w:rPr>
          <w:rFonts w:ascii="ITC Avant Garde" w:hAnsi="ITC Avant Garde" w:cs="Arial"/>
          <w:bCs/>
        </w:rPr>
        <w:t xml:space="preserve">, es un operador que cuenta con concesiones para instalar, operar y explotar una red pública de telecomunicaciones al amparo de los títulos de concesión otorgados conforme a la legislación aplicable e inscritos en el Registro Público de Concesiones del </w:t>
      </w:r>
      <w:r w:rsidR="001059F0" w:rsidRPr="001C10FE">
        <w:rPr>
          <w:rFonts w:ascii="ITC Avant Garde" w:eastAsia="Times New Roman" w:hAnsi="ITC Avant Garde" w:cs="Arial"/>
          <w:bCs/>
          <w:lang w:eastAsia="es-ES"/>
        </w:rPr>
        <w:t>Instituto Federal de Telecomunicaciones (en los sucesivo, el “Instituto”).</w:t>
      </w:r>
    </w:p>
    <w:p w14:paraId="65FA0D15" w14:textId="77777777" w:rsidR="00866C94" w:rsidRDefault="00C23293" w:rsidP="00866C94">
      <w:pPr>
        <w:numPr>
          <w:ilvl w:val="0"/>
          <w:numId w:val="1"/>
        </w:numPr>
        <w:tabs>
          <w:tab w:val="clear" w:pos="1106"/>
          <w:tab w:val="num" w:pos="964"/>
        </w:tabs>
        <w:spacing w:before="240"/>
        <w:ind w:left="720"/>
        <w:jc w:val="both"/>
        <w:rPr>
          <w:rFonts w:ascii="ITC Avant Garde" w:hAnsi="ITC Avant Garde" w:cs="Arial"/>
          <w:b/>
          <w:bCs/>
        </w:rPr>
      </w:pPr>
      <w:r w:rsidRPr="001C10FE">
        <w:rPr>
          <w:rFonts w:ascii="ITC Avant Garde" w:hAnsi="ITC Avant Garde"/>
          <w:b/>
          <w:bCs/>
        </w:rPr>
        <w:t xml:space="preserve">Concesiones de </w:t>
      </w:r>
      <w:r w:rsidR="007E3AAD" w:rsidRPr="001C10FE">
        <w:rPr>
          <w:rFonts w:ascii="ITC Avant Garde" w:hAnsi="ITC Avant Garde"/>
          <w:b/>
          <w:bCs/>
        </w:rPr>
        <w:t>Cablevisión, S.A. de C.V.</w:t>
      </w:r>
      <w:r w:rsidR="007E3AAD" w:rsidRPr="001C10FE">
        <w:rPr>
          <w:rFonts w:ascii="ITC Avant Garde" w:hAnsi="ITC Avant Garde" w:cs="Arial"/>
          <w:b/>
          <w:bCs/>
        </w:rPr>
        <w:t xml:space="preserve">, </w:t>
      </w:r>
      <w:proofErr w:type="spellStart"/>
      <w:r w:rsidR="007E3AAD" w:rsidRPr="001C10FE">
        <w:rPr>
          <w:rFonts w:ascii="ITC Avant Garde" w:hAnsi="ITC Avant Garde"/>
          <w:b/>
          <w:bCs/>
        </w:rPr>
        <w:t>Operbes</w:t>
      </w:r>
      <w:proofErr w:type="spellEnd"/>
      <w:r w:rsidR="007E3AAD" w:rsidRPr="001C10FE">
        <w:rPr>
          <w:rFonts w:ascii="ITC Avant Garde" w:hAnsi="ITC Avant Garde"/>
          <w:b/>
          <w:bCs/>
        </w:rPr>
        <w:t>, S.A. de C.V., Bestphone, S.A. de C.V., Cable y Comunicación de Campeche, S.A. de C.V. y</w:t>
      </w:r>
      <w:r w:rsidR="007E3AAD" w:rsidRPr="001C10FE">
        <w:rPr>
          <w:rFonts w:ascii="ITC Avant Garde" w:hAnsi="ITC Avant Garde" w:cs="Arial"/>
          <w:b/>
          <w:bCs/>
        </w:rPr>
        <w:t xml:space="preserve"> </w:t>
      </w:r>
      <w:r w:rsidRPr="001C10FE">
        <w:rPr>
          <w:rFonts w:ascii="ITC Avant Garde" w:hAnsi="ITC Avant Garde"/>
          <w:b/>
          <w:bCs/>
        </w:rPr>
        <w:t>Cablemás Telecomunicaciones, S.A. de C.V.</w:t>
      </w:r>
      <w:r w:rsidR="005A349F" w:rsidRPr="001C10FE">
        <w:rPr>
          <w:rFonts w:ascii="ITC Avant Garde" w:hAnsi="ITC Avant Garde" w:cs="Arial"/>
          <w:b/>
          <w:bCs/>
        </w:rPr>
        <w:t xml:space="preserve"> (en lo sucesivo, “Grupo Televisa”)</w:t>
      </w:r>
      <w:r w:rsidR="005A349F" w:rsidRPr="001C10FE">
        <w:rPr>
          <w:rFonts w:ascii="ITC Avant Garde" w:eastAsia="Times New Roman" w:hAnsi="ITC Avant Garde" w:cs="Arial"/>
          <w:b/>
          <w:bCs/>
          <w:lang w:eastAsia="es-ES"/>
        </w:rPr>
        <w:t xml:space="preserve">, </w:t>
      </w:r>
      <w:r w:rsidR="006F62B6" w:rsidRPr="001C10FE">
        <w:rPr>
          <w:rFonts w:ascii="ITC Avant Garde" w:eastAsia="Times New Roman" w:hAnsi="ITC Avant Garde" w:cs="Arial"/>
          <w:bCs/>
          <w:lang w:eastAsia="es-ES"/>
        </w:rPr>
        <w:t>son</w:t>
      </w:r>
      <w:r w:rsidR="005A349F" w:rsidRPr="001C10FE">
        <w:rPr>
          <w:rFonts w:ascii="ITC Avant Garde" w:eastAsia="Times New Roman" w:hAnsi="ITC Avant Garde" w:cs="Arial"/>
          <w:bCs/>
          <w:lang w:eastAsia="es-ES"/>
        </w:rPr>
        <w:t xml:space="preserve"> operador</w:t>
      </w:r>
      <w:r w:rsidR="006F62B6" w:rsidRPr="001C10FE">
        <w:rPr>
          <w:rFonts w:ascii="ITC Avant Garde" w:eastAsia="Times New Roman" w:hAnsi="ITC Avant Garde" w:cs="Arial"/>
          <w:bCs/>
          <w:lang w:eastAsia="es-ES"/>
        </w:rPr>
        <w:t>es</w:t>
      </w:r>
      <w:r w:rsidR="005A349F" w:rsidRPr="001C10FE">
        <w:rPr>
          <w:rFonts w:ascii="ITC Avant Garde" w:eastAsia="Times New Roman" w:hAnsi="ITC Avant Garde" w:cs="Arial"/>
          <w:bCs/>
          <w:lang w:eastAsia="es-ES"/>
        </w:rPr>
        <w:t xml:space="preserve"> que cuenta</w:t>
      </w:r>
      <w:r w:rsidR="006F62B6" w:rsidRPr="001C10FE">
        <w:rPr>
          <w:rFonts w:ascii="ITC Avant Garde" w:eastAsia="Times New Roman" w:hAnsi="ITC Avant Garde" w:cs="Arial"/>
          <w:bCs/>
          <w:lang w:eastAsia="es-ES"/>
        </w:rPr>
        <w:t>n con</w:t>
      </w:r>
      <w:r w:rsidR="005A349F" w:rsidRPr="001C10FE">
        <w:rPr>
          <w:rFonts w:ascii="ITC Avant Garde" w:eastAsia="Times New Roman" w:hAnsi="ITC Avant Garde" w:cs="Arial"/>
          <w:bCs/>
          <w:lang w:eastAsia="es-ES"/>
        </w:rPr>
        <w:t xml:space="preserve"> </w:t>
      </w:r>
      <w:r w:rsidR="005A349F" w:rsidRPr="001C10FE">
        <w:rPr>
          <w:rFonts w:ascii="ITC Avant Garde" w:hAnsi="ITC Avant Garde" w:cs="Arial"/>
          <w:bCs/>
          <w:snapToGrid w:val="0"/>
        </w:rPr>
        <w:t>concesiones p</w:t>
      </w:r>
      <w:r w:rsidR="005A349F" w:rsidRPr="001C10FE">
        <w:rPr>
          <w:rFonts w:ascii="ITC Avant Garde" w:eastAsia="Times New Roman" w:hAnsi="ITC Avant Garde"/>
          <w:lang w:eastAsia="es-ES"/>
        </w:rPr>
        <w:t>ara instalar, operar y explotar una red pública de telecomunicaciones</w:t>
      </w:r>
      <w:r w:rsidR="005A349F" w:rsidRPr="001C10FE">
        <w:rPr>
          <w:rFonts w:ascii="ITC Avant Garde" w:eastAsia="Times New Roman" w:hAnsi="ITC Avant Garde" w:cs="Arial"/>
          <w:bCs/>
          <w:lang w:eastAsia="es-ES"/>
        </w:rPr>
        <w:t xml:space="preserve"> al amparo de los títulos de concesión otorgados conforme a la legislación aplicable e inscritos en el Registro Públi</w:t>
      </w:r>
      <w:r w:rsidR="00767156" w:rsidRPr="001C10FE">
        <w:rPr>
          <w:rFonts w:ascii="ITC Avant Garde" w:eastAsia="Times New Roman" w:hAnsi="ITC Avant Garde" w:cs="Arial"/>
          <w:bCs/>
          <w:lang w:eastAsia="es-ES"/>
        </w:rPr>
        <w:t>co de Concesiones del Instituto.</w:t>
      </w:r>
    </w:p>
    <w:p w14:paraId="34810E0B" w14:textId="77777777" w:rsidR="00866C94" w:rsidRDefault="005A349F" w:rsidP="00866C94">
      <w:pPr>
        <w:numPr>
          <w:ilvl w:val="0"/>
          <w:numId w:val="1"/>
        </w:numPr>
        <w:tabs>
          <w:tab w:val="clear" w:pos="1106"/>
          <w:tab w:val="num" w:pos="964"/>
        </w:tabs>
        <w:spacing w:before="240"/>
        <w:ind w:left="720"/>
        <w:jc w:val="both"/>
        <w:rPr>
          <w:rFonts w:ascii="ITC Avant Garde" w:eastAsia="Times New Roman" w:hAnsi="ITC Avant Garde" w:cs="Arial"/>
          <w:b/>
          <w:bCs/>
          <w:lang w:eastAsia="es-ES"/>
        </w:rPr>
      </w:pPr>
      <w:r w:rsidRPr="001C10FE">
        <w:rPr>
          <w:rFonts w:ascii="ITC Avant Garde" w:hAnsi="ITC Avant Garde"/>
          <w:b/>
          <w:bCs/>
        </w:rPr>
        <w:t>Concesiones de Tele Azteca, S.A. de C.V.,</w:t>
      </w:r>
      <w:r w:rsidR="008D4203" w:rsidRPr="001C10FE">
        <w:rPr>
          <w:rFonts w:ascii="ITC Avant Garde" w:hAnsi="ITC Avant Garde"/>
          <w:b/>
          <w:bCs/>
        </w:rPr>
        <w:t xml:space="preserve"> TV Cable de Oriente, S.A. de C.V., Cablemás Telecomunicaciones, S.A. de C.V. y</w:t>
      </w:r>
      <w:r w:rsidRPr="001C10FE">
        <w:rPr>
          <w:rFonts w:ascii="ITC Avant Garde" w:hAnsi="ITC Avant Garde"/>
          <w:b/>
          <w:bCs/>
        </w:rPr>
        <w:t xml:space="preserve"> México Red de Telecomunicaciones, S. de R.L. de C.V. </w:t>
      </w:r>
      <w:r w:rsidRPr="001C10FE">
        <w:rPr>
          <w:rFonts w:ascii="ITC Avant Garde" w:hAnsi="ITC Avant Garde" w:cs="Arial"/>
          <w:b/>
          <w:bCs/>
        </w:rPr>
        <w:t xml:space="preserve">(en lo sucesivo, “Grupo </w:t>
      </w:r>
      <w:proofErr w:type="spellStart"/>
      <w:r w:rsidRPr="001C10FE">
        <w:rPr>
          <w:rFonts w:ascii="ITC Avant Garde" w:hAnsi="ITC Avant Garde" w:cs="Arial"/>
          <w:b/>
          <w:bCs/>
        </w:rPr>
        <w:t>Cablecom</w:t>
      </w:r>
      <w:proofErr w:type="spellEnd"/>
      <w:r w:rsidRPr="001C10FE">
        <w:rPr>
          <w:rFonts w:ascii="ITC Avant Garde" w:hAnsi="ITC Avant Garde" w:cs="Arial"/>
          <w:b/>
          <w:bCs/>
        </w:rPr>
        <w:t>”)</w:t>
      </w:r>
      <w:r w:rsidR="00274FF4" w:rsidRPr="001C10FE">
        <w:rPr>
          <w:rFonts w:ascii="ITC Avant Garde" w:hAnsi="ITC Avant Garde" w:cs="Arial"/>
          <w:bCs/>
        </w:rPr>
        <w:t xml:space="preserve">, </w:t>
      </w:r>
      <w:r w:rsidR="00274FF4" w:rsidRPr="001C10FE">
        <w:rPr>
          <w:rFonts w:ascii="ITC Avant Garde" w:eastAsia="Times New Roman" w:hAnsi="ITC Avant Garde" w:cs="Arial"/>
          <w:bCs/>
          <w:lang w:eastAsia="es-ES"/>
        </w:rPr>
        <w:t xml:space="preserve">es un operador que cuenta </w:t>
      </w:r>
      <w:r w:rsidR="00274FF4" w:rsidRPr="001C10FE">
        <w:rPr>
          <w:rFonts w:ascii="ITC Avant Garde" w:hAnsi="ITC Avant Garde" w:cs="Arial"/>
          <w:bCs/>
          <w:snapToGrid w:val="0"/>
        </w:rPr>
        <w:t>concesiones p</w:t>
      </w:r>
      <w:r w:rsidR="00274FF4" w:rsidRPr="001C10FE">
        <w:rPr>
          <w:rFonts w:ascii="ITC Avant Garde" w:eastAsia="Times New Roman" w:hAnsi="ITC Avant Garde"/>
          <w:lang w:eastAsia="es-ES"/>
        </w:rPr>
        <w:t>ara instalar, operar y explotar una red pública de telecomunicaciones</w:t>
      </w:r>
      <w:r w:rsidR="00274FF4" w:rsidRPr="001C10FE">
        <w:rPr>
          <w:rFonts w:ascii="ITC Avant Garde" w:eastAsia="Times New Roman" w:hAnsi="ITC Avant Garde" w:cs="Arial"/>
          <w:bCs/>
          <w:lang w:eastAsia="es-ES"/>
        </w:rPr>
        <w:t xml:space="preserve"> al amparo de los títulos de concesión otorgados conforme a la legislación aplicable e inscritos en el Registro Públi</w:t>
      </w:r>
      <w:r w:rsidR="001C6470" w:rsidRPr="001C10FE">
        <w:rPr>
          <w:rFonts w:ascii="ITC Avant Garde" w:eastAsia="Times New Roman" w:hAnsi="ITC Avant Garde" w:cs="Arial"/>
          <w:bCs/>
          <w:lang w:eastAsia="es-ES"/>
        </w:rPr>
        <w:t>co de Concesiones del Instituto.</w:t>
      </w:r>
    </w:p>
    <w:p w14:paraId="09A45C87" w14:textId="77777777" w:rsidR="00866C94" w:rsidRDefault="008D4203" w:rsidP="00866C94">
      <w:pPr>
        <w:tabs>
          <w:tab w:val="left" w:pos="142"/>
        </w:tabs>
        <w:spacing w:before="240"/>
        <w:ind w:left="708" w:right="23"/>
        <w:jc w:val="both"/>
        <w:rPr>
          <w:rFonts w:ascii="ITC Avant Garde" w:hAnsi="ITC Avant Garde" w:cs="Arial"/>
          <w:bCs/>
        </w:rPr>
      </w:pPr>
      <w:r w:rsidRPr="001C10FE">
        <w:rPr>
          <w:rFonts w:ascii="ITC Avant Garde" w:hAnsi="ITC Avant Garde" w:cs="Arial"/>
          <w:bCs/>
        </w:rPr>
        <w:t xml:space="preserve">Cabe señalar, que con fecha 24 de agosto de 2016, mediante escrito presentado en la Oficialía de Partes del Instituto número de folio asignado 044749, el C. Víctor Tomás López </w:t>
      </w:r>
      <w:proofErr w:type="spellStart"/>
      <w:r w:rsidRPr="001C10FE">
        <w:rPr>
          <w:rFonts w:ascii="ITC Avant Garde" w:hAnsi="ITC Avant Garde" w:cs="Arial"/>
          <w:bCs/>
        </w:rPr>
        <w:t>Baltierra</w:t>
      </w:r>
      <w:proofErr w:type="spellEnd"/>
      <w:r w:rsidRPr="001C10FE">
        <w:rPr>
          <w:rFonts w:ascii="ITC Avant Garde" w:hAnsi="ITC Avant Garde" w:cs="Arial"/>
          <w:bCs/>
        </w:rPr>
        <w:t xml:space="preserve"> y la C. </w:t>
      </w:r>
      <w:proofErr w:type="spellStart"/>
      <w:r w:rsidRPr="001C10FE">
        <w:rPr>
          <w:rFonts w:ascii="ITC Avant Garde" w:hAnsi="ITC Avant Garde" w:cs="Arial"/>
          <w:bCs/>
        </w:rPr>
        <w:t>Velia</w:t>
      </w:r>
      <w:proofErr w:type="spellEnd"/>
      <w:r w:rsidRPr="001C10FE">
        <w:rPr>
          <w:rFonts w:ascii="ITC Avant Garde" w:hAnsi="ITC Avant Garde" w:cs="Arial"/>
          <w:bCs/>
        </w:rPr>
        <w:t xml:space="preserve"> Alicia Miranda Perez en su carácter de apoderados legales de las empresas TVI Nacional, S.A. de C.V., </w:t>
      </w:r>
      <w:proofErr w:type="spellStart"/>
      <w:r w:rsidRPr="001C10FE">
        <w:rPr>
          <w:rFonts w:ascii="ITC Avant Garde" w:hAnsi="ITC Avant Garde" w:cs="Arial"/>
          <w:bCs/>
        </w:rPr>
        <w:t>Tlaxcable</w:t>
      </w:r>
      <w:proofErr w:type="spellEnd"/>
      <w:r w:rsidRPr="001C10FE">
        <w:rPr>
          <w:rFonts w:ascii="ITC Avant Garde" w:hAnsi="ITC Avant Garde" w:cs="Arial"/>
          <w:bCs/>
        </w:rPr>
        <w:t xml:space="preserve">, S.A. de C.V., Grupo Cabe TV de San Luis Potosí, S.A. de C.V., Tele Azteca, S.A. de C.V., Tele Cable del Estado de México, S.A. de C.V., Televisión por Cable de Tabasco, S.A. de </w:t>
      </w:r>
      <w:r w:rsidRPr="001C10FE">
        <w:rPr>
          <w:rFonts w:ascii="ITC Avant Garde" w:hAnsi="ITC Avant Garde" w:cs="Arial"/>
          <w:bCs/>
        </w:rPr>
        <w:lastRenderedPageBreak/>
        <w:t xml:space="preserve">C.V., y México Red de Telecomunicaciones, S. de R.L. de C.V., hicieron del conocimiento de este Instituto, las fusiones llevadas a cabo el 29 de junio de 2016, a través de las cuales, en primer término, la empresa TV Cable de Oriente, S.A. de C.V. se fusionó con las empresas </w:t>
      </w:r>
      <w:proofErr w:type="spellStart"/>
      <w:r w:rsidRPr="001C10FE">
        <w:rPr>
          <w:rFonts w:ascii="ITC Avant Garde" w:hAnsi="ITC Avant Garde" w:cs="Arial"/>
          <w:bCs/>
        </w:rPr>
        <w:t>Tlaxcable</w:t>
      </w:r>
      <w:proofErr w:type="spellEnd"/>
      <w:r w:rsidRPr="001C10FE">
        <w:rPr>
          <w:rFonts w:ascii="ITC Avant Garde" w:hAnsi="ITC Avant Garde" w:cs="Arial"/>
          <w:bCs/>
        </w:rPr>
        <w:t>, S.A. de C.V., Televisión por Cable de Tabasco, S.A. de C.V. y Grupo Cable TV de San Luis Potosí, S.A. de C.V., la cual adquirió los derechos y obligaciones de las empresas fusionadas, asimismo, en segundo término, Cablemás Telecomunicaciones, S.A. de C.V. se fusionó con las empresas TVI Nacional, S.A. de C.V. y Tele Cable del Estado de México, S.A. de C.V., la cual adquirió los derechos y obligaciones de las empresas fusionadas.</w:t>
      </w:r>
    </w:p>
    <w:p w14:paraId="69E47525" w14:textId="77777777" w:rsidR="00866C94" w:rsidRDefault="00C9549E" w:rsidP="00866C94">
      <w:pPr>
        <w:numPr>
          <w:ilvl w:val="0"/>
          <w:numId w:val="1"/>
        </w:numPr>
        <w:tabs>
          <w:tab w:val="clear" w:pos="1106"/>
          <w:tab w:val="left" w:pos="709"/>
          <w:tab w:val="num" w:pos="851"/>
        </w:tabs>
        <w:spacing w:before="240"/>
        <w:ind w:left="709" w:right="23" w:hanging="709"/>
        <w:jc w:val="both"/>
        <w:rPr>
          <w:rFonts w:ascii="ITC Avant Garde" w:hAnsi="ITC Avant Garde" w:cs="Arial"/>
          <w:bCs/>
        </w:rPr>
      </w:pPr>
      <w:r w:rsidRPr="001C10FE">
        <w:rPr>
          <w:rFonts w:ascii="ITC Avant Garde" w:hAnsi="ITC Avant Garde" w:cs="Arial"/>
          <w:b/>
          <w:bCs/>
        </w:rPr>
        <w:t>Concesi</w:t>
      </w:r>
      <w:r w:rsidR="00B442E0" w:rsidRPr="001C10FE">
        <w:rPr>
          <w:rFonts w:ascii="ITC Avant Garde" w:hAnsi="ITC Avant Garde" w:cs="Arial"/>
          <w:b/>
          <w:bCs/>
        </w:rPr>
        <w:t>ón</w:t>
      </w:r>
      <w:r w:rsidR="00CE2304" w:rsidRPr="001C10FE">
        <w:rPr>
          <w:rFonts w:ascii="ITC Avant Garde" w:hAnsi="ITC Avant Garde" w:cs="Arial"/>
          <w:b/>
          <w:bCs/>
        </w:rPr>
        <w:t xml:space="preserve"> de Grupo de Telecomunicaciones Mexicanas, S.A. de C.V. </w:t>
      </w:r>
      <w:r w:rsidR="00432927" w:rsidRPr="001C10FE">
        <w:rPr>
          <w:rFonts w:ascii="ITC Avant Garde" w:hAnsi="ITC Avant Garde" w:cs="Arial"/>
          <w:b/>
          <w:bCs/>
        </w:rPr>
        <w:t>(en lo sucesivo, “</w:t>
      </w:r>
      <w:r w:rsidR="00CE2304" w:rsidRPr="001C10FE">
        <w:rPr>
          <w:rFonts w:ascii="ITC Avant Garde" w:hAnsi="ITC Avant Garde" w:cs="Arial"/>
          <w:b/>
          <w:bCs/>
        </w:rPr>
        <w:t>GTM”</w:t>
      </w:r>
      <w:r w:rsidR="00432927" w:rsidRPr="001C10FE">
        <w:rPr>
          <w:rFonts w:ascii="ITC Avant Garde" w:hAnsi="ITC Avant Garde" w:cs="Arial"/>
          <w:b/>
          <w:bCs/>
        </w:rPr>
        <w:t>)</w:t>
      </w:r>
      <w:r w:rsidR="00B442E0" w:rsidRPr="001C10FE">
        <w:rPr>
          <w:rFonts w:ascii="ITC Avant Garde" w:hAnsi="ITC Avant Garde" w:cs="Arial"/>
          <w:b/>
          <w:bCs/>
        </w:rPr>
        <w:t>,</w:t>
      </w:r>
      <w:r w:rsidR="00432927" w:rsidRPr="001C10FE">
        <w:rPr>
          <w:rFonts w:ascii="ITC Avant Garde" w:hAnsi="ITC Avant Garde" w:cs="Arial"/>
          <w:bCs/>
        </w:rPr>
        <w:t xml:space="preserve"> </w:t>
      </w:r>
      <w:r w:rsidR="00537A89" w:rsidRPr="001C10FE">
        <w:rPr>
          <w:rFonts w:ascii="ITC Avant Garde" w:hAnsi="ITC Avant Garde" w:cs="Arial"/>
          <w:bCs/>
        </w:rPr>
        <w:t>es un operador que cuenta con una concesión única para para prestar todo tipo de servicios públicos de telecomunicaciones con fines de lucro, a través de la infraestructura asociada a una red pública de telecomunicaciones, al amparo del título de concesión otorgado conforme a la legislación aplicable e inscrito en el Registro Público de Concesiones del Instituto.</w:t>
      </w:r>
    </w:p>
    <w:p w14:paraId="4B75D0E1" w14:textId="77777777" w:rsidR="00866C94" w:rsidRDefault="00B442E0" w:rsidP="00866C94">
      <w:pPr>
        <w:numPr>
          <w:ilvl w:val="0"/>
          <w:numId w:val="1"/>
        </w:numPr>
        <w:tabs>
          <w:tab w:val="clear" w:pos="1106"/>
          <w:tab w:val="left" w:pos="142"/>
        </w:tabs>
        <w:spacing w:before="240"/>
        <w:ind w:left="709" w:right="23" w:hanging="709"/>
        <w:jc w:val="both"/>
        <w:rPr>
          <w:rFonts w:ascii="ITC Avant Garde" w:hAnsi="ITC Avant Garde" w:cs="Arial"/>
          <w:b/>
          <w:bCs/>
        </w:rPr>
      </w:pPr>
      <w:r w:rsidRPr="001C10FE">
        <w:rPr>
          <w:rFonts w:ascii="ITC Avant Garde" w:hAnsi="ITC Avant Garde" w:cs="Arial"/>
          <w:b/>
          <w:bCs/>
        </w:rPr>
        <w:t xml:space="preserve">Concesiones de Pegaso PCS, S.A. de C.V. (en lo sucesivo, “Pegaso”), </w:t>
      </w:r>
      <w:r w:rsidRPr="001C10FE">
        <w:rPr>
          <w:rFonts w:ascii="ITC Avant Garde" w:eastAsia="Times New Roman" w:hAnsi="ITC Avant Garde" w:cs="Arial"/>
          <w:bCs/>
          <w:lang w:eastAsia="es-ES"/>
        </w:rPr>
        <w:t xml:space="preserve">es un operador que cuenta </w:t>
      </w:r>
      <w:r w:rsidRPr="001C10FE">
        <w:rPr>
          <w:rFonts w:ascii="ITC Avant Garde" w:hAnsi="ITC Avant Garde" w:cs="Arial"/>
          <w:bCs/>
          <w:snapToGrid w:val="0"/>
        </w:rPr>
        <w:t>concesiones p</w:t>
      </w:r>
      <w:r w:rsidRPr="001C10FE">
        <w:rPr>
          <w:rFonts w:ascii="ITC Avant Garde" w:eastAsia="Times New Roman" w:hAnsi="ITC Avant Garde"/>
          <w:lang w:eastAsia="es-ES"/>
        </w:rPr>
        <w:t>ara instalar, operar y explotar una red pública de telecomunicaciones</w:t>
      </w:r>
      <w:r w:rsidRPr="001C10FE">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w:t>
      </w:r>
      <w:r w:rsidRPr="001C10FE">
        <w:rPr>
          <w:rFonts w:ascii="ITC Avant Garde" w:hAnsi="ITC Avant Garde" w:cs="Arial"/>
          <w:bCs/>
        </w:rPr>
        <w:t>.</w:t>
      </w:r>
    </w:p>
    <w:p w14:paraId="4E5EFF8A" w14:textId="77777777" w:rsidR="00866C94" w:rsidRDefault="007A2313" w:rsidP="00866C94">
      <w:pPr>
        <w:numPr>
          <w:ilvl w:val="0"/>
          <w:numId w:val="1"/>
        </w:numPr>
        <w:tabs>
          <w:tab w:val="clear" w:pos="1106"/>
          <w:tab w:val="left" w:pos="142"/>
        </w:tabs>
        <w:spacing w:before="240"/>
        <w:ind w:left="709" w:right="23" w:hanging="709"/>
        <w:jc w:val="both"/>
        <w:rPr>
          <w:rFonts w:ascii="ITC Avant Garde" w:hAnsi="ITC Avant Garde" w:cs="Arial"/>
          <w:b/>
          <w:bCs/>
        </w:rPr>
      </w:pPr>
      <w:r w:rsidRPr="001C10FE">
        <w:rPr>
          <w:rFonts w:ascii="ITC Avant Garde" w:hAnsi="ITC Avant Garde" w:cs="Arial"/>
          <w:b/>
          <w:bCs/>
        </w:rPr>
        <w:t xml:space="preserve">Metodología para el cálculo de costos de interconexión. </w:t>
      </w:r>
      <w:r w:rsidRPr="001C10FE">
        <w:rPr>
          <w:rFonts w:ascii="ITC Avant Garde" w:hAnsi="ITC Avant Garde" w:cs="Arial"/>
          <w:bCs/>
        </w:rPr>
        <w:t xml:space="preserve">El 18 de diciembre de 2014, </w:t>
      </w:r>
      <w:r w:rsidR="0096277B" w:rsidRPr="001C10FE">
        <w:rPr>
          <w:rFonts w:ascii="ITC Avant Garde" w:hAnsi="ITC Avant Garde" w:cs="Arial"/>
          <w:bCs/>
        </w:rPr>
        <w:t>se publicó</w:t>
      </w:r>
      <w:r w:rsidRPr="001C10FE">
        <w:rPr>
          <w:rFonts w:ascii="ITC Avant Garde" w:hAnsi="ITC Avant Garde" w:cs="Arial"/>
          <w:bCs/>
        </w:rPr>
        <w:t xml:space="preserve"> en el Diario Oficial de la Federación (en lo sucesivo, el “DOF”), el “</w:t>
      </w:r>
      <w:r w:rsidRPr="001C10FE">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1C10FE">
        <w:rPr>
          <w:rFonts w:ascii="ITC Avant Garde" w:hAnsi="ITC Avant Garde" w:cs="Arial"/>
          <w:bCs/>
        </w:rPr>
        <w:t>aprobado mediante Acuerdo P/IFT/EXT/161214/277 (en lo</w:t>
      </w:r>
      <w:r w:rsidRPr="001C10FE">
        <w:rPr>
          <w:rFonts w:ascii="ITC Avant Garde" w:hAnsi="ITC Avant Garde" w:cs="Arial"/>
          <w:bCs/>
          <w:i/>
        </w:rPr>
        <w:t xml:space="preserve"> </w:t>
      </w:r>
      <w:r w:rsidRPr="001C10FE">
        <w:rPr>
          <w:rFonts w:ascii="ITC Avant Garde" w:hAnsi="ITC Avant Garde" w:cs="Arial"/>
          <w:bCs/>
        </w:rPr>
        <w:t>sucesivo la “Metodología de Costos”).</w:t>
      </w:r>
    </w:p>
    <w:p w14:paraId="5F8515A0" w14:textId="77777777" w:rsidR="00866C94" w:rsidRDefault="007A2313" w:rsidP="00866C94">
      <w:pPr>
        <w:numPr>
          <w:ilvl w:val="0"/>
          <w:numId w:val="1"/>
        </w:numPr>
        <w:tabs>
          <w:tab w:val="clear" w:pos="1106"/>
          <w:tab w:val="left" w:pos="142"/>
        </w:tabs>
        <w:spacing w:before="240"/>
        <w:ind w:left="709" w:right="23" w:hanging="709"/>
        <w:jc w:val="both"/>
        <w:rPr>
          <w:rFonts w:ascii="ITC Avant Garde" w:hAnsi="ITC Avant Garde" w:cs="Arial"/>
          <w:b/>
          <w:bCs/>
        </w:rPr>
      </w:pPr>
      <w:r w:rsidRPr="001C10FE">
        <w:rPr>
          <w:rFonts w:ascii="ITC Avant Garde" w:hAnsi="ITC Avant Garde"/>
          <w:b/>
          <w:bCs/>
          <w:lang w:val="es-ES" w:eastAsia="es-ES"/>
        </w:rPr>
        <w:t>Sistema Electrónico de Solicitudes de Interconexión.</w:t>
      </w:r>
      <w:r w:rsidRPr="001C10FE">
        <w:rPr>
          <w:rFonts w:ascii="ITC Avant Garde" w:hAnsi="ITC Avant Garde"/>
          <w:bCs/>
          <w:lang w:val="es-ES" w:eastAsia="es-ES"/>
        </w:rPr>
        <w:t xml:space="preserve"> El 29 de diciembre de 2014 se publicó en el DOF el </w:t>
      </w:r>
      <w:r w:rsidRPr="001C10FE">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1C10FE">
        <w:rPr>
          <w:rFonts w:ascii="ITC Avant Garde" w:hAnsi="ITC Avant Garde"/>
          <w:bCs/>
          <w:lang w:val="es-ES" w:eastAsia="es-ES"/>
        </w:rPr>
        <w:t>(en lo sucesivo, el “Acuerdo del Sistema”),</w:t>
      </w:r>
      <w:r w:rsidRPr="001C10FE">
        <w:rPr>
          <w:rFonts w:ascii="ITC Avant Garde" w:hAnsi="ITC Avant Garde"/>
          <w:bCs/>
          <w:i/>
          <w:lang w:val="es-ES" w:eastAsia="es-ES"/>
        </w:rPr>
        <w:t xml:space="preserve"> </w:t>
      </w:r>
      <w:r w:rsidRPr="001C10FE">
        <w:rPr>
          <w:rFonts w:ascii="ITC Avant Garde" w:hAnsi="ITC Avant Garde"/>
          <w:bCs/>
          <w:lang w:val="es-ES" w:eastAsia="es-ES"/>
        </w:rPr>
        <w:t>mediante el cual se estableció el Sistema Electrónico de Solicitudes de Interconexión, (en lo sucesivo, el “SESI”).</w:t>
      </w:r>
    </w:p>
    <w:p w14:paraId="5D5571B3" w14:textId="77777777" w:rsidR="00866C94" w:rsidRDefault="007A2313" w:rsidP="00866C94">
      <w:pPr>
        <w:numPr>
          <w:ilvl w:val="0"/>
          <w:numId w:val="1"/>
        </w:numPr>
        <w:tabs>
          <w:tab w:val="clear" w:pos="1106"/>
          <w:tab w:val="left" w:pos="142"/>
        </w:tabs>
        <w:spacing w:before="240"/>
        <w:ind w:left="709" w:right="23" w:hanging="709"/>
        <w:jc w:val="both"/>
        <w:rPr>
          <w:rFonts w:ascii="ITC Avant Garde" w:hAnsi="ITC Avant Garde" w:cs="Arial"/>
          <w:b/>
          <w:bCs/>
        </w:rPr>
      </w:pPr>
      <w:r w:rsidRPr="001C10FE">
        <w:rPr>
          <w:rFonts w:ascii="ITC Avant Garde" w:eastAsia="Times New Roman" w:hAnsi="ITC Avant Garde"/>
          <w:b/>
          <w:bCs/>
          <w:lang w:val="es-ES" w:eastAsia="es-ES"/>
        </w:rPr>
        <w:t>Procedimiento de resolución de condiciones de interconexión no convenidas.</w:t>
      </w:r>
      <w:r w:rsidRPr="001C10FE">
        <w:rPr>
          <w:rFonts w:ascii="ITC Avant Garde" w:eastAsia="Times New Roman" w:hAnsi="ITC Avant Garde"/>
          <w:lang w:val="es-ES" w:eastAsia="es-ES"/>
        </w:rPr>
        <w:t xml:space="preserve"> </w:t>
      </w:r>
      <w:r w:rsidR="007A1127" w:rsidRPr="001C10FE">
        <w:rPr>
          <w:rFonts w:ascii="ITC Avant Garde" w:eastAsia="Times New Roman" w:hAnsi="ITC Avant Garde"/>
          <w:bCs/>
          <w:lang w:val="es-ES" w:eastAsia="es-ES"/>
        </w:rPr>
        <w:t>El 15</w:t>
      </w:r>
      <w:r w:rsidR="00F7781C" w:rsidRPr="001C10FE">
        <w:rPr>
          <w:rFonts w:ascii="ITC Avant Garde" w:eastAsia="Times New Roman" w:hAnsi="ITC Avant Garde"/>
          <w:bCs/>
          <w:lang w:val="es-ES" w:eastAsia="es-ES"/>
        </w:rPr>
        <w:t xml:space="preserve"> de </w:t>
      </w:r>
      <w:r w:rsidR="007A1127" w:rsidRPr="001C10FE">
        <w:rPr>
          <w:rFonts w:ascii="ITC Avant Garde" w:eastAsia="Times New Roman" w:hAnsi="ITC Avant Garde"/>
          <w:bCs/>
          <w:lang w:val="es-ES" w:eastAsia="es-ES"/>
        </w:rPr>
        <w:t>julio</w:t>
      </w:r>
      <w:r w:rsidR="00F7781C" w:rsidRPr="001C10FE">
        <w:rPr>
          <w:rFonts w:ascii="ITC Avant Garde" w:eastAsia="Times New Roman" w:hAnsi="ITC Avant Garde"/>
          <w:bCs/>
          <w:lang w:val="es-ES" w:eastAsia="es-ES"/>
        </w:rPr>
        <w:t xml:space="preserve"> de 2016, </w:t>
      </w:r>
      <w:r w:rsidR="00263B78" w:rsidRPr="001C10FE">
        <w:rPr>
          <w:rFonts w:ascii="ITC Avant Garde" w:eastAsia="Times New Roman" w:hAnsi="ITC Avant Garde"/>
          <w:bCs/>
          <w:lang w:val="es-ES" w:eastAsia="es-ES"/>
        </w:rPr>
        <w:t xml:space="preserve">los </w:t>
      </w:r>
      <w:r w:rsidR="002F22DC" w:rsidRPr="001C10FE">
        <w:rPr>
          <w:rFonts w:ascii="ITC Avant Garde" w:eastAsia="Times New Roman" w:hAnsi="ITC Avant Garde"/>
          <w:bCs/>
          <w:lang w:val="es-ES" w:eastAsia="es-ES"/>
        </w:rPr>
        <w:t xml:space="preserve">apoderados </w:t>
      </w:r>
      <w:r w:rsidRPr="001C10FE">
        <w:rPr>
          <w:rFonts w:ascii="ITC Avant Garde" w:eastAsia="Times New Roman" w:hAnsi="ITC Avant Garde"/>
          <w:bCs/>
          <w:lang w:val="es-ES" w:eastAsia="es-ES"/>
        </w:rPr>
        <w:t>legal</w:t>
      </w:r>
      <w:r w:rsidR="00263B78" w:rsidRPr="001C10FE">
        <w:rPr>
          <w:rFonts w:ascii="ITC Avant Garde" w:eastAsia="Times New Roman" w:hAnsi="ITC Avant Garde"/>
          <w:bCs/>
          <w:lang w:val="es-ES" w:eastAsia="es-ES"/>
        </w:rPr>
        <w:t>es</w:t>
      </w:r>
      <w:r w:rsidRPr="001C10FE">
        <w:rPr>
          <w:rFonts w:ascii="ITC Avant Garde" w:eastAsia="Times New Roman" w:hAnsi="ITC Avant Garde"/>
          <w:bCs/>
          <w:lang w:val="es-ES" w:eastAsia="es-ES"/>
        </w:rPr>
        <w:t xml:space="preserve"> de </w:t>
      </w:r>
      <w:r w:rsidR="00274FF4" w:rsidRPr="001C10FE">
        <w:rPr>
          <w:rFonts w:ascii="ITC Avant Garde" w:eastAsia="Times New Roman" w:hAnsi="ITC Avant Garde"/>
          <w:bCs/>
          <w:lang w:val="es-ES" w:eastAsia="es-ES"/>
        </w:rPr>
        <w:t xml:space="preserve">Cablevisión Red, Grupo Televisa y Grupo </w:t>
      </w:r>
      <w:proofErr w:type="spellStart"/>
      <w:r w:rsidR="00274FF4" w:rsidRPr="001C10FE">
        <w:rPr>
          <w:rFonts w:ascii="ITC Avant Garde" w:eastAsia="Times New Roman" w:hAnsi="ITC Avant Garde"/>
          <w:bCs/>
          <w:lang w:val="es-ES" w:eastAsia="es-ES"/>
        </w:rPr>
        <w:t>Cablecom</w:t>
      </w:r>
      <w:proofErr w:type="spellEnd"/>
      <w:r w:rsidRPr="001C10FE">
        <w:rPr>
          <w:rFonts w:ascii="ITC Avant Garde" w:eastAsia="Times New Roman" w:hAnsi="ITC Avant Garde"/>
          <w:bCs/>
          <w:lang w:val="es-ES" w:eastAsia="es-ES"/>
        </w:rPr>
        <w:t xml:space="preserve"> present</w:t>
      </w:r>
      <w:r w:rsidR="00263B78" w:rsidRPr="001C10FE">
        <w:rPr>
          <w:rFonts w:ascii="ITC Avant Garde" w:eastAsia="Times New Roman" w:hAnsi="ITC Avant Garde"/>
          <w:bCs/>
          <w:lang w:val="es-ES" w:eastAsia="es-ES"/>
        </w:rPr>
        <w:t>aron</w:t>
      </w:r>
      <w:r w:rsidRPr="001C10FE">
        <w:rPr>
          <w:rFonts w:ascii="ITC Avant Garde" w:eastAsia="Times New Roman" w:hAnsi="ITC Avant Garde"/>
          <w:bCs/>
          <w:lang w:val="es-ES" w:eastAsia="es-ES"/>
        </w:rPr>
        <w:t xml:space="preserve"> </w:t>
      </w:r>
      <w:r w:rsidRPr="001C10FE">
        <w:rPr>
          <w:rFonts w:ascii="ITC Avant Garde" w:eastAsia="Times New Roman" w:hAnsi="ITC Avant Garde"/>
          <w:lang w:val="es-ES" w:eastAsia="es-ES"/>
        </w:rPr>
        <w:t>ante el Instituto, escrito</w:t>
      </w:r>
      <w:r w:rsidR="000F48B3" w:rsidRPr="001C10FE">
        <w:rPr>
          <w:rFonts w:ascii="ITC Avant Garde" w:eastAsia="Times New Roman" w:hAnsi="ITC Avant Garde"/>
          <w:lang w:val="es-ES" w:eastAsia="es-ES"/>
        </w:rPr>
        <w:t>s</w:t>
      </w:r>
      <w:r w:rsidRPr="001C10FE">
        <w:rPr>
          <w:rFonts w:ascii="ITC Avant Garde" w:eastAsia="Times New Roman" w:hAnsi="ITC Avant Garde"/>
          <w:lang w:val="es-ES" w:eastAsia="es-ES"/>
        </w:rPr>
        <w:t xml:space="preserve"> mediante </w:t>
      </w:r>
      <w:r w:rsidR="000F48B3" w:rsidRPr="001C10FE">
        <w:rPr>
          <w:rFonts w:ascii="ITC Avant Garde" w:eastAsia="Times New Roman" w:hAnsi="ITC Avant Garde"/>
          <w:lang w:val="es-ES" w:eastAsia="es-ES"/>
        </w:rPr>
        <w:t>los cuales</w:t>
      </w:r>
      <w:r w:rsidRPr="001C10FE">
        <w:rPr>
          <w:rFonts w:ascii="ITC Avant Garde" w:eastAsia="Times New Roman" w:hAnsi="ITC Avant Garde"/>
          <w:lang w:val="es-ES" w:eastAsia="es-ES"/>
        </w:rPr>
        <w:t xml:space="preserve"> </w:t>
      </w:r>
      <w:r w:rsidR="002B4E40" w:rsidRPr="001C10FE">
        <w:rPr>
          <w:rFonts w:ascii="ITC Avant Garde" w:eastAsia="Times New Roman" w:hAnsi="ITC Avant Garde"/>
          <w:lang w:val="es-ES" w:eastAsia="es-ES"/>
        </w:rPr>
        <w:t>solicitan</w:t>
      </w:r>
      <w:r w:rsidRPr="001C10FE">
        <w:rPr>
          <w:rFonts w:ascii="ITC Avant Garde" w:eastAsia="Times New Roman" w:hAnsi="ITC Avant Garde"/>
          <w:lang w:val="es-ES" w:eastAsia="es-ES"/>
        </w:rPr>
        <w:t xml:space="preserve"> su intervención para resolver los términos, t</w:t>
      </w:r>
      <w:r w:rsidR="002B4E40" w:rsidRPr="001C10FE">
        <w:rPr>
          <w:rFonts w:ascii="ITC Avant Garde" w:eastAsia="Times New Roman" w:hAnsi="ITC Avant Garde"/>
          <w:lang w:val="es-ES" w:eastAsia="es-ES"/>
        </w:rPr>
        <w:t xml:space="preserve">arifas y condiciones que no </w:t>
      </w:r>
      <w:r w:rsidR="002B4E40" w:rsidRPr="001C10FE">
        <w:rPr>
          <w:rFonts w:ascii="ITC Avant Garde" w:eastAsia="Times New Roman" w:hAnsi="ITC Avant Garde"/>
          <w:lang w:val="es-ES" w:eastAsia="es-ES"/>
        </w:rPr>
        <w:lastRenderedPageBreak/>
        <w:t>pudieron</w:t>
      </w:r>
      <w:r w:rsidRPr="001C10FE">
        <w:rPr>
          <w:rFonts w:ascii="ITC Avant Garde" w:eastAsia="Times New Roman" w:hAnsi="ITC Avant Garde"/>
          <w:lang w:val="es-ES" w:eastAsia="es-ES"/>
        </w:rPr>
        <w:t xml:space="preserve"> convenir con </w:t>
      </w:r>
      <w:r w:rsidR="000F48B3" w:rsidRPr="001C10FE">
        <w:rPr>
          <w:rFonts w:ascii="ITC Avant Garde" w:eastAsia="Times New Roman" w:hAnsi="ITC Avant Garde"/>
          <w:lang w:val="es-ES" w:eastAsia="es-ES"/>
        </w:rPr>
        <w:t>GTM y Pegaso</w:t>
      </w:r>
      <w:r w:rsidRPr="001C10FE">
        <w:rPr>
          <w:rFonts w:ascii="ITC Avant Garde" w:eastAsia="Times New Roman" w:hAnsi="ITC Avant Garde"/>
          <w:lang w:val="es-ES" w:eastAsia="es-ES"/>
        </w:rPr>
        <w:t xml:space="preserve"> para la interconexión de sus respectivas redes públicas de telecomunicacio</w:t>
      </w:r>
      <w:r w:rsidR="009F5C5B" w:rsidRPr="001C10FE">
        <w:rPr>
          <w:rFonts w:ascii="ITC Avant Garde" w:eastAsia="Times New Roman" w:hAnsi="ITC Avant Garde"/>
          <w:lang w:val="es-ES" w:eastAsia="es-ES"/>
        </w:rPr>
        <w:t xml:space="preserve">nes, aplicables al periodo 2017 </w:t>
      </w:r>
      <w:r w:rsidRPr="001C10FE">
        <w:rPr>
          <w:rFonts w:ascii="ITC Avant Garde" w:eastAsia="Times New Roman" w:hAnsi="ITC Avant Garde"/>
          <w:lang w:val="es-ES" w:eastAsia="es-ES"/>
        </w:rPr>
        <w:t>(en lo sucesivo, la</w:t>
      </w:r>
      <w:r w:rsidR="000F48B3" w:rsidRPr="001C10FE">
        <w:rPr>
          <w:rFonts w:ascii="ITC Avant Garde" w:eastAsia="Times New Roman" w:hAnsi="ITC Avant Garde"/>
          <w:lang w:val="es-ES" w:eastAsia="es-ES"/>
        </w:rPr>
        <w:t>s</w:t>
      </w:r>
      <w:r w:rsidRPr="001C10FE">
        <w:rPr>
          <w:rFonts w:ascii="ITC Avant Garde" w:eastAsia="Times New Roman" w:hAnsi="ITC Avant Garde"/>
          <w:lang w:val="es-ES" w:eastAsia="es-ES"/>
        </w:rPr>
        <w:t xml:space="preserve"> “Solicitud</w:t>
      </w:r>
      <w:r w:rsidR="000F48B3" w:rsidRPr="001C10FE">
        <w:rPr>
          <w:rFonts w:ascii="ITC Avant Garde" w:eastAsia="Times New Roman" w:hAnsi="ITC Avant Garde"/>
          <w:lang w:val="es-ES" w:eastAsia="es-ES"/>
        </w:rPr>
        <w:t>es</w:t>
      </w:r>
      <w:r w:rsidRPr="001C10FE">
        <w:rPr>
          <w:rFonts w:ascii="ITC Avant Garde" w:eastAsia="Times New Roman" w:hAnsi="ITC Avant Garde"/>
          <w:lang w:val="es-ES" w:eastAsia="es-ES"/>
        </w:rPr>
        <w:t xml:space="preserve"> de Resolución”).</w:t>
      </w:r>
    </w:p>
    <w:p w14:paraId="07B0AAAD" w14:textId="77777777" w:rsidR="00866C94" w:rsidRDefault="00791BFC" w:rsidP="00866C94">
      <w:pPr>
        <w:tabs>
          <w:tab w:val="left" w:pos="142"/>
        </w:tabs>
        <w:spacing w:before="240"/>
        <w:ind w:left="709" w:right="23"/>
        <w:jc w:val="both"/>
        <w:rPr>
          <w:rFonts w:ascii="ITC Avant Garde" w:hAnsi="ITC Avant Garde" w:cs="Arial"/>
          <w:bCs/>
        </w:rPr>
      </w:pPr>
      <w:r w:rsidRPr="001C10FE">
        <w:rPr>
          <w:rFonts w:ascii="ITC Avant Garde" w:hAnsi="ITC Avant Garde" w:cs="Arial"/>
          <w:bCs/>
        </w:rPr>
        <w:t>Las Solicitudes de Resolución se admitieron a trámite asignándoles los números de expediente IFT/221/UPR/DG-RIRST/102.150716/ITX, IFT/221/UPR/DG-RIRST/103.150716/ITX, IFT/221/UPR/DG-RIRST/107.150716/ITX, IFT/221/UPR/DG-RIRST/108.150716/ITX, IFT/221/UPR/DG-RIRST/111.150716/ITX e IFT/221/UPR/DG-RIRST/112.150716/ITX mismos que quedaron posteriormente acumulados al primero. Dichos procedimientos fueron sustanciados en todas y cada una de sus etapas en estricto apego a lo establecido en el artículo 129 de la Ley Federal de Telecomunicaciones y Radiodifusión (en lo sucesivo, la “</w:t>
      </w:r>
      <w:proofErr w:type="spellStart"/>
      <w:r w:rsidRPr="001C10FE">
        <w:rPr>
          <w:rFonts w:ascii="ITC Avant Garde" w:hAnsi="ITC Avant Garde" w:cs="Arial"/>
          <w:bCs/>
        </w:rPr>
        <w:t>LFTyR</w:t>
      </w:r>
      <w:proofErr w:type="spellEnd"/>
      <w:r w:rsidRPr="001C10FE">
        <w:rPr>
          <w:rFonts w:ascii="ITC Avant Garde" w:hAnsi="ITC Avant Garde" w:cs="Arial"/>
          <w:bCs/>
        </w:rPr>
        <w:t>”). Lo cual se encuentra plenamente documentado en las constancias que integran el expediente administrativo en comento, mismo que ha estado en todo momento a disposición de las partes, las cuales tienen pleno conocimiento de su contenido.</w:t>
      </w:r>
    </w:p>
    <w:p w14:paraId="03B0DDF4" w14:textId="77777777" w:rsidR="00866C94" w:rsidRDefault="00242910" w:rsidP="00866C94">
      <w:pPr>
        <w:spacing w:before="240"/>
        <w:ind w:left="680"/>
        <w:jc w:val="both"/>
        <w:rPr>
          <w:rFonts w:ascii="ITC Avant Garde" w:hAnsi="ITC Avant Garde"/>
        </w:rPr>
      </w:pPr>
      <w:r w:rsidRPr="001C10FE">
        <w:rPr>
          <w:rFonts w:ascii="ITC Avant Garde" w:hAnsi="ITC Avant Garde"/>
        </w:rPr>
        <w:t xml:space="preserve">Por lo anterior, y derivado de la acumulación de expedientes, así como de las fusiones señaladas en el Antecedente III anterior, para efectos de la presente Resolución se identificará a las empresas que conforman Cablevisión Red, Grupo Televisa y Grupo </w:t>
      </w:r>
      <w:proofErr w:type="spellStart"/>
      <w:r w:rsidRPr="001C10FE">
        <w:rPr>
          <w:rFonts w:ascii="ITC Avant Garde" w:hAnsi="ITC Avant Garde"/>
        </w:rPr>
        <w:t>Cablecom</w:t>
      </w:r>
      <w:proofErr w:type="spellEnd"/>
      <w:r w:rsidRPr="001C10FE">
        <w:rPr>
          <w:rFonts w:ascii="ITC Avant Garde" w:hAnsi="ITC Avant Garde"/>
        </w:rPr>
        <w:t xml:space="preserve">, </w:t>
      </w:r>
      <w:r w:rsidR="002B4E40" w:rsidRPr="001C10FE">
        <w:rPr>
          <w:rFonts w:ascii="ITC Avant Garde" w:hAnsi="ITC Avant Garde"/>
        </w:rPr>
        <w:t>(</w:t>
      </w:r>
      <w:r w:rsidRPr="001C10FE">
        <w:rPr>
          <w:rFonts w:ascii="ITC Avant Garde" w:hAnsi="ITC Avant Garde"/>
        </w:rPr>
        <w:t>en lo sucesivo, de manera conjunta como “Televisa”</w:t>
      </w:r>
      <w:r w:rsidR="002B4E40" w:rsidRPr="001C10FE">
        <w:rPr>
          <w:rFonts w:ascii="ITC Avant Garde" w:hAnsi="ITC Avant Garde"/>
        </w:rPr>
        <w:t>)</w:t>
      </w:r>
      <w:r w:rsidRPr="001C10FE">
        <w:rPr>
          <w:rFonts w:ascii="ITC Avant Garde" w:hAnsi="ITC Avant Garde"/>
        </w:rPr>
        <w:t>.</w:t>
      </w:r>
    </w:p>
    <w:p w14:paraId="29155E10" w14:textId="77777777" w:rsidR="00866C94" w:rsidRDefault="007A2313" w:rsidP="00866C94">
      <w:pPr>
        <w:spacing w:before="240"/>
        <w:ind w:left="709" w:hanging="29"/>
        <w:jc w:val="both"/>
        <w:rPr>
          <w:rFonts w:ascii="ITC Avant Garde" w:eastAsia="Times New Roman" w:hAnsi="ITC Avant Garde"/>
          <w:lang w:val="es-ES" w:eastAsia="es-ES"/>
        </w:rPr>
      </w:pPr>
      <w:r w:rsidRPr="001C10FE">
        <w:rPr>
          <w:rFonts w:ascii="ITC Avant Garde" w:eastAsia="Times New Roman" w:hAnsi="ITC Avant Garde"/>
          <w:bCs/>
          <w:lang w:val="es-ES" w:eastAsia="es-ES"/>
        </w:rPr>
        <w:t xml:space="preserve">Es así que con fecha </w:t>
      </w:r>
      <w:r w:rsidR="00941F0F" w:rsidRPr="001C10FE">
        <w:rPr>
          <w:rFonts w:ascii="ITC Avant Garde" w:eastAsia="Times New Roman" w:hAnsi="ITC Avant Garde"/>
          <w:bCs/>
          <w:lang w:val="es-ES" w:eastAsia="es-ES"/>
        </w:rPr>
        <w:t>28 de octubre</w:t>
      </w:r>
      <w:r w:rsidR="00EE71E3" w:rsidRPr="001C10FE">
        <w:rPr>
          <w:rFonts w:ascii="ITC Avant Garde" w:eastAsia="Times New Roman" w:hAnsi="ITC Avant Garde"/>
          <w:bCs/>
          <w:lang w:val="es-ES" w:eastAsia="es-ES"/>
        </w:rPr>
        <w:t xml:space="preserve"> del presente año, el Instituto notificó a </w:t>
      </w:r>
      <w:r w:rsidR="0096277B" w:rsidRPr="001C10FE">
        <w:rPr>
          <w:rFonts w:ascii="ITC Avant Garde" w:eastAsia="Times New Roman" w:hAnsi="ITC Avant Garde"/>
          <w:bCs/>
          <w:lang w:val="es-ES" w:eastAsia="es-ES"/>
        </w:rPr>
        <w:t>las partes</w:t>
      </w:r>
      <w:r w:rsidR="00113106" w:rsidRPr="001C10FE">
        <w:rPr>
          <w:rFonts w:ascii="ITC Avant Garde" w:eastAsia="Times New Roman" w:hAnsi="ITC Avant Garde"/>
          <w:lang w:val="es-ES" w:eastAsia="es-ES"/>
        </w:rPr>
        <w:t xml:space="preserve">, </w:t>
      </w:r>
      <w:r w:rsidRPr="001C10FE">
        <w:rPr>
          <w:rFonts w:ascii="ITC Avant Garde" w:eastAsia="Times New Roman" w:hAnsi="ITC Avant Garde"/>
          <w:lang w:val="es-ES" w:eastAsia="es-ES"/>
        </w:rPr>
        <w:t>que el procedimiento guardaba estado para que el Pleno del Instituto dictas</w:t>
      </w:r>
      <w:r w:rsidR="00952C3A" w:rsidRPr="001C10FE">
        <w:rPr>
          <w:rFonts w:ascii="ITC Avant Garde" w:eastAsia="Times New Roman" w:hAnsi="ITC Avant Garde"/>
          <w:lang w:val="es-ES" w:eastAsia="es-ES"/>
        </w:rPr>
        <w:t>e la resolución correspondiente.</w:t>
      </w:r>
    </w:p>
    <w:p w14:paraId="59EC4F3B" w14:textId="77777777" w:rsidR="00866C94" w:rsidRDefault="00487397" w:rsidP="00866C94">
      <w:pPr>
        <w:pStyle w:val="Prrafodelista"/>
        <w:numPr>
          <w:ilvl w:val="0"/>
          <w:numId w:val="1"/>
        </w:numPr>
        <w:tabs>
          <w:tab w:val="clear" w:pos="1106"/>
          <w:tab w:val="num" w:pos="680"/>
        </w:tabs>
        <w:spacing w:before="240" w:after="200" w:line="276" w:lineRule="auto"/>
        <w:ind w:left="680"/>
        <w:rPr>
          <w:rFonts w:ascii="ITC Avant Garde" w:eastAsia="Calibri" w:hAnsi="ITC Avant Garde"/>
          <w:bCs/>
          <w:szCs w:val="22"/>
          <w:lang w:val="es-ES"/>
        </w:rPr>
      </w:pPr>
      <w:r w:rsidRPr="001C10FE">
        <w:rPr>
          <w:rFonts w:ascii="ITC Avant Garde" w:eastAsia="Calibri" w:hAnsi="ITC Avant Garde"/>
          <w:b/>
          <w:bCs/>
          <w:szCs w:val="22"/>
          <w:lang w:val="es-ES"/>
        </w:rPr>
        <w:t xml:space="preserve">Publicación de las Condiciones Técnicas Mínimas y las Tarifas de Interconexión para el año 2017. </w:t>
      </w:r>
      <w:r w:rsidR="00BE766F" w:rsidRPr="001C10FE">
        <w:rPr>
          <w:rFonts w:ascii="ITC Avant Garde" w:eastAsia="Calibri" w:hAnsi="ITC Avant Garde"/>
          <w:bCs/>
          <w:szCs w:val="22"/>
          <w:lang w:val="es-ES"/>
        </w:rPr>
        <w:t>El 3 de octubre de 2016</w:t>
      </w:r>
      <w:r w:rsidRPr="001C10FE">
        <w:rPr>
          <w:rFonts w:ascii="ITC Avant Garde" w:eastAsia="Calibri" w:hAnsi="ITC Avant Garde"/>
          <w:bCs/>
          <w:szCs w:val="22"/>
          <w:lang w:val="es-ES"/>
        </w:rPr>
        <w:t xml:space="preserve"> se publicó en el DOF el “</w:t>
      </w:r>
      <w:r w:rsidRPr="001C10FE">
        <w:rPr>
          <w:rFonts w:ascii="ITC Avant Garde" w:eastAsia="Calibri" w:hAnsi="ITC Avant Garde"/>
          <w:bCs/>
          <w:i/>
          <w:szCs w:val="22"/>
          <w:lang w:val="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1C10FE">
        <w:rPr>
          <w:rFonts w:ascii="ITC Avant Garde" w:eastAsia="Calibri" w:hAnsi="ITC Avant Garde"/>
          <w:bCs/>
          <w:szCs w:val="22"/>
          <w:lang w:val="es-ES"/>
        </w:rPr>
        <w:t>”, aprobado mediante Acuerdo P/IFT/200916/503 (en lo sucesivo, el “Acuerdo de CTM y Tarifas 2017”).</w:t>
      </w:r>
    </w:p>
    <w:p w14:paraId="64C76282" w14:textId="77777777" w:rsidR="00866C94" w:rsidRDefault="007A2313" w:rsidP="00866C94">
      <w:pPr>
        <w:widowControl w:val="0"/>
        <w:spacing w:before="240"/>
        <w:jc w:val="both"/>
        <w:rPr>
          <w:rFonts w:ascii="ITC Avant Garde" w:eastAsia="Times New Roman" w:hAnsi="ITC Avant Garde"/>
          <w:lang w:eastAsia="es-ES"/>
        </w:rPr>
      </w:pPr>
      <w:r w:rsidRPr="001C10FE">
        <w:rPr>
          <w:rFonts w:ascii="ITC Avant Garde" w:eastAsia="Times New Roman" w:hAnsi="ITC Avant Garde"/>
          <w:lang w:eastAsia="es-ES"/>
        </w:rPr>
        <w:t>En virtud de los referidos Antecedentes, y</w:t>
      </w:r>
    </w:p>
    <w:p w14:paraId="71CDB84C" w14:textId="7C4E595E" w:rsidR="00866C94" w:rsidRPr="00866C94" w:rsidRDefault="00F11878" w:rsidP="00866C94">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0" w:name="HipótesisNormativa"/>
      <w:r w:rsidRPr="00866C94">
        <w:rPr>
          <w:rFonts w:ascii="ITC Avant Garde" w:eastAsiaTheme="majorEastAsia" w:hAnsi="ITC Avant Garde" w:cstheme="majorBidi"/>
          <w:color w:val="000000" w:themeColor="text1"/>
          <w:szCs w:val="22"/>
        </w:rPr>
        <w:t>CONSIDERANDO</w:t>
      </w:r>
    </w:p>
    <w:p w14:paraId="115197C4" w14:textId="77777777" w:rsidR="00866C94" w:rsidRDefault="00487397" w:rsidP="00866C94">
      <w:pPr>
        <w:pStyle w:val="Textoindependiente"/>
        <w:spacing w:before="240" w:after="200" w:line="276" w:lineRule="auto"/>
        <w:rPr>
          <w:rFonts w:ascii="ITC Avant Garde" w:hAnsi="ITC Avant Garde" w:cs="Arial"/>
          <w:bCs/>
          <w:szCs w:val="22"/>
        </w:rPr>
      </w:pPr>
      <w:bookmarkStart w:id="1" w:name="primero"/>
      <w:bookmarkStart w:id="2" w:name="quinto"/>
      <w:r w:rsidRPr="001C10FE">
        <w:rPr>
          <w:rFonts w:ascii="ITC Avant Garde" w:hAnsi="ITC Avant Garde" w:cs="Arial"/>
          <w:b/>
          <w:bCs/>
          <w:lang w:val="es-ES"/>
        </w:rPr>
        <w:t>PRIMERO.- Competencia del Instituto</w:t>
      </w:r>
      <w:r w:rsidRPr="001C10FE">
        <w:rPr>
          <w:rFonts w:ascii="ITC Avant Garde" w:hAnsi="ITC Avant Garde" w:cs="Arial"/>
          <w:bCs/>
          <w:lang w:val="es-ES"/>
        </w:rPr>
        <w:t xml:space="preserve">. </w:t>
      </w:r>
      <w:r w:rsidRPr="001C10FE">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1C10FE">
        <w:rPr>
          <w:rFonts w:ascii="ITC Avant Garde" w:hAnsi="ITC Avant Garde" w:cs="Arial"/>
          <w:bCs/>
          <w:szCs w:val="22"/>
        </w:rPr>
        <w:t xml:space="preserve">y 7 de la </w:t>
      </w:r>
      <w:proofErr w:type="spellStart"/>
      <w:r w:rsidRPr="001C10FE">
        <w:rPr>
          <w:rFonts w:ascii="ITC Avant Garde" w:hAnsi="ITC Avant Garde" w:cs="Arial"/>
          <w:bCs/>
          <w:szCs w:val="22"/>
        </w:rPr>
        <w:t>LFTyR</w:t>
      </w:r>
      <w:proofErr w:type="spellEnd"/>
      <w:r w:rsidRPr="001C10FE">
        <w:rPr>
          <w:rFonts w:ascii="ITC Avant Garde" w:hAnsi="ITC Avant Garde" w:cs="Arial"/>
          <w:bCs/>
          <w:szCs w:val="22"/>
        </w:rPr>
        <w:t xml:space="preserve">; el Instituto es un órgano público autónomo, independiente en sus decisiones y funcionamiento, con </w:t>
      </w:r>
      <w:r w:rsidRPr="001C10FE">
        <w:rPr>
          <w:rFonts w:ascii="ITC Avant Garde" w:hAnsi="ITC Avant Garde" w:cs="Arial"/>
          <w:bCs/>
          <w:szCs w:val="22"/>
        </w:rPr>
        <w:lastRenderedPageBreak/>
        <w:t xml:space="preserve">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1C10FE">
        <w:rPr>
          <w:rFonts w:ascii="ITC Avant Garde" w:hAnsi="ITC Avant Garde" w:cs="Arial"/>
          <w:bCs/>
          <w:szCs w:val="22"/>
        </w:rPr>
        <w:t>LFTyR</w:t>
      </w:r>
      <w:proofErr w:type="spellEnd"/>
      <w:r w:rsidRPr="001C10FE">
        <w:rPr>
          <w:rFonts w:ascii="ITC Avant Garde" w:hAnsi="ITC Avant Garde" w:cs="Arial"/>
          <w:bCs/>
          <w:szCs w:val="22"/>
        </w:rPr>
        <w:t xml:space="preserve"> y demás disposiciones aplicables. </w:t>
      </w:r>
    </w:p>
    <w:p w14:paraId="382CEC4C" w14:textId="77777777" w:rsidR="00866C94" w:rsidRDefault="00487397" w:rsidP="00866C94">
      <w:pPr>
        <w:pStyle w:val="Textoindependiente"/>
        <w:spacing w:before="240" w:after="200" w:line="276" w:lineRule="auto"/>
        <w:rPr>
          <w:rFonts w:ascii="ITC Avant Garde" w:hAnsi="ITC Avant Garde" w:cs="Arial"/>
          <w:bCs/>
          <w:szCs w:val="22"/>
        </w:rPr>
      </w:pPr>
      <w:r w:rsidRPr="001C10FE">
        <w:rPr>
          <w:rFonts w:ascii="ITC Avant Garde" w:hAnsi="ITC Avant Garde" w:cs="Arial"/>
          <w:bCs/>
          <w:szCs w:val="22"/>
          <w:lang w:val="es-ES"/>
        </w:rPr>
        <w:t xml:space="preserve">Con fundamento </w:t>
      </w:r>
      <w:r w:rsidRPr="001C10FE">
        <w:rPr>
          <w:rFonts w:ascii="ITC Avant Garde" w:hAnsi="ITC Avant Garde" w:cs="Arial"/>
          <w:bCs/>
          <w:szCs w:val="22"/>
        </w:rPr>
        <w:t xml:space="preserve">en los artículos 7, 15, fracción X, 17, fracción I y 129 de la </w:t>
      </w:r>
      <w:proofErr w:type="spellStart"/>
      <w:r w:rsidRPr="001C10FE">
        <w:rPr>
          <w:rFonts w:ascii="ITC Avant Garde" w:hAnsi="ITC Avant Garde" w:cs="Arial"/>
          <w:bCs/>
          <w:szCs w:val="22"/>
        </w:rPr>
        <w:t>LFTyR</w:t>
      </w:r>
      <w:proofErr w:type="spellEnd"/>
      <w:r w:rsidRPr="001C10FE">
        <w:rPr>
          <w:rFonts w:ascii="ITC Avant Garde" w:hAnsi="ITC Avant Garde" w:cs="Arial"/>
          <w:bCs/>
          <w:szCs w:val="22"/>
        </w:rPr>
        <w:t>,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61E98293" w14:textId="77777777" w:rsidR="00866C94" w:rsidRDefault="00487397" w:rsidP="00866C94">
      <w:pPr>
        <w:pStyle w:val="Textoindependiente"/>
        <w:spacing w:before="240" w:after="200" w:line="276" w:lineRule="auto"/>
        <w:rPr>
          <w:rFonts w:ascii="ITC Avant Garde" w:hAnsi="ITC Avant Garde"/>
          <w:szCs w:val="22"/>
        </w:rPr>
      </w:pPr>
      <w:r w:rsidRPr="001C10FE">
        <w:rPr>
          <w:rFonts w:ascii="ITC Avant Garde" w:hAnsi="ITC Avant Garde"/>
          <w:szCs w:val="22"/>
        </w:rPr>
        <w:t xml:space="preserve">Por lo anterior y de conformidad con lo dispuesto en los artículos indicados, el Pleno del Instituto es competente para emitir la presente Resolución que determina los términos, condiciones y tarifas de interconexión no convenidas entre los concesionarios </w:t>
      </w:r>
      <w:r w:rsidR="00374E10" w:rsidRPr="001C10FE">
        <w:rPr>
          <w:rFonts w:ascii="ITC Avant Garde" w:hAnsi="ITC Avant Garde"/>
          <w:szCs w:val="22"/>
        </w:rPr>
        <w:t xml:space="preserve">que operen </w:t>
      </w:r>
      <w:r w:rsidRPr="001C10FE">
        <w:rPr>
          <w:rFonts w:ascii="ITC Avant Garde" w:hAnsi="ITC Avant Garde"/>
          <w:szCs w:val="22"/>
        </w:rPr>
        <w:t>redes públicas de telecomunicaciones, que forman parte en el presente procedimiento.</w:t>
      </w:r>
      <w:bookmarkEnd w:id="1"/>
    </w:p>
    <w:p w14:paraId="6CB74ECC" w14:textId="77777777" w:rsidR="00866C94" w:rsidRDefault="00487397" w:rsidP="00866C94">
      <w:pPr>
        <w:autoSpaceDE w:val="0"/>
        <w:autoSpaceDN w:val="0"/>
        <w:spacing w:before="240"/>
        <w:jc w:val="both"/>
        <w:rPr>
          <w:rFonts w:ascii="ITC Avant Garde" w:hAnsi="ITC Avant Garde"/>
          <w:lang w:eastAsia="es-ES"/>
        </w:rPr>
      </w:pPr>
      <w:bookmarkStart w:id="3" w:name="segundo"/>
      <w:r w:rsidRPr="001C10FE">
        <w:rPr>
          <w:rFonts w:ascii="ITC Avant Garde" w:eastAsia="Times New Roman" w:hAnsi="ITC Avant Garde" w:cs="Arial"/>
          <w:b/>
          <w:szCs w:val="20"/>
        </w:rPr>
        <w:t>SEGUNDO.- Importancia y obligatoriedad de la interconexión e Interés Público.-</w:t>
      </w:r>
      <w:r w:rsidRPr="001C10FE">
        <w:rPr>
          <w:rFonts w:ascii="ITC Avant Garde" w:eastAsia="Times New Roman" w:hAnsi="ITC Avant Garde" w:cs="Arial"/>
          <w:szCs w:val="20"/>
        </w:rPr>
        <w:t xml:space="preserve"> </w:t>
      </w:r>
      <w:r w:rsidRPr="001C10FE">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53158281" w14:textId="77777777" w:rsidR="00866C94" w:rsidRDefault="00487397" w:rsidP="00866C94">
      <w:pPr>
        <w:pStyle w:val="Textoindependiente"/>
        <w:spacing w:before="240" w:after="200" w:line="276" w:lineRule="auto"/>
        <w:rPr>
          <w:rFonts w:ascii="ITC Avant Garde" w:hAnsi="ITC Avant Garde"/>
        </w:rPr>
      </w:pPr>
      <w:r w:rsidRPr="001C10FE">
        <w:rPr>
          <w:rFonts w:ascii="ITC Avant Garde" w:hAnsi="ITC Avant Garde"/>
        </w:rPr>
        <w:t xml:space="preserve">Por su parte el artículo 2 de la </w:t>
      </w:r>
      <w:proofErr w:type="spellStart"/>
      <w:r w:rsidRPr="001C10FE">
        <w:rPr>
          <w:rFonts w:ascii="ITC Avant Garde" w:hAnsi="ITC Avant Garde"/>
        </w:rPr>
        <w:t>LFTyR</w:t>
      </w:r>
      <w:proofErr w:type="spellEnd"/>
      <w:r w:rsidRPr="001C10FE">
        <w:rPr>
          <w:rFonts w:ascii="ITC Avant Garde" w:hAnsi="ITC Avant Garde"/>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1C10FE">
        <w:rPr>
          <w:rFonts w:ascii="ITC Avant Garde" w:hAnsi="ITC Avant Garde"/>
        </w:rPr>
        <w:t>LFTyR</w:t>
      </w:r>
      <w:proofErr w:type="spellEnd"/>
      <w:r w:rsidRPr="001C10FE">
        <w:rPr>
          <w:rFonts w:ascii="ITC Avant Garde" w:hAnsi="ITC Avant Garde"/>
        </w:rPr>
        <w:t>.</w:t>
      </w:r>
    </w:p>
    <w:p w14:paraId="562DC2B6" w14:textId="77777777" w:rsidR="00866C94" w:rsidRDefault="00487397" w:rsidP="00866C94">
      <w:pPr>
        <w:pStyle w:val="Textoindependiente"/>
        <w:spacing w:before="240" w:after="200" w:line="276" w:lineRule="auto"/>
        <w:rPr>
          <w:rFonts w:ascii="ITC Avant Garde" w:hAnsi="ITC Avant Garde" w:cs="Arial"/>
          <w:szCs w:val="22"/>
        </w:rPr>
      </w:pPr>
      <w:r w:rsidRPr="001C10FE">
        <w:rPr>
          <w:rFonts w:ascii="ITC Avant Garde" w:hAnsi="ITC Avant Garde" w:cs="Arial"/>
          <w:szCs w:val="22"/>
        </w:rPr>
        <w:t xml:space="preserve">Por ello, el legislador estableció (i) la obligación de todos los concesionarios </w:t>
      </w:r>
      <w:r w:rsidR="00374E10" w:rsidRPr="001C10FE">
        <w:rPr>
          <w:rFonts w:ascii="ITC Avant Garde" w:hAnsi="ITC Avant Garde" w:cs="Arial"/>
          <w:szCs w:val="22"/>
        </w:rPr>
        <w:t xml:space="preserve">que operen </w:t>
      </w:r>
      <w:r w:rsidRPr="001C10FE">
        <w:rPr>
          <w:rFonts w:ascii="ITC Avant Garde" w:hAnsi="ITC Avant Garde" w:cs="Arial"/>
          <w:szCs w:val="22"/>
        </w:rPr>
        <w:t xml:space="preserve">redes públicas de telecomunicaciones de adoptar diseños de arquitectura abierta para garantizar la interconexión e interoperabilidad de sus redes, contenida en el artículo 124 de la </w:t>
      </w:r>
      <w:proofErr w:type="spellStart"/>
      <w:r w:rsidRPr="001C10FE">
        <w:rPr>
          <w:rFonts w:ascii="ITC Avant Garde" w:hAnsi="ITC Avant Garde" w:cs="Arial"/>
          <w:szCs w:val="22"/>
        </w:rPr>
        <w:t>LFTyR</w:t>
      </w:r>
      <w:proofErr w:type="spellEnd"/>
      <w:r w:rsidRPr="001C10FE">
        <w:rPr>
          <w:rFonts w:ascii="ITC Avant Garde" w:hAnsi="ITC Avant Garde" w:cs="Arial"/>
          <w:szCs w:val="22"/>
        </w:rPr>
        <w:t xml:space="preserve">, (ii) la obligación de los concesionarios </w:t>
      </w:r>
      <w:r w:rsidR="00374E10" w:rsidRPr="001C10FE">
        <w:rPr>
          <w:rFonts w:ascii="ITC Avant Garde" w:hAnsi="ITC Avant Garde" w:cs="Arial"/>
          <w:szCs w:val="22"/>
        </w:rPr>
        <w:t xml:space="preserve">que operen </w:t>
      </w:r>
      <w:r w:rsidRPr="001C10FE">
        <w:rPr>
          <w:rFonts w:ascii="ITC Avant Garde" w:hAnsi="ITC Avant Garde" w:cs="Arial"/>
          <w:szCs w:val="22"/>
        </w:rPr>
        <w:t xml:space="preserve">redes públicas de interconectar sus redes de conformidad con lo establecido en el artículo 125 de la </w:t>
      </w:r>
      <w:proofErr w:type="spellStart"/>
      <w:r w:rsidRPr="001C10FE">
        <w:rPr>
          <w:rFonts w:ascii="ITC Avant Garde" w:hAnsi="ITC Avant Garde" w:cs="Arial"/>
          <w:szCs w:val="22"/>
        </w:rPr>
        <w:t>LFTyR</w:t>
      </w:r>
      <w:proofErr w:type="spellEnd"/>
      <w:r w:rsidRPr="001C10FE">
        <w:rPr>
          <w:rFonts w:ascii="ITC Avant Garde" w:hAnsi="ITC Avant Garde" w:cs="Arial"/>
          <w:szCs w:val="22"/>
        </w:rPr>
        <w:t>, y (iii) que dicha interconexión se realice en condiciones no discriminatorias, transparentes y basadas en criterios objetivos.</w:t>
      </w:r>
    </w:p>
    <w:p w14:paraId="1D74DE74" w14:textId="77777777" w:rsidR="00866C94" w:rsidRDefault="00487397" w:rsidP="00866C94">
      <w:pPr>
        <w:pStyle w:val="Textoindependiente"/>
        <w:spacing w:before="240" w:after="200" w:line="276" w:lineRule="auto"/>
        <w:rPr>
          <w:rFonts w:ascii="ITC Avant Garde" w:hAnsi="ITC Avant Garde" w:cs="Arial"/>
          <w:szCs w:val="22"/>
        </w:rPr>
      </w:pPr>
      <w:r w:rsidRPr="001C10FE">
        <w:rPr>
          <w:rFonts w:ascii="ITC Avant Garde" w:hAnsi="ITC Avant Garde" w:cs="Arial"/>
        </w:rPr>
        <w:t>Ahora bien,</w:t>
      </w:r>
      <w:bookmarkEnd w:id="3"/>
      <w:r w:rsidRPr="001C10FE">
        <w:rPr>
          <w:rFonts w:ascii="ITC Avant Garde" w:hAnsi="ITC Avant Garde" w:cs="Arial"/>
        </w:rPr>
        <w:t xml:space="preserve"> </w:t>
      </w:r>
      <w:bookmarkStart w:id="4" w:name="tercero1"/>
      <w:r w:rsidRPr="001C10FE">
        <w:rPr>
          <w:rFonts w:ascii="ITC Avant Garde" w:hAnsi="ITC Avant Garde" w:cs="Arial"/>
          <w:szCs w:val="22"/>
        </w:rPr>
        <w:t xml:space="preserve">el artículo 129 de la </w:t>
      </w:r>
      <w:proofErr w:type="spellStart"/>
      <w:r w:rsidRPr="001C10FE">
        <w:rPr>
          <w:rFonts w:ascii="ITC Avant Garde" w:hAnsi="ITC Avant Garde" w:cs="Arial"/>
          <w:szCs w:val="22"/>
        </w:rPr>
        <w:t>LFTyR</w:t>
      </w:r>
      <w:proofErr w:type="spellEnd"/>
      <w:r w:rsidRPr="001C10FE">
        <w:rPr>
          <w:rFonts w:ascii="ITC Avant Garde" w:hAnsi="ITC Avant Garde" w:cs="Arial"/>
          <w:szCs w:val="22"/>
        </w:rPr>
        <w:t xml:space="preserve"> regula el procedimiento que ha de observar el Instituto a efecto de determinar las condiciones no convenidas. Para estos fines dispone que los concesionarios que operen redes públicas de telecomunicaciones, deberán </w:t>
      </w:r>
      <w:r w:rsidRPr="001C10FE">
        <w:rPr>
          <w:rFonts w:ascii="ITC Avant Garde" w:hAnsi="ITC Avant Garde" w:cs="Arial"/>
          <w:szCs w:val="22"/>
        </w:rPr>
        <w:lastRenderedPageBreak/>
        <w:t xml:space="preserve">interconectar sus redes, y a tal efecto, suscribir un convenio en un plazo no mayor de sesenta días naturales contados a partir de que sea presentada la solicitud correspondiente. Esto es, los concesionarios </w:t>
      </w:r>
      <w:r w:rsidR="00374E10" w:rsidRPr="001C10FE">
        <w:rPr>
          <w:rFonts w:ascii="ITC Avant Garde" w:hAnsi="ITC Avant Garde" w:cs="Arial"/>
          <w:szCs w:val="22"/>
        </w:rPr>
        <w:t xml:space="preserve">que operen </w:t>
      </w:r>
      <w:r w:rsidRPr="001C10FE">
        <w:rPr>
          <w:rFonts w:ascii="ITC Avant Garde" w:hAnsi="ITC Avant Garde" w:cs="Arial"/>
          <w:szCs w:val="22"/>
        </w:rPr>
        <w:t>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4"/>
    <w:p w14:paraId="7A7BC42A" w14:textId="77777777" w:rsidR="00866C94" w:rsidRDefault="00487397" w:rsidP="00866C94">
      <w:pPr>
        <w:pStyle w:val="Textoindependiente"/>
        <w:spacing w:before="240" w:after="200" w:line="276" w:lineRule="auto"/>
        <w:rPr>
          <w:rFonts w:ascii="ITC Avant Garde" w:hAnsi="ITC Avant Garde" w:cs="Arial"/>
          <w:szCs w:val="22"/>
        </w:rPr>
      </w:pPr>
      <w:r w:rsidRPr="001C10FE">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1C10FE">
        <w:rPr>
          <w:rFonts w:ascii="ITC Avant Garde" w:hAnsi="ITC Avant Garde" w:cs="Arial"/>
          <w:szCs w:val="22"/>
        </w:rPr>
        <w:t>concluido el periodo de sesenta (60) días naturales.</w:t>
      </w:r>
    </w:p>
    <w:p w14:paraId="1631D776" w14:textId="77777777" w:rsidR="00866C94" w:rsidRDefault="00054805" w:rsidP="00866C94">
      <w:pPr>
        <w:pStyle w:val="Textoindependiente"/>
        <w:spacing w:before="240" w:after="200" w:line="276" w:lineRule="auto"/>
        <w:rPr>
          <w:rFonts w:ascii="ITC Avant Garde" w:hAnsi="ITC Avant Garde" w:cs="Arial"/>
          <w:spacing w:val="-2"/>
          <w:szCs w:val="22"/>
        </w:rPr>
      </w:pPr>
      <w:r w:rsidRPr="001C10FE">
        <w:rPr>
          <w:rFonts w:ascii="ITC Avant Garde" w:hAnsi="ITC Avant Garde" w:cs="Arial"/>
          <w:spacing w:val="-2"/>
          <w:szCs w:val="22"/>
        </w:rPr>
        <w:t xml:space="preserve">En consecuencia, en autos está acreditado que </w:t>
      </w:r>
      <w:r w:rsidR="00BE766F" w:rsidRPr="001C10FE">
        <w:rPr>
          <w:rFonts w:ascii="ITC Avant Garde" w:hAnsi="ITC Avant Garde" w:cs="Arial"/>
          <w:spacing w:val="-2"/>
          <w:szCs w:val="22"/>
        </w:rPr>
        <w:t>Televisa</w:t>
      </w:r>
      <w:r w:rsidR="0095568A" w:rsidRPr="001C10FE">
        <w:rPr>
          <w:rFonts w:ascii="ITC Avant Garde" w:hAnsi="ITC Avant Garde" w:cs="Arial"/>
          <w:spacing w:val="-2"/>
          <w:szCs w:val="22"/>
        </w:rPr>
        <w:t>,</w:t>
      </w:r>
      <w:r w:rsidR="00952C3A" w:rsidRPr="001C10FE">
        <w:rPr>
          <w:rFonts w:ascii="ITC Avant Garde" w:hAnsi="ITC Avant Garde" w:cs="Arial"/>
          <w:spacing w:val="-2"/>
          <w:szCs w:val="22"/>
        </w:rPr>
        <w:t xml:space="preserve"> </w:t>
      </w:r>
      <w:r w:rsidR="000F48B3" w:rsidRPr="001C10FE">
        <w:rPr>
          <w:rFonts w:ascii="ITC Avant Garde" w:hAnsi="ITC Avant Garde"/>
          <w:lang w:val="es-ES" w:eastAsia="es-ES"/>
        </w:rPr>
        <w:t xml:space="preserve">GTM y Pegaso </w:t>
      </w:r>
      <w:r w:rsidRPr="001C10FE">
        <w:rPr>
          <w:rFonts w:ascii="ITC Avant Garde" w:hAnsi="ITC Avant Garde" w:cs="Arial"/>
          <w:spacing w:val="-2"/>
          <w:szCs w:val="22"/>
        </w:rPr>
        <w:t xml:space="preserve">tienen el carácter de concesionarios que operan una red pública de telecomunicaciones y que efectivamente </w:t>
      </w:r>
      <w:r w:rsidR="00BE766F" w:rsidRPr="001C10FE">
        <w:rPr>
          <w:rFonts w:ascii="ITC Avant Garde" w:hAnsi="ITC Avant Garde" w:cs="Arial"/>
          <w:spacing w:val="-2"/>
          <w:szCs w:val="22"/>
        </w:rPr>
        <w:t>Televisa</w:t>
      </w:r>
      <w:r w:rsidRPr="001C10FE">
        <w:rPr>
          <w:rFonts w:ascii="ITC Avant Garde" w:hAnsi="ITC Avant Garde" w:cs="Arial"/>
          <w:spacing w:val="-2"/>
          <w:szCs w:val="22"/>
        </w:rPr>
        <w:t xml:space="preserve"> requirió a </w:t>
      </w:r>
      <w:r w:rsidR="000F48B3" w:rsidRPr="001C10FE">
        <w:rPr>
          <w:rFonts w:ascii="ITC Avant Garde" w:hAnsi="ITC Avant Garde"/>
          <w:lang w:val="es-ES" w:eastAsia="es-ES"/>
        </w:rPr>
        <w:t>GTM y Pegaso</w:t>
      </w:r>
      <w:r w:rsidR="00DC5789" w:rsidRPr="001C10FE">
        <w:rPr>
          <w:rFonts w:ascii="ITC Avant Garde" w:hAnsi="ITC Avant Garde"/>
          <w:lang w:val="es-ES" w:eastAsia="es-ES"/>
        </w:rPr>
        <w:t xml:space="preserve"> </w:t>
      </w:r>
      <w:r w:rsidRPr="001C10FE">
        <w:rPr>
          <w:rFonts w:ascii="ITC Avant Garde" w:hAnsi="ITC Avant Garde" w:cs="Arial"/>
          <w:spacing w:val="-2"/>
          <w:szCs w:val="22"/>
        </w:rPr>
        <w:t xml:space="preserve">el inicio de negociaciones para convenir los términos, condiciones y tarifas de interconexión, según se desprende de los Antecedentes I, II, </w:t>
      </w:r>
      <w:r w:rsidR="00AC0A46" w:rsidRPr="001C10FE">
        <w:rPr>
          <w:rFonts w:ascii="ITC Avant Garde" w:hAnsi="ITC Avant Garde" w:cs="Arial"/>
          <w:spacing w:val="-2"/>
          <w:szCs w:val="22"/>
        </w:rPr>
        <w:t>III, IV,</w:t>
      </w:r>
      <w:r w:rsidR="00487397" w:rsidRPr="001C10FE">
        <w:rPr>
          <w:rFonts w:ascii="ITC Avant Garde" w:hAnsi="ITC Avant Garde" w:cs="Arial"/>
          <w:spacing w:val="-2"/>
          <w:szCs w:val="22"/>
        </w:rPr>
        <w:t xml:space="preserve"> V</w:t>
      </w:r>
      <w:r w:rsidR="00AC0A46" w:rsidRPr="001C10FE">
        <w:rPr>
          <w:rFonts w:ascii="ITC Avant Garde" w:hAnsi="ITC Avant Garde" w:cs="Arial"/>
          <w:spacing w:val="-2"/>
          <w:szCs w:val="22"/>
        </w:rPr>
        <w:t xml:space="preserve"> y VIII</w:t>
      </w:r>
      <w:r w:rsidRPr="001C10FE">
        <w:rPr>
          <w:rFonts w:ascii="ITC Avant Garde" w:hAnsi="ITC Avant Garde" w:cs="Arial"/>
          <w:spacing w:val="-2"/>
          <w:szCs w:val="22"/>
        </w:rPr>
        <w:t xml:space="preserve"> de la presente Resolución.</w:t>
      </w:r>
    </w:p>
    <w:p w14:paraId="19F9A5BB" w14:textId="77777777" w:rsidR="00866C94" w:rsidRDefault="00054805" w:rsidP="00866C94">
      <w:pPr>
        <w:pStyle w:val="Textoindependiente"/>
        <w:spacing w:before="240" w:after="200" w:line="276" w:lineRule="auto"/>
        <w:rPr>
          <w:rFonts w:ascii="ITC Avant Garde" w:hAnsi="ITC Avant Garde" w:cs="Arial"/>
          <w:szCs w:val="22"/>
        </w:rPr>
      </w:pPr>
      <w:r w:rsidRPr="001C10FE">
        <w:rPr>
          <w:rFonts w:ascii="ITC Avant Garde" w:hAnsi="ITC Avant Garde" w:cs="Arial"/>
          <w:szCs w:val="22"/>
        </w:rPr>
        <w:t xml:space="preserve">Por ello, conforme al artículo 124 de la </w:t>
      </w:r>
      <w:proofErr w:type="spellStart"/>
      <w:r w:rsidRPr="001C10FE">
        <w:rPr>
          <w:rFonts w:ascii="ITC Avant Garde" w:hAnsi="ITC Avant Garde" w:cs="Arial"/>
          <w:szCs w:val="22"/>
        </w:rPr>
        <w:t>LFTyR</w:t>
      </w:r>
      <w:proofErr w:type="spellEnd"/>
      <w:r w:rsidRPr="001C10FE">
        <w:rPr>
          <w:rFonts w:ascii="ITC Avant Garde" w:hAnsi="ITC Avant Garde" w:cs="Arial"/>
          <w:szCs w:val="22"/>
        </w:rPr>
        <w:t xml:space="preserve">, </w:t>
      </w:r>
      <w:r w:rsidR="00BE766F" w:rsidRPr="001C10FE">
        <w:rPr>
          <w:rFonts w:ascii="ITC Avant Garde" w:hAnsi="ITC Avant Garde" w:cs="Arial"/>
          <w:spacing w:val="-2"/>
          <w:szCs w:val="22"/>
        </w:rPr>
        <w:t>Televisa</w:t>
      </w:r>
      <w:r w:rsidR="00487397" w:rsidRPr="001C10FE">
        <w:rPr>
          <w:rFonts w:ascii="ITC Avant Garde" w:hAnsi="ITC Avant Garde" w:cs="Arial"/>
          <w:spacing w:val="-2"/>
          <w:szCs w:val="22"/>
        </w:rPr>
        <w:t xml:space="preserve"> y las empresas</w:t>
      </w:r>
      <w:r w:rsidR="00952C3A" w:rsidRPr="001C10FE">
        <w:rPr>
          <w:rFonts w:ascii="ITC Avant Garde" w:hAnsi="ITC Avant Garde" w:cs="Arial"/>
          <w:spacing w:val="-2"/>
          <w:szCs w:val="22"/>
        </w:rPr>
        <w:t xml:space="preserve"> </w:t>
      </w:r>
      <w:r w:rsidR="000F48B3" w:rsidRPr="001C10FE">
        <w:rPr>
          <w:rFonts w:ascii="ITC Avant Garde" w:hAnsi="ITC Avant Garde"/>
          <w:lang w:val="es-ES" w:eastAsia="es-ES"/>
        </w:rPr>
        <w:t xml:space="preserve">GTM y Pegaso </w:t>
      </w:r>
      <w:r w:rsidRPr="001C10FE">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52A75606" w14:textId="77777777" w:rsidR="00866C94" w:rsidRDefault="00405520" w:rsidP="00866C94">
      <w:pPr>
        <w:spacing w:before="240"/>
        <w:jc w:val="both"/>
        <w:rPr>
          <w:rFonts w:ascii="ITC Avant Garde" w:hAnsi="ITC Avant Garde"/>
          <w:spacing w:val="-4"/>
        </w:rPr>
      </w:pPr>
      <w:r w:rsidRPr="001C10FE">
        <w:rPr>
          <w:rFonts w:ascii="ITC Avant Garde" w:hAnsi="ITC Avant Garde" w:cs="Arial"/>
          <w:b/>
        </w:rPr>
        <w:t>TERCERO</w:t>
      </w:r>
      <w:r w:rsidR="008B315D" w:rsidRPr="001C10FE">
        <w:rPr>
          <w:rFonts w:ascii="ITC Avant Garde" w:hAnsi="ITC Avant Garde" w:cs="Arial"/>
          <w:b/>
        </w:rPr>
        <w:t xml:space="preserve">.- </w:t>
      </w:r>
      <w:r w:rsidR="0035405F" w:rsidRPr="001C10FE">
        <w:rPr>
          <w:rFonts w:ascii="ITC Avant Garde" w:hAnsi="ITC Avant Garde"/>
          <w:b/>
          <w:szCs w:val="24"/>
        </w:rPr>
        <w:t xml:space="preserve">Valoración </w:t>
      </w:r>
      <w:r w:rsidR="00AE51E1" w:rsidRPr="001C10FE">
        <w:rPr>
          <w:rFonts w:ascii="ITC Avant Garde" w:hAnsi="ITC Avant Garde"/>
          <w:b/>
          <w:szCs w:val="24"/>
        </w:rPr>
        <w:t>de pruebas.-</w:t>
      </w:r>
      <w:r w:rsidR="0035405F" w:rsidRPr="001C10FE">
        <w:rPr>
          <w:rFonts w:ascii="ITC Avant Garde" w:hAnsi="ITC Avant Garde"/>
          <w:b/>
          <w:szCs w:val="24"/>
        </w:rPr>
        <w:t xml:space="preserve"> </w:t>
      </w:r>
      <w:r w:rsidR="0035405F" w:rsidRPr="001C10FE">
        <w:rPr>
          <w:rFonts w:ascii="ITC Avant Garde" w:hAnsi="ITC Avant Garde"/>
          <w:szCs w:val="24"/>
        </w:rPr>
        <w:t>En términos generales la prueba es el medio de demostración de la realidad de un hecho o de la existencia de un acto. Es así que dentro del procedimiento de mérito, la prueba cumple la</w:t>
      </w:r>
      <w:r w:rsidR="006B0F4A" w:rsidRPr="001C10FE">
        <w:rPr>
          <w:rFonts w:ascii="ITC Avant Garde" w:hAnsi="ITC Avant Garde"/>
          <w:szCs w:val="24"/>
        </w:rPr>
        <w:t>s</w:t>
      </w:r>
      <w:r w:rsidR="0035405F" w:rsidRPr="001C10FE">
        <w:rPr>
          <w:rFonts w:ascii="ITC Avant Garde" w:hAnsi="ITC Avant Garde"/>
          <w:szCs w:val="24"/>
        </w:rPr>
        <w:t xml:space="preserve"> siguiente</w:t>
      </w:r>
      <w:r w:rsidR="006B0F4A" w:rsidRPr="001C10FE">
        <w:rPr>
          <w:rFonts w:ascii="ITC Avant Garde" w:hAnsi="ITC Avant Garde"/>
          <w:szCs w:val="24"/>
        </w:rPr>
        <w:t>s</w:t>
      </w:r>
      <w:r w:rsidR="0035405F" w:rsidRPr="001C10FE">
        <w:rPr>
          <w:rFonts w:ascii="ITC Avant Garde" w:hAnsi="ITC Avant Garde"/>
          <w:szCs w:val="24"/>
        </w:rPr>
        <w:t xml:space="preserve"> </w:t>
      </w:r>
      <w:r w:rsidR="0051181D" w:rsidRPr="001C10FE">
        <w:rPr>
          <w:rFonts w:ascii="ITC Avant Garde" w:hAnsi="ITC Avant Garde"/>
          <w:szCs w:val="24"/>
        </w:rPr>
        <w:t>funciones</w:t>
      </w:r>
      <w:r w:rsidR="0035405F" w:rsidRPr="001C10FE">
        <w:rPr>
          <w:rFonts w:ascii="ITC Avant Garde" w:hAnsi="ITC Avant Garde"/>
          <w:szCs w:val="24"/>
        </w:rPr>
        <w:t>: i) fija los hechos mat</w:t>
      </w:r>
      <w:r w:rsidR="00A95021" w:rsidRPr="001C10FE">
        <w:rPr>
          <w:rFonts w:ascii="ITC Avant Garde" w:hAnsi="ITC Avant Garde"/>
          <w:szCs w:val="24"/>
        </w:rPr>
        <w:t xml:space="preserve">eria del desacuerdo, </w:t>
      </w:r>
      <w:r w:rsidR="00C65893" w:rsidRPr="001C10FE">
        <w:rPr>
          <w:rFonts w:ascii="ITC Avant Garde" w:hAnsi="ITC Avant Garde"/>
          <w:szCs w:val="24"/>
        </w:rPr>
        <w:t xml:space="preserve">y </w:t>
      </w:r>
      <w:r w:rsidR="00A95021" w:rsidRPr="001C10FE">
        <w:rPr>
          <w:rFonts w:ascii="ITC Avant Garde" w:hAnsi="ITC Avant Garde"/>
          <w:szCs w:val="24"/>
        </w:rPr>
        <w:t>ii) genera</w:t>
      </w:r>
      <w:r w:rsidR="0035405F" w:rsidRPr="001C10FE">
        <w:rPr>
          <w:rFonts w:ascii="ITC Avant Garde" w:hAnsi="ITC Avant Garde"/>
          <w:szCs w:val="24"/>
        </w:rPr>
        <w:t xml:space="preserve"> certeza acerca de las afirmaciones y alegaciones de los concesionarios sujetos del desacuerdo.</w:t>
      </w:r>
    </w:p>
    <w:p w14:paraId="14418DEC" w14:textId="77777777" w:rsidR="00866C94" w:rsidRDefault="0035405F" w:rsidP="00866C94">
      <w:pPr>
        <w:spacing w:before="240"/>
        <w:jc w:val="both"/>
        <w:rPr>
          <w:rFonts w:ascii="ITC Avant Garde" w:hAnsi="ITC Avant Garde"/>
          <w:szCs w:val="24"/>
        </w:rPr>
      </w:pPr>
      <w:r w:rsidRPr="001C10FE">
        <w:rPr>
          <w:rFonts w:ascii="ITC Avant Garde" w:hAnsi="ITC Avant Garde"/>
          <w:szCs w:val="24"/>
        </w:rPr>
        <w:t>Por su parte la</w:t>
      </w:r>
      <w:r w:rsidR="005C75A1" w:rsidRPr="001C10FE">
        <w:rPr>
          <w:rFonts w:ascii="ITC Avant Garde" w:hAnsi="ITC Avant Garde"/>
          <w:szCs w:val="24"/>
        </w:rPr>
        <w:t xml:space="preserve"> Ley Federal de Procedimiento Administrativo (en lo sucesivo, la “</w:t>
      </w:r>
      <w:r w:rsidR="00A3082A" w:rsidRPr="001C10FE">
        <w:rPr>
          <w:rFonts w:ascii="ITC Avant Garde" w:hAnsi="ITC Avant Garde"/>
          <w:szCs w:val="24"/>
        </w:rPr>
        <w:t>LFPA</w:t>
      </w:r>
      <w:r w:rsidR="005C75A1" w:rsidRPr="001C10FE">
        <w:rPr>
          <w:rFonts w:ascii="ITC Avant Garde" w:hAnsi="ITC Avant Garde"/>
          <w:szCs w:val="24"/>
        </w:rPr>
        <w:t>”)</w:t>
      </w:r>
      <w:r w:rsidRPr="001C10FE">
        <w:rPr>
          <w:rFonts w:ascii="ITC Avant Garde" w:hAnsi="ITC Avant Garde"/>
          <w:szCs w:val="24"/>
        </w:rPr>
        <w:t xml:space="preserve"> y </w:t>
      </w:r>
      <w:r w:rsidR="005C75A1" w:rsidRPr="001C10FE">
        <w:rPr>
          <w:rFonts w:ascii="ITC Avant Garde" w:hAnsi="ITC Avant Garde"/>
          <w:szCs w:val="24"/>
        </w:rPr>
        <w:t>el Código Federal de Procedimientos Civiles (en lo sucesivo, el “</w:t>
      </w:r>
      <w:r w:rsidR="00180852" w:rsidRPr="001C10FE">
        <w:rPr>
          <w:rFonts w:ascii="ITC Avant Garde" w:hAnsi="ITC Avant Garde"/>
          <w:szCs w:val="24"/>
        </w:rPr>
        <w:t>CFPC</w:t>
      </w:r>
      <w:r w:rsidR="005C75A1" w:rsidRPr="001C10FE">
        <w:rPr>
          <w:rFonts w:ascii="ITC Avant Garde" w:hAnsi="ITC Avant Garde"/>
          <w:szCs w:val="24"/>
        </w:rPr>
        <w:t>”)</w:t>
      </w:r>
      <w:r w:rsidR="00A3082A" w:rsidRPr="001C10FE">
        <w:rPr>
          <w:rFonts w:ascii="ITC Avant Garde" w:hAnsi="ITC Avant Garde"/>
          <w:szCs w:val="24"/>
        </w:rPr>
        <w:t>,</w:t>
      </w:r>
      <w:r w:rsidRPr="001C10FE">
        <w:rPr>
          <w:rFonts w:ascii="ITC Avant Garde" w:hAnsi="ITC Avant Garde"/>
          <w:szCs w:val="24"/>
        </w:rPr>
        <w:t xml:space="preserve"> establecen que en los procedimientos administrativos se admitirán toda clase de pruebas, excepto la confesional de las autoridades. Asimismo, establece </w:t>
      </w:r>
      <w:r w:rsidR="006B0F4A" w:rsidRPr="001C10FE">
        <w:rPr>
          <w:rFonts w:ascii="ITC Avant Garde" w:hAnsi="ITC Avant Garde"/>
          <w:szCs w:val="24"/>
        </w:rPr>
        <w:t>por</w:t>
      </w:r>
      <w:r w:rsidRPr="001C10FE">
        <w:rPr>
          <w:rFonts w:ascii="ITC Avant Garde" w:hAnsi="ITC Avant Garde"/>
          <w:szCs w:val="24"/>
        </w:rPr>
        <w:t xml:space="preserve"> cuanto a su valoración que la autoridad </w:t>
      </w:r>
      <w:r w:rsidR="006B0F4A" w:rsidRPr="001C10FE">
        <w:rPr>
          <w:rFonts w:ascii="ITC Avant Garde" w:hAnsi="ITC Avant Garde"/>
          <w:szCs w:val="24"/>
        </w:rPr>
        <w:t xml:space="preserve">administrativa </w:t>
      </w:r>
      <w:r w:rsidRPr="001C10FE">
        <w:rPr>
          <w:rFonts w:ascii="ITC Avant Garde" w:hAnsi="ITC Avant Garde"/>
          <w:szCs w:val="24"/>
        </w:rPr>
        <w:t xml:space="preserve">goza de la más amplia libertad para hacer el análisis de las pruebas rendidas; para determinar el valor de las mismas, y para fijar el resultado final de dicha valuación. </w:t>
      </w:r>
    </w:p>
    <w:p w14:paraId="1DDB48B4" w14:textId="77777777" w:rsidR="00866C94" w:rsidRDefault="0035405F" w:rsidP="00866C94">
      <w:pPr>
        <w:spacing w:before="240"/>
        <w:jc w:val="both"/>
        <w:rPr>
          <w:rFonts w:ascii="ITC Avant Garde" w:hAnsi="ITC Avant Garde"/>
          <w:szCs w:val="24"/>
        </w:rPr>
      </w:pPr>
      <w:r w:rsidRPr="001C10FE">
        <w:rPr>
          <w:rFonts w:ascii="ITC Avant Garde" w:hAnsi="ITC Avant Garde"/>
          <w:szCs w:val="24"/>
        </w:rPr>
        <w:lastRenderedPageBreak/>
        <w:t xml:space="preserve">En </w:t>
      </w:r>
      <w:r w:rsidR="006B0F4A" w:rsidRPr="001C10FE">
        <w:rPr>
          <w:rFonts w:ascii="ITC Avant Garde" w:hAnsi="ITC Avant Garde"/>
          <w:szCs w:val="24"/>
        </w:rPr>
        <w:t>tal</w:t>
      </w:r>
      <w:r w:rsidRPr="001C10FE">
        <w:rPr>
          <w:rFonts w:ascii="ITC Avant Garde" w:hAnsi="ITC Avant Garde"/>
          <w:szCs w:val="24"/>
        </w:rPr>
        <w:t xml:space="preserve"> sentido, </w:t>
      </w:r>
      <w:r w:rsidR="006B0F4A" w:rsidRPr="001C10FE">
        <w:rPr>
          <w:rFonts w:ascii="ITC Avant Garde" w:hAnsi="ITC Avant Garde"/>
          <w:szCs w:val="24"/>
        </w:rPr>
        <w:t xml:space="preserve">el Instituto valora </w:t>
      </w:r>
      <w:r w:rsidRPr="001C10FE">
        <w:rPr>
          <w:rFonts w:ascii="ITC Avant Garde" w:hAnsi="ITC Avant Garde"/>
          <w:szCs w:val="24"/>
        </w:rPr>
        <w:t xml:space="preserve">las pruebas </w:t>
      </w:r>
      <w:r w:rsidR="006B0F4A" w:rsidRPr="001C10FE">
        <w:rPr>
          <w:rFonts w:ascii="ITC Avant Garde" w:hAnsi="ITC Avant Garde"/>
          <w:szCs w:val="24"/>
        </w:rPr>
        <w:t>aportadas por las partes en los siguientes términos:</w:t>
      </w:r>
    </w:p>
    <w:p w14:paraId="6E4722B5" w14:textId="77777777" w:rsidR="00866C94" w:rsidRDefault="003939FF" w:rsidP="00866C94">
      <w:pPr>
        <w:pStyle w:val="Prrafodelista"/>
        <w:numPr>
          <w:ilvl w:val="1"/>
          <w:numId w:val="40"/>
        </w:numPr>
        <w:tabs>
          <w:tab w:val="left" w:pos="4850"/>
        </w:tabs>
        <w:spacing w:before="240" w:after="200" w:line="276" w:lineRule="auto"/>
        <w:rPr>
          <w:rFonts w:ascii="ITC Avant Garde" w:hAnsi="ITC Avant Garde"/>
          <w:b/>
        </w:rPr>
      </w:pPr>
      <w:r w:rsidRPr="001C10FE">
        <w:rPr>
          <w:rFonts w:ascii="ITC Avant Garde" w:hAnsi="ITC Avant Garde"/>
          <w:b/>
        </w:rPr>
        <w:t xml:space="preserve">Pruebas ofrecidas por </w:t>
      </w:r>
      <w:r w:rsidR="00B20DEE" w:rsidRPr="001C10FE">
        <w:rPr>
          <w:rFonts w:ascii="ITC Avant Garde" w:hAnsi="ITC Avant Garde"/>
          <w:b/>
        </w:rPr>
        <w:t>Televisa</w:t>
      </w:r>
    </w:p>
    <w:p w14:paraId="642796BD" w14:textId="77777777" w:rsidR="00866C94" w:rsidRDefault="0019711D" w:rsidP="00866C94">
      <w:pPr>
        <w:pStyle w:val="Prrafodelista"/>
        <w:numPr>
          <w:ilvl w:val="0"/>
          <w:numId w:val="13"/>
        </w:numPr>
        <w:tabs>
          <w:tab w:val="left" w:pos="993"/>
        </w:tabs>
        <w:spacing w:before="240" w:after="200" w:line="276" w:lineRule="auto"/>
        <w:rPr>
          <w:rFonts w:ascii="ITC Avant Garde" w:hAnsi="ITC Avant Garde"/>
        </w:rPr>
      </w:pPr>
      <w:r w:rsidRPr="001C10FE">
        <w:rPr>
          <w:rFonts w:ascii="ITC Avant Garde" w:hAnsi="ITC Avant Garde"/>
          <w:lang w:val="es-ES"/>
        </w:rPr>
        <w:t xml:space="preserve">Con </w:t>
      </w:r>
      <w:r w:rsidR="0027109A" w:rsidRPr="001C10FE">
        <w:rPr>
          <w:rFonts w:ascii="ITC Avant Garde" w:hAnsi="ITC Avant Garde"/>
          <w:lang w:val="es-ES"/>
        </w:rPr>
        <w:t xml:space="preserve">relación a las documentales ofrecidas por </w:t>
      </w:r>
      <w:r w:rsidR="007314AB" w:rsidRPr="001C10FE">
        <w:rPr>
          <w:rFonts w:ascii="ITC Avant Garde" w:hAnsi="ITC Avant Garde"/>
          <w:lang w:val="es-ES"/>
        </w:rPr>
        <w:t>Televisa</w:t>
      </w:r>
      <w:r w:rsidR="0027109A" w:rsidRPr="001C10FE">
        <w:rPr>
          <w:rFonts w:ascii="ITC Avant Garde" w:hAnsi="ITC Avant Garde"/>
          <w:lang w:val="es-ES"/>
        </w:rPr>
        <w:t>, consistentes en la impresión de las solicitudes</w:t>
      </w:r>
      <w:r w:rsidR="00405EAE" w:rsidRPr="001C10FE">
        <w:rPr>
          <w:rFonts w:ascii="ITC Avant Garde" w:hAnsi="ITC Avant Garde"/>
          <w:lang w:val="es-ES"/>
        </w:rPr>
        <w:t xml:space="preserve"> en las que hizo constar las solicitudes</w:t>
      </w:r>
      <w:r w:rsidR="0027109A" w:rsidRPr="001C10FE">
        <w:rPr>
          <w:rFonts w:ascii="ITC Avant Garde" w:hAnsi="ITC Avant Garde"/>
          <w:lang w:val="es-ES"/>
        </w:rPr>
        <w:t xml:space="preserve"> formuladas por </w:t>
      </w:r>
      <w:r w:rsidR="00405EAE" w:rsidRPr="001C10FE">
        <w:rPr>
          <w:rFonts w:ascii="ITC Avant Garde" w:hAnsi="ITC Avant Garde"/>
          <w:lang w:val="es-ES"/>
        </w:rPr>
        <w:t>Televisa</w:t>
      </w:r>
      <w:r w:rsidR="0027109A" w:rsidRPr="001C10FE">
        <w:rPr>
          <w:rFonts w:ascii="ITC Avant Garde" w:hAnsi="ITC Avant Garde"/>
          <w:lang w:val="es-ES"/>
        </w:rPr>
        <w:t xml:space="preserve"> a GTM y </w:t>
      </w:r>
      <w:r w:rsidR="00C60547" w:rsidRPr="001C10FE">
        <w:rPr>
          <w:rFonts w:ascii="ITC Avant Garde" w:hAnsi="ITC Avant Garde"/>
          <w:lang w:val="es-ES"/>
        </w:rPr>
        <w:t>Pegaso</w:t>
      </w:r>
      <w:r w:rsidR="00405EAE" w:rsidRPr="001C10FE">
        <w:rPr>
          <w:rFonts w:ascii="ITC Avant Garde" w:hAnsi="ITC Avant Garde"/>
          <w:lang w:val="es-ES"/>
        </w:rPr>
        <w:t xml:space="preserve"> </w:t>
      </w:r>
      <w:r w:rsidR="0027109A" w:rsidRPr="001C10FE">
        <w:rPr>
          <w:rFonts w:ascii="ITC Avant Garde" w:hAnsi="ITC Avant Garde"/>
          <w:lang w:val="es-ES"/>
        </w:rPr>
        <w:t>a través del SESI</w:t>
      </w:r>
      <w:r w:rsidR="009944EA" w:rsidRPr="001C10FE">
        <w:rPr>
          <w:rFonts w:ascii="ITC Avant Garde" w:hAnsi="ITC Avant Garde"/>
          <w:lang w:val="es-ES"/>
        </w:rPr>
        <w:t>, mismas</w:t>
      </w:r>
      <w:r w:rsidR="00AC0A46" w:rsidRPr="001C10FE">
        <w:rPr>
          <w:rFonts w:ascii="ITC Avant Garde" w:hAnsi="ITC Avant Garde"/>
          <w:lang w:val="es-ES"/>
        </w:rPr>
        <w:t xml:space="preserve"> que quedaron registradas bajo</w:t>
      </w:r>
      <w:r w:rsidR="0027109A" w:rsidRPr="001C10FE">
        <w:rPr>
          <w:rFonts w:ascii="ITC Avant Garde" w:hAnsi="ITC Avant Garde"/>
          <w:lang w:val="es-ES"/>
        </w:rPr>
        <w:t xml:space="preserve"> los números IFT/UPR/</w:t>
      </w:r>
      <w:r w:rsidR="00405EAE" w:rsidRPr="001C10FE">
        <w:rPr>
          <w:rFonts w:ascii="ITC Avant Garde" w:hAnsi="ITC Avant Garde"/>
          <w:lang w:val="es-ES"/>
        </w:rPr>
        <w:t>2772, IFT/UPR/2771</w:t>
      </w:r>
      <w:r w:rsidR="0027109A" w:rsidRPr="001C10FE">
        <w:rPr>
          <w:rFonts w:ascii="ITC Avant Garde" w:hAnsi="ITC Avant Garde"/>
          <w:lang w:val="es-ES"/>
        </w:rPr>
        <w:t>,</w:t>
      </w:r>
      <w:r w:rsidR="00405EAE" w:rsidRPr="001C10FE">
        <w:rPr>
          <w:rFonts w:ascii="ITC Avant Garde" w:hAnsi="ITC Avant Garde"/>
          <w:lang w:val="es-ES"/>
        </w:rPr>
        <w:t xml:space="preserve"> IFT/UPR/2775, IFT/UPR/2776, IFT/UPR/2774, </w:t>
      </w:r>
      <w:r w:rsidR="00A009D2" w:rsidRPr="001C10FE">
        <w:rPr>
          <w:rFonts w:ascii="ITC Avant Garde" w:hAnsi="ITC Avant Garde"/>
          <w:lang w:val="es-ES"/>
        </w:rPr>
        <w:t>e IFT/UPR/2773</w:t>
      </w:r>
      <w:r w:rsidRPr="001C10FE">
        <w:rPr>
          <w:rFonts w:ascii="ITC Avant Garde" w:hAnsi="ITC Avant Garde"/>
          <w:lang w:val="es-ES"/>
        </w:rPr>
        <w:t>.</w:t>
      </w:r>
      <w:r w:rsidR="00A009D2" w:rsidRPr="001C10FE">
        <w:rPr>
          <w:rFonts w:ascii="ITC Avant Garde" w:hAnsi="ITC Avant Garde"/>
        </w:rPr>
        <w:t xml:space="preserve"> Este Instituto les da valor probatorio en términos de lo establecido en los artículos 197, 203 y 210-A del CFPC, al hacer prueba de que en efecto, mediante solicitudes ingresadas por Televisa en el SESI, solicitó a Pegaso y GTM el inicio de negociaciones tendientes a convenir los términos y condiciones en materia de interconexión, con </w:t>
      </w:r>
      <w:r w:rsidRPr="001C10FE">
        <w:rPr>
          <w:rFonts w:ascii="ITC Avant Garde" w:hAnsi="ITC Avant Garde"/>
        </w:rPr>
        <w:t xml:space="preserve">lo </w:t>
      </w:r>
      <w:r w:rsidR="00A14F40" w:rsidRPr="001C10FE">
        <w:rPr>
          <w:rFonts w:ascii="ITC Avant Garde" w:hAnsi="ITC Avant Garde"/>
        </w:rPr>
        <w:t xml:space="preserve">que queda </w:t>
      </w:r>
      <w:r w:rsidR="00A009D2" w:rsidRPr="001C10FE">
        <w:rPr>
          <w:rFonts w:ascii="ITC Avant Garde" w:hAnsi="ITC Avant Garde"/>
        </w:rPr>
        <w:t>acreditado que se cumplió con el requisito de procedencia referente a la existencia de negociaciones previas entre los concesionarios.</w:t>
      </w:r>
    </w:p>
    <w:p w14:paraId="5E3E8D59" w14:textId="77777777" w:rsidR="00866C94" w:rsidRDefault="00487397" w:rsidP="00866C94">
      <w:pPr>
        <w:pStyle w:val="Prrafodelista"/>
        <w:spacing w:before="240" w:after="200" w:line="276" w:lineRule="auto"/>
        <w:ind w:left="0"/>
        <w:rPr>
          <w:rFonts w:ascii="ITC Avant Garde" w:hAnsi="ITC Avant Garde"/>
          <w:b/>
        </w:rPr>
      </w:pPr>
      <w:r w:rsidRPr="001C10FE">
        <w:rPr>
          <w:rFonts w:ascii="ITC Avant Garde" w:hAnsi="ITC Avant Garde"/>
          <w:b/>
        </w:rPr>
        <w:t xml:space="preserve">3.2 </w:t>
      </w:r>
      <w:r w:rsidR="0027109A" w:rsidRPr="001C10FE">
        <w:rPr>
          <w:rFonts w:ascii="ITC Avant Garde" w:hAnsi="ITC Avant Garde"/>
          <w:b/>
        </w:rPr>
        <w:t>Pru</w:t>
      </w:r>
      <w:r w:rsidRPr="001C10FE">
        <w:rPr>
          <w:rFonts w:ascii="ITC Avant Garde" w:hAnsi="ITC Avant Garde"/>
          <w:b/>
        </w:rPr>
        <w:t>ebas ofrecidas por GTM y Pegaso</w:t>
      </w:r>
    </w:p>
    <w:p w14:paraId="3AE900BF" w14:textId="77777777" w:rsidR="00866C94" w:rsidRDefault="0027109A" w:rsidP="00866C94">
      <w:pPr>
        <w:pStyle w:val="Prrafodelista"/>
        <w:numPr>
          <w:ilvl w:val="0"/>
          <w:numId w:val="50"/>
        </w:numPr>
        <w:tabs>
          <w:tab w:val="left" w:pos="993"/>
        </w:tabs>
        <w:spacing w:before="240" w:after="200" w:line="276" w:lineRule="auto"/>
        <w:rPr>
          <w:rFonts w:ascii="ITC Avant Garde" w:hAnsi="ITC Avant Garde"/>
        </w:rPr>
      </w:pPr>
      <w:r w:rsidRPr="001C10FE">
        <w:rPr>
          <w:rFonts w:ascii="ITC Avant Garde" w:hAnsi="ITC Avant Garde"/>
        </w:rPr>
        <w:t xml:space="preserve">Respecto de las documentales consistentes en </w:t>
      </w:r>
      <w:r w:rsidR="00A14F40" w:rsidRPr="001C10FE">
        <w:rPr>
          <w:rFonts w:ascii="ITC Avant Garde" w:hAnsi="ITC Avant Garde"/>
        </w:rPr>
        <w:t xml:space="preserve">la impresión </w:t>
      </w:r>
      <w:r w:rsidRPr="001C10FE">
        <w:rPr>
          <w:rFonts w:ascii="ITC Avant Garde" w:hAnsi="ITC Avant Garde"/>
        </w:rPr>
        <w:t>de la pantalla del SESI correspon</w:t>
      </w:r>
      <w:r w:rsidR="00AE6454" w:rsidRPr="001C10FE">
        <w:rPr>
          <w:rFonts w:ascii="ITC Avant Garde" w:hAnsi="ITC Avant Garde"/>
        </w:rPr>
        <w:t>di</w:t>
      </w:r>
      <w:r w:rsidR="00D548C1" w:rsidRPr="001C10FE">
        <w:rPr>
          <w:rFonts w:ascii="ITC Avant Garde" w:hAnsi="ITC Avant Garde"/>
        </w:rPr>
        <w:t xml:space="preserve">ente a los folios IFT/UPR/2772, </w:t>
      </w:r>
      <w:r w:rsidR="00D548C1" w:rsidRPr="001C10FE">
        <w:rPr>
          <w:rFonts w:ascii="ITC Avant Garde" w:hAnsi="ITC Avant Garde"/>
          <w:lang w:val="es-ES"/>
        </w:rPr>
        <w:t>IFT/UPR/2771</w:t>
      </w:r>
      <w:r w:rsidR="00A009D2" w:rsidRPr="001C10FE">
        <w:rPr>
          <w:rFonts w:ascii="ITC Avant Garde" w:hAnsi="ITC Avant Garde"/>
        </w:rPr>
        <w:t xml:space="preserve"> e </w:t>
      </w:r>
      <w:r w:rsidR="00A009D2" w:rsidRPr="001C10FE">
        <w:rPr>
          <w:rFonts w:ascii="ITC Avant Garde" w:hAnsi="ITC Avant Garde"/>
          <w:lang w:val="es-ES"/>
        </w:rPr>
        <w:t>IFT/UPR/2773</w:t>
      </w:r>
      <w:r w:rsidR="00A14F40" w:rsidRPr="001C10FE">
        <w:rPr>
          <w:rFonts w:ascii="ITC Avant Garde" w:hAnsi="ITC Avant Garde"/>
          <w:lang w:val="es-ES"/>
        </w:rPr>
        <w:t xml:space="preserve"> con los cuales Pegaso y GTM pretenden acreditar la intención de practicar una reunión para continuar con las negociaciones respectivas para el año 2017; este Instituto </w:t>
      </w:r>
      <w:r w:rsidR="00A14F40" w:rsidRPr="001C10FE">
        <w:rPr>
          <w:rFonts w:ascii="ITC Avant Garde" w:hAnsi="ITC Avant Garde"/>
        </w:rPr>
        <w:t>les da valor probatorio en términos de lo establecido en los artículos 197, 203 y 210-A del CFPC, al hacer prueba de que en efecto, Pegaso y GTM notificaron mediante el SESI su intención de seguir con las negociaciones, tendientes a convenir los términos y condiciones en materia de interconexión, con lo que queda acreditado que se cumplió con el requisito de procedencia referente a la existencia de negociaciones previas entre los concesionarios.</w:t>
      </w:r>
    </w:p>
    <w:p w14:paraId="6635E171" w14:textId="77777777" w:rsidR="00866C94" w:rsidRDefault="00A14F40" w:rsidP="00866C94">
      <w:pPr>
        <w:pStyle w:val="Prrafodelista"/>
        <w:numPr>
          <w:ilvl w:val="0"/>
          <w:numId w:val="50"/>
        </w:numPr>
        <w:tabs>
          <w:tab w:val="left" w:pos="993"/>
        </w:tabs>
        <w:spacing w:before="240" w:after="200" w:line="276" w:lineRule="auto"/>
        <w:rPr>
          <w:rFonts w:ascii="ITC Avant Garde" w:hAnsi="ITC Avant Garde"/>
        </w:rPr>
      </w:pPr>
      <w:r w:rsidRPr="001C10FE">
        <w:rPr>
          <w:rFonts w:ascii="ITC Avant Garde" w:hAnsi="ITC Avant Garde"/>
        </w:rPr>
        <w:t xml:space="preserve">Dentro de los expedientes identificados con los números IFT/221/UPR/DG-RIRST/107.150716/ITX e IFT/221/UPR/DG-RIRST/108.150716/ITX, Pegaso y GTM ofrecieron la documental consistente en la propuesta de </w:t>
      </w:r>
      <w:r w:rsidR="00AE6454" w:rsidRPr="001C10FE">
        <w:rPr>
          <w:rFonts w:ascii="ITC Avant Garde" w:hAnsi="ITC Avant Garde"/>
        </w:rPr>
        <w:t xml:space="preserve">convenio de interconexión </w:t>
      </w:r>
      <w:r w:rsidRPr="001C10FE">
        <w:rPr>
          <w:rFonts w:ascii="ITC Avant Garde" w:hAnsi="ITC Avant Garde"/>
        </w:rPr>
        <w:t>que regiría en caso de suscribirse con Televisa para la prestación de los servicios de interconexión. Este Instituto le da valor probatorio en términos de lo establecido en los artículos 197, 203 y 201-A del CFPC al hacer prueba de que en efecto,</w:t>
      </w:r>
      <w:r w:rsidR="004D2F00" w:rsidRPr="001C10FE">
        <w:rPr>
          <w:rFonts w:ascii="ITC Avant Garde" w:hAnsi="ITC Avant Garde"/>
        </w:rPr>
        <w:t xml:space="preserve"> existe la intención por parte de Pegaso y GTM de suscribir un convenio de interconexión con Televisa.</w:t>
      </w:r>
    </w:p>
    <w:p w14:paraId="475D6A86" w14:textId="77777777" w:rsidR="00866C94" w:rsidRDefault="00AE6454" w:rsidP="00866C94">
      <w:pPr>
        <w:pStyle w:val="Prrafodelista"/>
        <w:numPr>
          <w:ilvl w:val="1"/>
          <w:numId w:val="51"/>
        </w:numPr>
        <w:spacing w:before="240" w:after="200"/>
        <w:rPr>
          <w:rFonts w:ascii="ITC Avant Garde" w:hAnsi="ITC Avant Garde"/>
          <w:b/>
        </w:rPr>
      </w:pPr>
      <w:r w:rsidRPr="001C10FE">
        <w:rPr>
          <w:rFonts w:ascii="ITC Avant Garde" w:hAnsi="ITC Avant Garde"/>
          <w:b/>
        </w:rPr>
        <w:t xml:space="preserve">Pruebas ofrecidas por </w:t>
      </w:r>
      <w:r w:rsidR="008369D6" w:rsidRPr="001C10FE">
        <w:rPr>
          <w:rFonts w:ascii="ITC Avant Garde" w:hAnsi="ITC Avant Garde"/>
          <w:b/>
        </w:rPr>
        <w:t>ambas p</w:t>
      </w:r>
      <w:r w:rsidRPr="001C10FE">
        <w:rPr>
          <w:rFonts w:ascii="ITC Avant Garde" w:hAnsi="ITC Avant Garde"/>
          <w:b/>
        </w:rPr>
        <w:t xml:space="preserve">artes </w:t>
      </w:r>
    </w:p>
    <w:p w14:paraId="71FF2DB7" w14:textId="77777777" w:rsidR="00866C94" w:rsidRDefault="00487397" w:rsidP="00866C94">
      <w:pPr>
        <w:pStyle w:val="Prrafodelista"/>
        <w:numPr>
          <w:ilvl w:val="0"/>
          <w:numId w:val="52"/>
        </w:numPr>
        <w:tabs>
          <w:tab w:val="left" w:pos="993"/>
        </w:tabs>
        <w:spacing w:before="240" w:after="200" w:line="276" w:lineRule="auto"/>
        <w:rPr>
          <w:rFonts w:ascii="ITC Avant Garde" w:hAnsi="ITC Avant Garde" w:cs="Arial"/>
        </w:rPr>
      </w:pPr>
      <w:r w:rsidRPr="001C10FE">
        <w:rPr>
          <w:rFonts w:ascii="ITC Avant Garde" w:hAnsi="ITC Avant Garde" w:cs="Arial"/>
        </w:rPr>
        <w:lastRenderedPageBreak/>
        <w:t>Instrumental de actuaciones, consistente lo actuado en el presente procedimiento, se le da valor probatorio al constituirse dicha prueba con las constancias que obran en el sumario y en términos del principio ontológico de la prueba, conforme al cual lo ordinario se presume.</w:t>
      </w:r>
    </w:p>
    <w:p w14:paraId="6EB15C14" w14:textId="77777777" w:rsidR="00866C94" w:rsidRDefault="008369D6" w:rsidP="00866C94">
      <w:pPr>
        <w:pStyle w:val="Prrafodelista"/>
        <w:numPr>
          <w:ilvl w:val="0"/>
          <w:numId w:val="52"/>
        </w:numPr>
        <w:tabs>
          <w:tab w:val="left" w:pos="993"/>
        </w:tabs>
        <w:spacing w:before="240" w:after="200" w:line="276" w:lineRule="auto"/>
        <w:rPr>
          <w:rFonts w:ascii="ITC Avant Garde" w:hAnsi="ITC Avant Garde" w:cs="Arial"/>
        </w:rPr>
      </w:pPr>
      <w:r w:rsidRPr="001C10FE">
        <w:rPr>
          <w:rFonts w:ascii="ITC Avant Garde" w:hAnsi="ITC Avant Garde" w:cs="Arial"/>
        </w:rPr>
        <w:t xml:space="preserve">En relación con la </w:t>
      </w:r>
      <w:proofErr w:type="spellStart"/>
      <w:r w:rsidRPr="001C10FE">
        <w:rPr>
          <w:rFonts w:ascii="ITC Avant Garde" w:hAnsi="ITC Avant Garde" w:cs="Arial"/>
        </w:rPr>
        <w:t>presuncional</w:t>
      </w:r>
      <w:proofErr w:type="spellEnd"/>
      <w:r w:rsidRPr="001C10FE">
        <w:rPr>
          <w:rFonts w:ascii="ITC Avant Garde" w:hAnsi="ITC Avant Garde" w:cs="Arial"/>
        </w:rPr>
        <w:t>, en su doble aspecto, legal y humana, se le da valor probatorio en términos de los artículos 190 y 218 del CFPC al ser ésta la consecuencia lógica y natural de hechos conocidos y probados al momento de hacer la deducción respectiva.</w:t>
      </w:r>
    </w:p>
    <w:bookmarkEnd w:id="2"/>
    <w:p w14:paraId="4C0FE245" w14:textId="77777777" w:rsidR="00866C94" w:rsidRDefault="002F1D3A" w:rsidP="00866C94">
      <w:pPr>
        <w:spacing w:before="240"/>
        <w:jc w:val="both"/>
        <w:rPr>
          <w:rFonts w:ascii="ITC Avant Garde" w:eastAsia="Times New Roman" w:hAnsi="ITC Avant Garde"/>
        </w:rPr>
      </w:pPr>
      <w:r w:rsidRPr="001C10FE">
        <w:rPr>
          <w:rFonts w:ascii="ITC Avant Garde" w:hAnsi="ITC Avant Garde"/>
          <w:b/>
          <w:szCs w:val="24"/>
        </w:rPr>
        <w:t>CUARTO</w:t>
      </w:r>
      <w:r w:rsidR="003B3180" w:rsidRPr="001C10FE">
        <w:rPr>
          <w:rFonts w:ascii="ITC Avant Garde" w:hAnsi="ITC Avant Garde"/>
          <w:b/>
          <w:szCs w:val="24"/>
        </w:rPr>
        <w:t>.-</w:t>
      </w:r>
      <w:r w:rsidR="002920C0" w:rsidRPr="001C10FE">
        <w:rPr>
          <w:rFonts w:ascii="ITC Avant Garde" w:eastAsia="Times New Roman" w:hAnsi="ITC Avant Garde"/>
          <w:b/>
          <w:lang w:eastAsia="es-ES"/>
        </w:rPr>
        <w:t xml:space="preserve"> </w:t>
      </w:r>
      <w:bookmarkEnd w:id="0"/>
      <w:r w:rsidR="00321C60" w:rsidRPr="001C10FE">
        <w:rPr>
          <w:rFonts w:ascii="ITC Avant Garde" w:eastAsia="Times New Roman" w:hAnsi="ITC Avant Garde"/>
          <w:b/>
          <w:lang w:eastAsia="es-ES"/>
        </w:rPr>
        <w:t>Condiciones no convenidas sujetas a resolución</w:t>
      </w:r>
      <w:r w:rsidR="00C92C0A" w:rsidRPr="001C10FE">
        <w:rPr>
          <w:rFonts w:ascii="ITC Avant Garde" w:eastAsia="Times New Roman" w:hAnsi="ITC Avant Garde"/>
          <w:lang w:eastAsia="es-ES"/>
        </w:rPr>
        <w:t xml:space="preserve">.- </w:t>
      </w:r>
      <w:r w:rsidR="00832D83" w:rsidRPr="001C10FE">
        <w:rPr>
          <w:rFonts w:ascii="ITC Avant Garde" w:eastAsia="Times New Roman" w:hAnsi="ITC Avant Garde"/>
          <w:lang w:eastAsia="es-ES"/>
        </w:rPr>
        <w:t>En la</w:t>
      </w:r>
      <w:r w:rsidR="00C56B15" w:rsidRPr="001C10FE">
        <w:rPr>
          <w:rFonts w:ascii="ITC Avant Garde" w:eastAsia="Times New Roman" w:hAnsi="ITC Avant Garde"/>
          <w:lang w:eastAsia="es-ES"/>
        </w:rPr>
        <w:t>s</w:t>
      </w:r>
      <w:r w:rsidR="00832D83" w:rsidRPr="001C10FE">
        <w:rPr>
          <w:rFonts w:ascii="ITC Avant Garde" w:eastAsia="Times New Roman" w:hAnsi="ITC Avant Garde"/>
          <w:lang w:eastAsia="es-ES"/>
        </w:rPr>
        <w:t xml:space="preserve"> Solicitud</w:t>
      </w:r>
      <w:r w:rsidR="00C56B15" w:rsidRPr="001C10FE">
        <w:rPr>
          <w:rFonts w:ascii="ITC Avant Garde" w:eastAsia="Times New Roman" w:hAnsi="ITC Avant Garde"/>
          <w:lang w:eastAsia="es-ES"/>
        </w:rPr>
        <w:t>es</w:t>
      </w:r>
      <w:r w:rsidR="00832D83" w:rsidRPr="001C10FE">
        <w:rPr>
          <w:rFonts w:ascii="ITC Avant Garde" w:eastAsia="Times New Roman" w:hAnsi="ITC Avant Garde"/>
          <w:lang w:eastAsia="es-ES"/>
        </w:rPr>
        <w:t xml:space="preserve"> de Resolución de </w:t>
      </w:r>
      <w:r w:rsidR="00EF14F4" w:rsidRPr="001C10FE">
        <w:rPr>
          <w:rFonts w:ascii="ITC Avant Garde" w:eastAsia="Times New Roman" w:hAnsi="ITC Avant Garde"/>
        </w:rPr>
        <w:t>Televisa</w:t>
      </w:r>
      <w:r w:rsidR="00B90B19" w:rsidRPr="001C10FE">
        <w:rPr>
          <w:rFonts w:ascii="ITC Avant Garde" w:eastAsia="Times New Roman" w:hAnsi="ITC Avant Garde"/>
        </w:rPr>
        <w:t xml:space="preserve">, </w:t>
      </w:r>
      <w:r w:rsidR="00F6778F" w:rsidRPr="001C10FE">
        <w:rPr>
          <w:rFonts w:ascii="ITC Avant Garde" w:eastAsia="Times New Roman" w:hAnsi="ITC Avant Garde"/>
        </w:rPr>
        <w:t>se plantearon</w:t>
      </w:r>
      <w:r w:rsidR="00B90B19" w:rsidRPr="001C10FE">
        <w:rPr>
          <w:rFonts w:ascii="ITC Avant Garde" w:eastAsia="Times New Roman" w:hAnsi="ITC Avant Garde"/>
        </w:rPr>
        <w:t xml:space="preserve"> l</w:t>
      </w:r>
      <w:r w:rsidR="00A01830" w:rsidRPr="001C10FE">
        <w:rPr>
          <w:rFonts w:ascii="ITC Avant Garde" w:eastAsia="Times New Roman" w:hAnsi="ITC Avant Garde"/>
        </w:rPr>
        <w:t>o</w:t>
      </w:r>
      <w:r w:rsidR="00B90B19" w:rsidRPr="001C10FE">
        <w:rPr>
          <w:rFonts w:ascii="ITC Avant Garde" w:eastAsia="Times New Roman" w:hAnsi="ITC Avant Garde"/>
        </w:rPr>
        <w:t xml:space="preserve">s </w:t>
      </w:r>
      <w:r w:rsidR="00A01830" w:rsidRPr="001C10FE">
        <w:rPr>
          <w:rFonts w:ascii="ITC Avant Garde" w:eastAsia="Times New Roman" w:hAnsi="ITC Avant Garde"/>
        </w:rPr>
        <w:t xml:space="preserve">siguientes términos, </w:t>
      </w:r>
      <w:r w:rsidR="00F00A30" w:rsidRPr="001C10FE">
        <w:rPr>
          <w:rFonts w:ascii="ITC Avant Garde" w:eastAsia="Times New Roman" w:hAnsi="ITC Avant Garde"/>
        </w:rPr>
        <w:t xml:space="preserve">condiciones </w:t>
      </w:r>
      <w:r w:rsidR="00F00A30" w:rsidRPr="001C10FE">
        <w:rPr>
          <w:rFonts w:ascii="ITC Avant Garde" w:eastAsia="Times New Roman" w:hAnsi="ITC Avant Garde"/>
          <w:lang w:eastAsia="es-ES"/>
        </w:rPr>
        <w:t>y</w:t>
      </w:r>
      <w:r w:rsidR="00F6778F" w:rsidRPr="001C10FE">
        <w:rPr>
          <w:rFonts w:ascii="ITC Avant Garde" w:eastAsia="Times New Roman" w:hAnsi="ITC Avant Garde"/>
          <w:lang w:eastAsia="es-ES"/>
        </w:rPr>
        <w:t xml:space="preserve"> tarifas de interconexión que no pudo convenir con las empresas</w:t>
      </w:r>
      <w:r w:rsidR="00B90B19" w:rsidRPr="001C10FE">
        <w:rPr>
          <w:rFonts w:ascii="ITC Avant Garde" w:eastAsia="Times New Roman" w:hAnsi="ITC Avant Garde"/>
        </w:rPr>
        <w:t xml:space="preserve"> </w:t>
      </w:r>
      <w:r w:rsidR="004D2F00" w:rsidRPr="001C10FE">
        <w:rPr>
          <w:rFonts w:ascii="ITC Avant Garde" w:eastAsia="Times New Roman" w:hAnsi="ITC Avant Garde"/>
        </w:rPr>
        <w:t>Pegaso y GTM</w:t>
      </w:r>
      <w:r w:rsidR="00DD7F1E" w:rsidRPr="001C10FE">
        <w:rPr>
          <w:rFonts w:ascii="ITC Avant Garde" w:eastAsia="Times New Roman" w:hAnsi="ITC Avant Garde"/>
        </w:rPr>
        <w:t>:</w:t>
      </w:r>
    </w:p>
    <w:p w14:paraId="76F6F674" w14:textId="77777777" w:rsidR="00866C94" w:rsidRDefault="004D2F00" w:rsidP="00866C94">
      <w:pPr>
        <w:pStyle w:val="Prrafodelista"/>
        <w:widowControl w:val="0"/>
        <w:numPr>
          <w:ilvl w:val="0"/>
          <w:numId w:val="18"/>
        </w:numPr>
        <w:tabs>
          <w:tab w:val="center" w:pos="4419"/>
          <w:tab w:val="right" w:pos="8838"/>
        </w:tabs>
        <w:spacing w:before="240" w:after="200" w:line="276" w:lineRule="auto"/>
        <w:rPr>
          <w:rFonts w:ascii="ITC Avant Garde" w:hAnsi="ITC Avant Garde"/>
        </w:rPr>
      </w:pPr>
      <w:r w:rsidRPr="001C10FE">
        <w:rPr>
          <w:rFonts w:ascii="ITC Avant Garde" w:hAnsi="ITC Avant Garde"/>
        </w:rPr>
        <w:t xml:space="preserve">La obligación de celebrar un convenio de interconexión entre las redes públicas de telecomunicaciones de Televisa y las redes públicas de </w:t>
      </w:r>
      <w:r w:rsidR="00197EA5" w:rsidRPr="001C10FE">
        <w:rPr>
          <w:rFonts w:ascii="ITC Avant Garde" w:hAnsi="ITC Avant Garde"/>
        </w:rPr>
        <w:t>t</w:t>
      </w:r>
      <w:r w:rsidRPr="001C10FE">
        <w:rPr>
          <w:rFonts w:ascii="ITC Avant Garde" w:hAnsi="ITC Avant Garde"/>
        </w:rPr>
        <w:t>elecomunicaciones de Pegaso y GTM</w:t>
      </w:r>
      <w:r w:rsidR="00197EA5" w:rsidRPr="001C10FE">
        <w:rPr>
          <w:rFonts w:ascii="ITC Avant Garde" w:hAnsi="ITC Avant Garde"/>
        </w:rPr>
        <w:t>.</w:t>
      </w:r>
    </w:p>
    <w:p w14:paraId="3E2916A6" w14:textId="77777777" w:rsidR="00866C94" w:rsidRDefault="004D2F00" w:rsidP="00866C94">
      <w:pPr>
        <w:pStyle w:val="Prrafodelista"/>
        <w:numPr>
          <w:ilvl w:val="0"/>
          <w:numId w:val="18"/>
        </w:numPr>
        <w:spacing w:before="240" w:after="200" w:line="276" w:lineRule="auto"/>
        <w:rPr>
          <w:rFonts w:ascii="ITC Avant Garde" w:hAnsi="ITC Avant Garde"/>
        </w:rPr>
      </w:pPr>
      <w:r w:rsidRPr="001C10FE">
        <w:rPr>
          <w:rFonts w:ascii="ITC Avant Garde" w:hAnsi="ITC Avant Garde"/>
        </w:rPr>
        <w:t xml:space="preserve">La tarifa de interconexión para el año 2017, aplicable al tráfico que se origine en la red del servicio local fijo de Televisa y cuyo destino sea la red del </w:t>
      </w:r>
      <w:r w:rsidR="00197EA5" w:rsidRPr="001C10FE">
        <w:rPr>
          <w:rFonts w:ascii="ITC Avant Garde" w:hAnsi="ITC Avant Garde"/>
        </w:rPr>
        <w:t xml:space="preserve">servicio local fijo </w:t>
      </w:r>
      <w:r w:rsidRPr="001C10FE">
        <w:rPr>
          <w:rFonts w:ascii="ITC Avant Garde" w:hAnsi="ITC Avant Garde"/>
        </w:rPr>
        <w:t xml:space="preserve">de GTM, que deberá ser resuelta en términos del artículo 131 inciso b) de la </w:t>
      </w:r>
      <w:proofErr w:type="spellStart"/>
      <w:r w:rsidRPr="001C10FE">
        <w:rPr>
          <w:rFonts w:ascii="ITC Avant Garde" w:hAnsi="ITC Avant Garde"/>
        </w:rPr>
        <w:t>LFT</w:t>
      </w:r>
      <w:r w:rsidR="00197EA5" w:rsidRPr="001C10FE">
        <w:rPr>
          <w:rFonts w:ascii="ITC Avant Garde" w:hAnsi="ITC Avant Garde"/>
        </w:rPr>
        <w:t>y</w:t>
      </w:r>
      <w:r w:rsidRPr="001C10FE">
        <w:rPr>
          <w:rFonts w:ascii="ITC Avant Garde" w:hAnsi="ITC Avant Garde"/>
        </w:rPr>
        <w:t>R</w:t>
      </w:r>
      <w:proofErr w:type="spellEnd"/>
      <w:r w:rsidRPr="001C10FE">
        <w:rPr>
          <w:rFonts w:ascii="ITC Avant Garde" w:hAnsi="ITC Avant Garde"/>
        </w:rPr>
        <w:t xml:space="preserve"> y publicada en el último trimestre del año, de conformidad con lo dispuesto por el artículo 137 del mismo ordenamiento.</w:t>
      </w:r>
    </w:p>
    <w:p w14:paraId="1E143E6D" w14:textId="77777777" w:rsidR="00866C94" w:rsidRDefault="001F2D22" w:rsidP="00866C94">
      <w:pPr>
        <w:pStyle w:val="Prrafodelista"/>
        <w:widowControl w:val="0"/>
        <w:numPr>
          <w:ilvl w:val="0"/>
          <w:numId w:val="18"/>
        </w:numPr>
        <w:tabs>
          <w:tab w:val="center" w:pos="4419"/>
          <w:tab w:val="right" w:pos="8838"/>
        </w:tabs>
        <w:spacing w:before="240" w:after="200" w:line="276" w:lineRule="auto"/>
        <w:rPr>
          <w:rFonts w:ascii="ITC Avant Garde" w:hAnsi="ITC Avant Garde"/>
        </w:rPr>
      </w:pPr>
      <w:r w:rsidRPr="001C10FE">
        <w:rPr>
          <w:rFonts w:ascii="ITC Avant Garde" w:hAnsi="ITC Avant Garde"/>
        </w:rPr>
        <w:t>La tarifa de interconexión para el año 2017</w:t>
      </w:r>
      <w:r w:rsidR="00A8143F" w:rsidRPr="001C10FE">
        <w:rPr>
          <w:rFonts w:ascii="ITC Avant Garde" w:hAnsi="ITC Avant Garde"/>
        </w:rPr>
        <w:t>,</w:t>
      </w:r>
      <w:r w:rsidRPr="001C10FE">
        <w:rPr>
          <w:rFonts w:ascii="ITC Avant Garde" w:hAnsi="ITC Avant Garde"/>
        </w:rPr>
        <w:t xml:space="preserve"> aplicable al tráfico que se origine en la red del servicio local fijo de Televisa y cuyo destino sea la red del </w:t>
      </w:r>
      <w:r w:rsidR="00197EA5" w:rsidRPr="001C10FE">
        <w:rPr>
          <w:rFonts w:ascii="ITC Avant Garde" w:hAnsi="ITC Avant Garde"/>
        </w:rPr>
        <w:t xml:space="preserve">servicio local móvil </w:t>
      </w:r>
      <w:r w:rsidRPr="001C10FE">
        <w:rPr>
          <w:rFonts w:ascii="ITC Avant Garde" w:hAnsi="ITC Avant Garde"/>
        </w:rPr>
        <w:t>de Pegaso a razón de $0.1495 pesos M.N. por minuto de interconexión</w:t>
      </w:r>
      <w:r w:rsidR="004D2F00" w:rsidRPr="001C10FE">
        <w:rPr>
          <w:rFonts w:ascii="ITC Avant Garde" w:hAnsi="ITC Avant Garde"/>
        </w:rPr>
        <w:t xml:space="preserve">. </w:t>
      </w:r>
    </w:p>
    <w:p w14:paraId="19C42DBA" w14:textId="77777777" w:rsidR="00866C94" w:rsidRDefault="004D2F00" w:rsidP="00866C94">
      <w:pPr>
        <w:pStyle w:val="Prrafodelista"/>
        <w:widowControl w:val="0"/>
        <w:numPr>
          <w:ilvl w:val="0"/>
          <w:numId w:val="18"/>
        </w:numPr>
        <w:tabs>
          <w:tab w:val="center" w:pos="4419"/>
          <w:tab w:val="right" w:pos="8838"/>
        </w:tabs>
        <w:spacing w:before="240" w:after="200" w:line="276" w:lineRule="auto"/>
        <w:rPr>
          <w:rFonts w:ascii="ITC Avant Garde" w:hAnsi="ITC Avant Garde"/>
        </w:rPr>
      </w:pPr>
      <w:r w:rsidRPr="001C10FE">
        <w:rPr>
          <w:rFonts w:ascii="ITC Avant Garde" w:hAnsi="ITC Avant Garde"/>
        </w:rPr>
        <w:t>Las con</w:t>
      </w:r>
      <w:r w:rsidR="001F2D22" w:rsidRPr="001C10FE">
        <w:rPr>
          <w:rFonts w:ascii="ITC Avant Garde" w:hAnsi="ITC Avant Garde"/>
        </w:rPr>
        <w:t xml:space="preserve">traprestaciones </w:t>
      </w:r>
      <w:r w:rsidRPr="001C10FE">
        <w:rPr>
          <w:rFonts w:ascii="ITC Avant Garde" w:hAnsi="ITC Avant Garde"/>
        </w:rPr>
        <w:t xml:space="preserve">se calcularán </w:t>
      </w:r>
      <w:r w:rsidR="001F2D22" w:rsidRPr="001C10FE">
        <w:rPr>
          <w:rFonts w:ascii="ITC Avant Garde" w:hAnsi="ITC Avant Garde"/>
        </w:rPr>
        <w:t>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2342C9FF" w14:textId="77777777" w:rsidR="00866C94" w:rsidRDefault="008C68F3" w:rsidP="00866C94">
      <w:pPr>
        <w:pStyle w:val="Prrafodelista"/>
        <w:widowControl w:val="0"/>
        <w:numPr>
          <w:ilvl w:val="0"/>
          <w:numId w:val="18"/>
        </w:numPr>
        <w:tabs>
          <w:tab w:val="center" w:pos="4419"/>
          <w:tab w:val="right" w:pos="8838"/>
        </w:tabs>
        <w:spacing w:before="240" w:after="200" w:line="276" w:lineRule="auto"/>
        <w:rPr>
          <w:rFonts w:ascii="ITC Avant Garde" w:hAnsi="ITC Avant Garde"/>
        </w:rPr>
      </w:pPr>
      <w:r w:rsidRPr="001C10FE">
        <w:rPr>
          <w:rFonts w:ascii="ITC Avant Garde" w:hAnsi="ITC Avant Garde"/>
        </w:rPr>
        <w:t>La determinación de que en adición a los protocolos de interconexión</w:t>
      </w:r>
      <w:r w:rsidR="00197EA5" w:rsidRPr="001C10FE">
        <w:rPr>
          <w:rFonts w:ascii="ITC Avant Garde" w:hAnsi="ITC Avant Garde"/>
        </w:rPr>
        <w:t xml:space="preserve"> a través de los cuales actualmente se cursa el tráfico entre las redes públicas de telecomunicaciones de Televisa, y las redes públicas de GTM y Pegaso</w:t>
      </w:r>
      <w:r w:rsidRPr="001C10FE">
        <w:rPr>
          <w:rFonts w:ascii="ITC Avant Garde" w:hAnsi="ITC Avant Garde"/>
        </w:rPr>
        <w:t xml:space="preserve">, </w:t>
      </w:r>
      <w:r w:rsidR="00197EA5" w:rsidRPr="001C10FE">
        <w:rPr>
          <w:rFonts w:ascii="ITC Avant Garde" w:hAnsi="ITC Avant Garde"/>
        </w:rPr>
        <w:t xml:space="preserve">también </w:t>
      </w:r>
      <w:r w:rsidRPr="001C10FE">
        <w:rPr>
          <w:rFonts w:ascii="ITC Avant Garde" w:hAnsi="ITC Avant Garde"/>
        </w:rPr>
        <w:t>se pueda realizar a través del protocolo IP en su versión SIP (</w:t>
      </w:r>
      <w:proofErr w:type="spellStart"/>
      <w:r w:rsidRPr="001C10FE">
        <w:rPr>
          <w:rFonts w:ascii="ITC Avant Garde" w:hAnsi="ITC Avant Garde"/>
        </w:rPr>
        <w:t>Session</w:t>
      </w:r>
      <w:proofErr w:type="spellEnd"/>
      <w:r w:rsidRPr="001C10FE">
        <w:rPr>
          <w:rFonts w:ascii="ITC Avant Garde" w:hAnsi="ITC Avant Garde"/>
        </w:rPr>
        <w:t xml:space="preserve"> </w:t>
      </w:r>
      <w:proofErr w:type="spellStart"/>
      <w:r w:rsidRPr="001C10FE">
        <w:rPr>
          <w:rFonts w:ascii="ITC Avant Garde" w:hAnsi="ITC Avant Garde"/>
        </w:rPr>
        <w:t>Initiation</w:t>
      </w:r>
      <w:proofErr w:type="spellEnd"/>
      <w:r w:rsidRPr="001C10FE">
        <w:rPr>
          <w:rFonts w:ascii="ITC Avant Garde" w:hAnsi="ITC Avant Garde"/>
        </w:rPr>
        <w:t xml:space="preserve"> </w:t>
      </w:r>
      <w:proofErr w:type="spellStart"/>
      <w:r w:rsidRPr="001C10FE">
        <w:rPr>
          <w:rFonts w:ascii="ITC Avant Garde" w:hAnsi="ITC Avant Garde"/>
        </w:rPr>
        <w:t>Protocol</w:t>
      </w:r>
      <w:proofErr w:type="spellEnd"/>
      <w:r w:rsidRPr="001C10FE">
        <w:rPr>
          <w:rFonts w:ascii="ITC Avant Garde" w:hAnsi="ITC Avant Garde"/>
        </w:rPr>
        <w:t>).</w:t>
      </w:r>
    </w:p>
    <w:p w14:paraId="03F810FB" w14:textId="77777777" w:rsidR="00866C94" w:rsidRDefault="0077601E" w:rsidP="00866C94">
      <w:pPr>
        <w:spacing w:before="240"/>
        <w:jc w:val="both"/>
        <w:rPr>
          <w:rFonts w:ascii="ITC Avant Garde" w:hAnsi="ITC Avant Garde"/>
        </w:rPr>
      </w:pPr>
      <w:r w:rsidRPr="001C10FE">
        <w:rPr>
          <w:rFonts w:ascii="ITC Avant Garde" w:hAnsi="ITC Avant Garde"/>
        </w:rPr>
        <w:t xml:space="preserve">Ahora bien, en </w:t>
      </w:r>
      <w:r w:rsidR="00330A35" w:rsidRPr="001C10FE">
        <w:rPr>
          <w:rFonts w:ascii="ITC Avant Garde" w:hAnsi="ITC Avant Garde"/>
        </w:rPr>
        <w:t>los escritos de r</w:t>
      </w:r>
      <w:r w:rsidRPr="001C10FE">
        <w:rPr>
          <w:rFonts w:ascii="ITC Avant Garde" w:hAnsi="ITC Avant Garde"/>
        </w:rPr>
        <w:t xml:space="preserve">espuesta de GTM y </w:t>
      </w:r>
      <w:r w:rsidR="00C60547" w:rsidRPr="001C10FE">
        <w:rPr>
          <w:rFonts w:ascii="ITC Avant Garde" w:hAnsi="ITC Avant Garde"/>
        </w:rPr>
        <w:t>Pegaso</w:t>
      </w:r>
      <w:r w:rsidRPr="001C10FE">
        <w:rPr>
          <w:rFonts w:ascii="ITC Avant Garde" w:hAnsi="ITC Avant Garde"/>
        </w:rPr>
        <w:t>,</w:t>
      </w:r>
      <w:r w:rsidRPr="001C10FE">
        <w:rPr>
          <w:rFonts w:ascii="ITC Avant Garde" w:eastAsia="Times New Roman" w:hAnsi="ITC Avant Garde"/>
        </w:rPr>
        <w:t xml:space="preserve"> además de formular manifestaciones respecto a la improcedencia tanto de las Solicitudes de Resolución </w:t>
      </w:r>
      <w:r w:rsidRPr="001C10FE">
        <w:rPr>
          <w:rFonts w:ascii="ITC Avant Garde" w:eastAsia="Times New Roman" w:hAnsi="ITC Avant Garde"/>
        </w:rPr>
        <w:lastRenderedPageBreak/>
        <w:t>como del presente procedimiento administrativo, plantearon las siguientes</w:t>
      </w:r>
      <w:r w:rsidRPr="001C10FE">
        <w:rPr>
          <w:rFonts w:ascii="ITC Avant Garde" w:hAnsi="ITC Avant Garde"/>
        </w:rPr>
        <w:t xml:space="preserve"> condiciones no convenidas con </w:t>
      </w:r>
      <w:r w:rsidR="008C68F3" w:rsidRPr="001C10FE">
        <w:rPr>
          <w:rFonts w:ascii="ITC Avant Garde" w:hAnsi="ITC Avant Garde"/>
        </w:rPr>
        <w:t>Televisa</w:t>
      </w:r>
      <w:r w:rsidRPr="001C10FE">
        <w:rPr>
          <w:rFonts w:ascii="ITC Avant Garde" w:hAnsi="ITC Avant Garde"/>
        </w:rPr>
        <w:t>:</w:t>
      </w:r>
    </w:p>
    <w:p w14:paraId="2751B484" w14:textId="77777777" w:rsidR="00866C94" w:rsidRDefault="00D662F4" w:rsidP="00866C94">
      <w:pPr>
        <w:pStyle w:val="Prrafodelista"/>
        <w:widowControl w:val="0"/>
        <w:numPr>
          <w:ilvl w:val="0"/>
          <w:numId w:val="18"/>
        </w:numPr>
        <w:tabs>
          <w:tab w:val="center" w:pos="4419"/>
          <w:tab w:val="right" w:pos="8838"/>
        </w:tabs>
        <w:spacing w:before="240" w:after="200" w:line="276" w:lineRule="auto"/>
        <w:rPr>
          <w:rFonts w:ascii="ITC Avant Garde" w:hAnsi="ITC Avant Garde"/>
        </w:rPr>
      </w:pPr>
      <w:r w:rsidRPr="001C10FE">
        <w:rPr>
          <w:rFonts w:ascii="ITC Avant Garde" w:hAnsi="ITC Avant Garde"/>
        </w:rPr>
        <w:t>La tarifa por terminación conmutada en la red fija de Televisa.</w:t>
      </w:r>
    </w:p>
    <w:p w14:paraId="469500DB" w14:textId="77777777" w:rsidR="00866C94" w:rsidRDefault="00EC615C" w:rsidP="00866C94">
      <w:pPr>
        <w:pStyle w:val="Prrafodelista"/>
        <w:widowControl w:val="0"/>
        <w:numPr>
          <w:ilvl w:val="0"/>
          <w:numId w:val="18"/>
        </w:numPr>
        <w:tabs>
          <w:tab w:val="center" w:pos="4419"/>
          <w:tab w:val="right" w:pos="8838"/>
        </w:tabs>
        <w:spacing w:before="240" w:after="200" w:line="276" w:lineRule="auto"/>
        <w:rPr>
          <w:rFonts w:ascii="ITC Avant Garde" w:hAnsi="ITC Avant Garde"/>
        </w:rPr>
      </w:pPr>
      <w:r w:rsidRPr="001C10FE">
        <w:rPr>
          <w:rFonts w:ascii="ITC Avant Garde" w:hAnsi="ITC Avant Garde"/>
        </w:rPr>
        <w:t>Inclusión del factor de ajuste a la tarifa de interconexión para 2017 por variación en el tipo de cambio.</w:t>
      </w:r>
    </w:p>
    <w:p w14:paraId="2D65C17D" w14:textId="77777777" w:rsidR="00866C94" w:rsidRDefault="00823338" w:rsidP="00866C94">
      <w:pPr>
        <w:spacing w:before="240"/>
        <w:jc w:val="both"/>
        <w:rPr>
          <w:rFonts w:ascii="ITC Avant Garde" w:eastAsia="Times New Roman" w:hAnsi="ITC Avant Garde"/>
        </w:rPr>
      </w:pPr>
      <w:r w:rsidRPr="001C10FE">
        <w:rPr>
          <w:rFonts w:ascii="ITC Avant Garde" w:eastAsia="Times New Roman" w:hAnsi="ITC Avant Garde"/>
        </w:rPr>
        <w:t xml:space="preserve">Al respecto el artículo 129 de la </w:t>
      </w:r>
      <w:proofErr w:type="spellStart"/>
      <w:r w:rsidRPr="001C10FE">
        <w:rPr>
          <w:rFonts w:ascii="ITC Avant Garde" w:eastAsia="Times New Roman" w:hAnsi="ITC Avant Garde"/>
        </w:rPr>
        <w:t>LFTyR</w:t>
      </w:r>
      <w:proofErr w:type="spellEnd"/>
      <w:r w:rsidRPr="001C10FE">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65CD786D" w14:textId="77777777" w:rsidR="00866C94" w:rsidRDefault="00823338" w:rsidP="00866C94">
      <w:pPr>
        <w:spacing w:before="240"/>
        <w:jc w:val="both"/>
        <w:rPr>
          <w:rFonts w:ascii="ITC Avant Garde" w:eastAsia="Times New Roman" w:hAnsi="ITC Avant Garde"/>
        </w:rPr>
      </w:pPr>
      <w:r w:rsidRPr="001C10FE">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726BDC0C" w14:textId="77777777" w:rsidR="00866C94" w:rsidRDefault="00823338" w:rsidP="00866C94">
      <w:pPr>
        <w:spacing w:before="240"/>
        <w:jc w:val="both"/>
        <w:rPr>
          <w:rFonts w:ascii="ITC Avant Garde" w:eastAsia="Times New Roman" w:hAnsi="ITC Avant Garde"/>
        </w:rPr>
      </w:pPr>
      <w:r w:rsidRPr="001C10FE">
        <w:rPr>
          <w:rFonts w:ascii="ITC Avant Garde" w:eastAsia="Times New Roman" w:hAnsi="ITC Avant Garde"/>
        </w:rPr>
        <w:t>Es así que el Instituto deberá resolver integralmente sobre las tarifas, términos y condiciones que no hayan podido convenir las partes durante los sesenta</w:t>
      </w:r>
      <w:r w:rsidR="006417D8" w:rsidRPr="001C10FE">
        <w:rPr>
          <w:rFonts w:ascii="ITC Avant Garde" w:eastAsia="Times New Roman" w:hAnsi="ITC Avant Garde"/>
        </w:rPr>
        <w:t xml:space="preserve"> [60)</w:t>
      </w:r>
      <w:r w:rsidRPr="001C10FE">
        <w:rPr>
          <w:rFonts w:ascii="ITC Avant Garde" w:eastAsia="Times New Roman" w:hAnsi="ITC Avant Garde"/>
        </w:rPr>
        <w:t xml:space="preserve"> días naturales que tienen para suscribir el convenio.</w:t>
      </w:r>
    </w:p>
    <w:p w14:paraId="399C2F76" w14:textId="77777777" w:rsidR="00866C94" w:rsidRDefault="00124A7C" w:rsidP="00866C94">
      <w:pPr>
        <w:spacing w:before="240"/>
        <w:jc w:val="both"/>
        <w:rPr>
          <w:rFonts w:ascii="ITC Avant Garde" w:eastAsia="Times New Roman" w:hAnsi="ITC Avant Garde"/>
        </w:rPr>
      </w:pPr>
      <w:r w:rsidRPr="001C10FE">
        <w:rPr>
          <w:rFonts w:ascii="ITC Avant Garde" w:eastAsia="Times New Roman" w:hAnsi="ITC Avant Garde"/>
        </w:rPr>
        <w:t>En ese sentido</w:t>
      </w:r>
      <w:r w:rsidR="00696845" w:rsidRPr="001C10FE">
        <w:rPr>
          <w:rFonts w:ascii="ITC Avant Garde" w:eastAsia="Times New Roman" w:hAnsi="ITC Avant Garde"/>
        </w:rPr>
        <w:t xml:space="preserve">, Pegaso </w:t>
      </w:r>
      <w:r w:rsidRPr="001C10FE">
        <w:rPr>
          <w:rFonts w:ascii="ITC Avant Garde" w:eastAsia="Times New Roman" w:hAnsi="ITC Avant Garde"/>
        </w:rPr>
        <w:t xml:space="preserve">y GTM </w:t>
      </w:r>
      <w:r w:rsidR="00696845" w:rsidRPr="001C10FE">
        <w:rPr>
          <w:rFonts w:ascii="ITC Avant Garde" w:eastAsia="Times New Roman" w:hAnsi="ITC Avant Garde"/>
        </w:rPr>
        <w:t>manifiesta</w:t>
      </w:r>
      <w:r w:rsidRPr="001C10FE">
        <w:rPr>
          <w:rFonts w:ascii="ITC Avant Garde" w:eastAsia="Times New Roman" w:hAnsi="ITC Avant Garde"/>
        </w:rPr>
        <w:t>n</w:t>
      </w:r>
      <w:r w:rsidR="00696845" w:rsidRPr="001C10FE">
        <w:rPr>
          <w:rFonts w:ascii="ITC Avant Garde" w:eastAsia="Times New Roman" w:hAnsi="ITC Avant Garde"/>
        </w:rPr>
        <w:t xml:space="preserve"> que se considere como una condición no convenida la mencionada en el inciso </w:t>
      </w:r>
      <w:r w:rsidRPr="001C10FE">
        <w:rPr>
          <w:rFonts w:ascii="ITC Avant Garde" w:eastAsia="Times New Roman" w:hAnsi="ITC Avant Garde"/>
        </w:rPr>
        <w:t>g</w:t>
      </w:r>
      <w:r w:rsidR="00696845" w:rsidRPr="001C10FE">
        <w:rPr>
          <w:rFonts w:ascii="ITC Avant Garde" w:eastAsia="Times New Roman" w:hAnsi="ITC Avant Garde"/>
        </w:rPr>
        <w:t>), toda vez que la tarifa que resulta de la Metodología de Costos empleada por el Instituto considera costos unitarios en dólares a precios de un año determinado, por lo que es necesario incluir un mecanismo de ajuste para evitar que las variaciones en la inflación y el tipo de cambio considerados se traduzcan en desviaciones significativas del valor en pesos corrientes de la tarifa respecto del costo efectivamente calculado por el Instituto, con base en la metodología utilizada. En consecuencia, proponen que el valor en pesos corrientes de la tarifa de terminación se pueda ajustar por el porcentaje de variación de la inflación anual o del tipo de cambio que exceda un rango de 5%.</w:t>
      </w:r>
    </w:p>
    <w:p w14:paraId="19F112D9" w14:textId="77777777" w:rsidR="00866C94" w:rsidRDefault="00696845" w:rsidP="00866C94">
      <w:pPr>
        <w:spacing w:before="240"/>
        <w:jc w:val="both"/>
        <w:rPr>
          <w:rFonts w:ascii="ITC Avant Garde" w:eastAsia="Times New Roman" w:hAnsi="ITC Avant Garde"/>
        </w:rPr>
      </w:pPr>
      <w:r w:rsidRPr="001C10FE">
        <w:rPr>
          <w:rFonts w:ascii="ITC Avant Garde" w:eastAsia="Times New Roman" w:hAnsi="ITC Avant Garde"/>
        </w:rPr>
        <w:lastRenderedPageBreak/>
        <w:t>En ese orden de ideas, considera que la inclusión de una cláusula de ajuste o actualización por depreciación o variación relevante en el tipo de cambio, resulta en un ejercicio regulatorio que apunta a dar mayor certeza y seguridad jurídica a la industria.</w:t>
      </w:r>
    </w:p>
    <w:p w14:paraId="7B7A936C" w14:textId="77777777" w:rsidR="00866C94" w:rsidRDefault="00696845" w:rsidP="00866C94">
      <w:pPr>
        <w:spacing w:before="240"/>
        <w:jc w:val="both"/>
        <w:rPr>
          <w:rFonts w:ascii="ITC Avant Garde" w:eastAsia="Times New Roman" w:hAnsi="ITC Avant Garde"/>
        </w:rPr>
      </w:pPr>
      <w:r w:rsidRPr="001C10FE">
        <w:rPr>
          <w:rFonts w:ascii="ITC Avant Garde" w:eastAsia="Times New Roman" w:hAnsi="ITC Avant Garde"/>
        </w:rPr>
        <w:t>Al respecto, el Instituto señala que el lineamiento Décimo Tercero de la Metodología de Costos, establece que:</w:t>
      </w:r>
    </w:p>
    <w:p w14:paraId="686D78BF" w14:textId="77777777" w:rsidR="00866C94" w:rsidRDefault="00696845" w:rsidP="00866C94">
      <w:pPr>
        <w:spacing w:before="240"/>
        <w:ind w:left="851" w:right="851"/>
        <w:jc w:val="both"/>
        <w:rPr>
          <w:rFonts w:ascii="ITC Avant Garde" w:eastAsia="Times New Roman" w:hAnsi="ITC Avant Garde"/>
          <w:i/>
          <w:sz w:val="18"/>
          <w:szCs w:val="18"/>
        </w:rPr>
      </w:pPr>
      <w:r w:rsidRPr="001C10FE">
        <w:rPr>
          <w:rFonts w:ascii="ITC Avant Garde" w:eastAsia="Times New Roman" w:hAnsi="ITC Avant Garde"/>
          <w:i/>
          <w:sz w:val="18"/>
          <w:szCs w:val="18"/>
        </w:rPr>
        <w:t>"</w:t>
      </w:r>
      <w:r w:rsidRPr="001C10FE">
        <w:rPr>
          <w:rFonts w:ascii="ITC Avant Garde" w:eastAsia="Times New Roman" w:hAnsi="ITC Avant Garde"/>
          <w:b/>
          <w:i/>
          <w:sz w:val="18"/>
          <w:szCs w:val="18"/>
        </w:rPr>
        <w:t>DÉCIMO TERCERO</w:t>
      </w:r>
      <w:r w:rsidRPr="001C10FE">
        <w:rPr>
          <w:rFonts w:ascii="ITC Avant Garde" w:eastAsia="Times New Roman" w:hAnsi="ITC Avant Garde"/>
          <w:i/>
          <w:sz w:val="18"/>
          <w:szCs w:val="18"/>
        </w:rPr>
        <w:t>.- Los resultados del Modelo de Costos del Servicio de Interconexión relevante tendrán vigencia del 1°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7A70BB2D" w14:textId="77777777" w:rsidR="00866C94" w:rsidRDefault="00696845" w:rsidP="00866C94">
      <w:pPr>
        <w:spacing w:before="240"/>
        <w:jc w:val="both"/>
        <w:rPr>
          <w:rFonts w:ascii="ITC Avant Garde" w:eastAsia="Times New Roman" w:hAnsi="ITC Avant Garde"/>
        </w:rPr>
      </w:pPr>
      <w:r w:rsidRPr="001C10FE">
        <w:rPr>
          <w:rFonts w:ascii="ITC Avant Garde" w:eastAsia="Times New Roman" w:hAnsi="ITC Avant Garde"/>
        </w:rPr>
        <w:t xml:space="preserve">En este sentido, el Instituto en el Acuerdo de CTM y Tarifas 2017 señaló que, con relación al Modelo de Costos utilizado para determinar las tarifas de interconexión aplicables durante </w:t>
      </w:r>
      <w:r w:rsidR="00124A7C" w:rsidRPr="001C10FE">
        <w:rPr>
          <w:rFonts w:ascii="ITC Avant Garde" w:eastAsia="Times New Roman" w:hAnsi="ITC Avant Garde"/>
        </w:rPr>
        <w:t>2017</w:t>
      </w:r>
      <w:r w:rsidR="002B3B55" w:rsidRPr="001C10FE">
        <w:rPr>
          <w:rFonts w:ascii="ITC Avant Garde" w:eastAsia="Times New Roman" w:hAnsi="ITC Avant Garde"/>
        </w:rPr>
        <w:t xml:space="preserve">, entre otra información, </w:t>
      </w:r>
      <w:r w:rsidRPr="001C10FE">
        <w:rPr>
          <w:rFonts w:ascii="ITC Avant Garde" w:eastAsia="Times New Roman" w:hAnsi="ITC Avant Garde"/>
        </w:rPr>
        <w:t xml:space="preserve">se ha actualizado </w:t>
      </w:r>
      <w:r w:rsidR="00422CBE" w:rsidRPr="001C10FE">
        <w:rPr>
          <w:rFonts w:ascii="ITC Avant Garde" w:eastAsia="Times New Roman" w:hAnsi="ITC Avant Garde"/>
        </w:rPr>
        <w:t>e</w:t>
      </w:r>
      <w:r w:rsidRPr="001C10FE">
        <w:rPr>
          <w:rFonts w:ascii="ITC Avant Garde" w:eastAsia="Times New Roman" w:hAnsi="ITC Avant Garde"/>
        </w:rPr>
        <w:t>l tipo de cambio a efecto de tener en cuenta los valores más recientes de dicha variable financiera.</w:t>
      </w:r>
    </w:p>
    <w:p w14:paraId="408CB1F9" w14:textId="77777777" w:rsidR="00866C94" w:rsidRDefault="00696845" w:rsidP="00866C94">
      <w:pPr>
        <w:spacing w:before="240"/>
        <w:jc w:val="both"/>
        <w:rPr>
          <w:rFonts w:ascii="ITC Avant Garde" w:eastAsia="Times New Roman" w:hAnsi="ITC Avant Garde"/>
        </w:rPr>
      </w:pPr>
      <w:r w:rsidRPr="001C10FE">
        <w:rPr>
          <w:rFonts w:ascii="ITC Avant Garde" w:eastAsia="Times New Roman" w:hAnsi="ITC Avant Garde"/>
        </w:rPr>
        <w:t xml:space="preserve">Por lo anterior, este Instituto determina que no es procedente incluir un factor de ajuste como el solicitado en el inciso </w:t>
      </w:r>
      <w:r w:rsidR="00124A7C" w:rsidRPr="001C10FE">
        <w:rPr>
          <w:rFonts w:ascii="ITC Avant Garde" w:eastAsia="Times New Roman" w:hAnsi="ITC Avant Garde"/>
        </w:rPr>
        <w:t>g</w:t>
      </w:r>
      <w:r w:rsidRPr="001C10FE">
        <w:rPr>
          <w:rFonts w:ascii="ITC Avant Garde" w:eastAsia="Times New Roman" w:hAnsi="ITC Avant Garde"/>
        </w:rPr>
        <w:t>)</w:t>
      </w:r>
      <w:r w:rsidR="002B3B55" w:rsidRPr="001C10FE">
        <w:rPr>
          <w:rFonts w:ascii="ITC Avant Garde" w:eastAsia="Times New Roman" w:hAnsi="ITC Avant Garde"/>
        </w:rPr>
        <w:t>, al haberse determinado las tarifas aplicables con base en la mejor información disponible</w:t>
      </w:r>
      <w:r w:rsidRPr="001C10FE">
        <w:rPr>
          <w:rFonts w:ascii="ITC Avant Garde" w:eastAsia="Times New Roman" w:hAnsi="ITC Avant Garde"/>
        </w:rPr>
        <w:t>.</w:t>
      </w:r>
    </w:p>
    <w:p w14:paraId="0AE80DD4" w14:textId="77777777" w:rsidR="00866C94" w:rsidRDefault="00823338" w:rsidP="00866C94">
      <w:pPr>
        <w:spacing w:before="240"/>
        <w:jc w:val="both"/>
        <w:rPr>
          <w:rFonts w:ascii="ITC Avant Garde" w:eastAsia="Times New Roman" w:hAnsi="ITC Avant Garde"/>
        </w:rPr>
      </w:pPr>
      <w:r w:rsidRPr="001C10FE">
        <w:rPr>
          <w:rFonts w:ascii="ITC Avant Garde" w:eastAsia="Times New Roman" w:hAnsi="ITC Avant Garde"/>
        </w:rPr>
        <w:t xml:space="preserve">En virtud de lo anterior, las condiciones no </w:t>
      </w:r>
      <w:proofErr w:type="gramStart"/>
      <w:r w:rsidRPr="001C10FE">
        <w:rPr>
          <w:rFonts w:ascii="ITC Avant Garde" w:eastAsia="Times New Roman" w:hAnsi="ITC Avant Garde"/>
        </w:rPr>
        <w:t>convenidas</w:t>
      </w:r>
      <w:r w:rsidR="00F02130" w:rsidRPr="001C10FE">
        <w:rPr>
          <w:rFonts w:ascii="ITC Avant Garde" w:eastAsia="Times New Roman" w:hAnsi="ITC Avant Garde"/>
        </w:rPr>
        <w:t xml:space="preserve"> </w:t>
      </w:r>
      <w:r w:rsidRPr="001C10FE">
        <w:rPr>
          <w:rFonts w:ascii="ITC Avant Garde" w:eastAsia="Times New Roman" w:hAnsi="ITC Avant Garde"/>
        </w:rPr>
        <w:t>sobre</w:t>
      </w:r>
      <w:proofErr w:type="gramEnd"/>
      <w:r w:rsidRPr="001C10FE">
        <w:rPr>
          <w:rFonts w:ascii="ITC Avant Garde" w:eastAsia="Times New Roman" w:hAnsi="ITC Avant Garde"/>
        </w:rPr>
        <w:t xml:space="preserve"> las cuales se pronunciará el Instituto serán las siguientes:</w:t>
      </w:r>
    </w:p>
    <w:p w14:paraId="2897C3CF" w14:textId="77777777" w:rsidR="00866C94" w:rsidRDefault="003758CC" w:rsidP="00866C94">
      <w:pPr>
        <w:numPr>
          <w:ilvl w:val="0"/>
          <w:numId w:val="39"/>
        </w:numPr>
        <w:spacing w:before="240"/>
        <w:jc w:val="both"/>
        <w:rPr>
          <w:rFonts w:ascii="ITC Avant Garde" w:eastAsia="Times New Roman" w:hAnsi="ITC Avant Garde"/>
          <w:lang w:eastAsia="es-ES"/>
        </w:rPr>
      </w:pPr>
      <w:r w:rsidRPr="001C10FE">
        <w:rPr>
          <w:rFonts w:ascii="ITC Avant Garde" w:eastAsia="Times New Roman" w:hAnsi="ITC Avant Garde"/>
          <w:lang w:eastAsia="es-ES"/>
        </w:rPr>
        <w:t xml:space="preserve">Tarifa de Interconexión que </w:t>
      </w:r>
      <w:r w:rsidR="00F02130" w:rsidRPr="001C10FE">
        <w:rPr>
          <w:rFonts w:ascii="ITC Avant Garde" w:eastAsia="Times New Roman" w:hAnsi="ITC Avant Garde"/>
          <w:lang w:eastAsia="es-ES"/>
        </w:rPr>
        <w:t xml:space="preserve">habrán de pagarse </w:t>
      </w:r>
      <w:r w:rsidRPr="001C10FE">
        <w:rPr>
          <w:rFonts w:ascii="ITC Avant Garde" w:eastAsia="Times New Roman" w:hAnsi="ITC Avant Garde"/>
          <w:lang w:eastAsia="es-ES"/>
        </w:rPr>
        <w:t>recíprocamente Televisa y GTM, por servicios de terminación del Servicio Local en usuarios fijos, para el periodo de 1 de enero al 31 de diciembre de 2017.</w:t>
      </w:r>
    </w:p>
    <w:p w14:paraId="62F57DCA" w14:textId="77777777" w:rsidR="00866C94" w:rsidRDefault="003758CC" w:rsidP="00866C94">
      <w:pPr>
        <w:numPr>
          <w:ilvl w:val="0"/>
          <w:numId w:val="39"/>
        </w:numPr>
        <w:spacing w:before="240"/>
        <w:jc w:val="both"/>
        <w:rPr>
          <w:rFonts w:ascii="ITC Avant Garde" w:eastAsia="Times New Roman" w:hAnsi="ITC Avant Garde"/>
          <w:lang w:eastAsia="es-ES"/>
        </w:rPr>
      </w:pPr>
      <w:r w:rsidRPr="001C10FE">
        <w:rPr>
          <w:rFonts w:ascii="ITC Avant Garde" w:eastAsia="Times New Roman" w:hAnsi="ITC Avant Garde"/>
          <w:lang w:eastAsia="es-ES"/>
        </w:rPr>
        <w:t>Tarifa de interconexión que Pegaso deberá pagar a Televisa por los servicios de terminación del Servicio Local en usuarios fijos, para el periodo de 1 de enero al 31 de diciembre de 2017.</w:t>
      </w:r>
    </w:p>
    <w:p w14:paraId="137E8317" w14:textId="77777777" w:rsidR="00866C94" w:rsidRDefault="003758CC" w:rsidP="00866C94">
      <w:pPr>
        <w:pStyle w:val="Prrafodelista"/>
        <w:numPr>
          <w:ilvl w:val="0"/>
          <w:numId w:val="39"/>
        </w:numPr>
        <w:spacing w:before="240" w:after="200" w:line="276" w:lineRule="auto"/>
        <w:rPr>
          <w:rFonts w:ascii="ITC Avant Garde" w:hAnsi="ITC Avant Garde"/>
        </w:rPr>
      </w:pPr>
      <w:r w:rsidRPr="001C10FE">
        <w:rPr>
          <w:rFonts w:ascii="ITC Avant Garde" w:hAnsi="ITC Avant Garde"/>
          <w:szCs w:val="22"/>
        </w:rPr>
        <w:t>Tarifa de interconexión que Televisa deberá pagar a Pegaso por los servicios de terminación del servicio local en usuarios móviles bajo la modalidad “El Que Llama Paga”, para el periodo del 1 de enero al 31 de diciembre de 2017.</w:t>
      </w:r>
    </w:p>
    <w:p w14:paraId="47158EBE" w14:textId="77777777" w:rsidR="00866C94" w:rsidRDefault="003758CC" w:rsidP="00866C94">
      <w:pPr>
        <w:pStyle w:val="Prrafodelista"/>
        <w:numPr>
          <w:ilvl w:val="0"/>
          <w:numId w:val="39"/>
        </w:numPr>
        <w:spacing w:before="240" w:after="200" w:line="276" w:lineRule="auto"/>
        <w:rPr>
          <w:rFonts w:ascii="ITC Avant Garde" w:hAnsi="ITC Avant Garde"/>
        </w:rPr>
      </w:pPr>
      <w:r w:rsidRPr="001C10FE">
        <w:rPr>
          <w:rFonts w:ascii="ITC Avant Garde" w:hAnsi="ITC Avant Garde"/>
        </w:rPr>
        <w:t xml:space="preserve">Las contraprestaciones que Televisa, GTM y Pegaso se deben pagar por los servicios de interconexión deberán determinarse con base en la duración real de las llamadas, sin redondear al minuto siguiente, debiendo para tal efecto sumar la duración de todas las llamadas completadas en el periodo de facturación </w:t>
      </w:r>
      <w:r w:rsidRPr="001C10FE">
        <w:rPr>
          <w:rFonts w:ascii="ITC Avant Garde" w:hAnsi="ITC Avant Garde"/>
        </w:rPr>
        <w:lastRenderedPageBreak/>
        <w:t>correspondiente medidas en segundos, y multiplicar los minutos equivalentes a dicha suma, por la tarifa correspondiente.</w:t>
      </w:r>
    </w:p>
    <w:p w14:paraId="45814A94" w14:textId="77777777" w:rsidR="00866C94" w:rsidRDefault="003758CC" w:rsidP="00866C94">
      <w:pPr>
        <w:pStyle w:val="Prrafodelista"/>
        <w:numPr>
          <w:ilvl w:val="0"/>
          <w:numId w:val="39"/>
        </w:numPr>
        <w:spacing w:before="240" w:after="200" w:line="276" w:lineRule="auto"/>
        <w:rPr>
          <w:rFonts w:ascii="ITC Avant Garde" w:hAnsi="ITC Avant Garde"/>
        </w:rPr>
      </w:pPr>
      <w:r w:rsidRPr="001C10FE">
        <w:rPr>
          <w:rFonts w:ascii="ITC Avant Garde" w:hAnsi="ITC Avant Garde"/>
        </w:rPr>
        <w:t>La determinación de interconectarse entre las redes de Televisa, GTM y Pegaso bajo el protocolo IP en su versión SIP.</w:t>
      </w:r>
    </w:p>
    <w:p w14:paraId="68AD52B7" w14:textId="77777777" w:rsidR="00866C94" w:rsidRDefault="008F72F3" w:rsidP="00866C94">
      <w:pPr>
        <w:spacing w:before="240"/>
        <w:jc w:val="both"/>
        <w:rPr>
          <w:rFonts w:ascii="ITC Avant Garde" w:eastAsia="Times New Roman" w:hAnsi="ITC Avant Garde"/>
        </w:rPr>
      </w:pPr>
      <w:r w:rsidRPr="001C10FE">
        <w:rPr>
          <w:rFonts w:ascii="ITC Avant Garde" w:eastAsia="Times New Roman" w:hAnsi="ITC Avant Garde"/>
        </w:rPr>
        <w:t xml:space="preserve">Previo al análisis de las condiciones no convenidas, el Instituto procede, en primera instancia, a analizar específicamente </w:t>
      </w:r>
      <w:r w:rsidR="00932B60" w:rsidRPr="001C10FE">
        <w:rPr>
          <w:rFonts w:ascii="ITC Avant Garde" w:eastAsia="Times New Roman" w:hAnsi="ITC Avant Garde"/>
        </w:rPr>
        <w:t xml:space="preserve">la argumentación general y causal de improcedencia </w:t>
      </w:r>
      <w:r w:rsidRPr="001C10FE">
        <w:rPr>
          <w:rFonts w:ascii="ITC Avant Garde" w:eastAsia="Times New Roman" w:hAnsi="ITC Avant Garde"/>
        </w:rPr>
        <w:t xml:space="preserve">de </w:t>
      </w:r>
      <w:r w:rsidR="00A917F9" w:rsidRPr="001C10FE">
        <w:rPr>
          <w:rFonts w:ascii="ITC Avant Garde" w:eastAsia="Times New Roman" w:hAnsi="ITC Avant Garde"/>
        </w:rPr>
        <w:t xml:space="preserve">GTM y Pegaso </w:t>
      </w:r>
      <w:r w:rsidR="00124A7C" w:rsidRPr="001C10FE">
        <w:rPr>
          <w:rFonts w:ascii="ITC Avant Garde" w:eastAsia="Times New Roman" w:hAnsi="ITC Avant Garde"/>
        </w:rPr>
        <w:t xml:space="preserve">con </w:t>
      </w:r>
      <w:r w:rsidRPr="001C10FE">
        <w:rPr>
          <w:rFonts w:ascii="ITC Avant Garde" w:eastAsia="Times New Roman" w:hAnsi="ITC Avant Garde"/>
        </w:rPr>
        <w:t xml:space="preserve">relación </w:t>
      </w:r>
      <w:r w:rsidR="00124A7C" w:rsidRPr="001C10FE">
        <w:rPr>
          <w:rFonts w:ascii="ITC Avant Garde" w:eastAsia="Times New Roman" w:hAnsi="ITC Avant Garde"/>
        </w:rPr>
        <w:t>al</w:t>
      </w:r>
      <w:r w:rsidRPr="001C10FE">
        <w:rPr>
          <w:rFonts w:ascii="ITC Avant Garde" w:eastAsia="Times New Roman" w:hAnsi="ITC Avant Garde"/>
        </w:rPr>
        <w:t xml:space="preserve"> presente procedimiento, para posteriormente resolver sobre aquellos puntos de desacuerdo que en materia de interconexión fueron sometidos por las partes.</w:t>
      </w:r>
    </w:p>
    <w:p w14:paraId="4BA33313" w14:textId="77777777" w:rsidR="00866C94" w:rsidRDefault="00F715DE" w:rsidP="00866C94">
      <w:pPr>
        <w:pStyle w:val="Prrafodelista"/>
        <w:numPr>
          <w:ilvl w:val="1"/>
          <w:numId w:val="53"/>
        </w:numPr>
        <w:spacing w:before="240" w:after="200" w:line="276" w:lineRule="auto"/>
        <w:ind w:left="284" w:hanging="284"/>
        <w:rPr>
          <w:rFonts w:ascii="ITC Avant Garde" w:hAnsi="ITC Avant Garde"/>
          <w:b/>
        </w:rPr>
      </w:pPr>
      <w:r w:rsidRPr="001C10FE">
        <w:rPr>
          <w:rFonts w:ascii="ITC Avant Garde" w:hAnsi="ITC Avant Garde"/>
          <w:b/>
        </w:rPr>
        <w:t>Improcedencia del desacuerdo al omitirse la exhibición de los documentos con los cuales se acreditan las negociaciones para la procedencia del desacuerdo de interconexión.</w:t>
      </w:r>
    </w:p>
    <w:p w14:paraId="31F3359C" w14:textId="77777777" w:rsidR="00866C94" w:rsidRDefault="00F715DE" w:rsidP="00866C94">
      <w:pPr>
        <w:spacing w:before="240"/>
        <w:rPr>
          <w:rFonts w:ascii="ITC Avant Garde" w:hAnsi="ITC Avant Garde"/>
          <w:b/>
        </w:rPr>
      </w:pPr>
      <w:r w:rsidRPr="001C10FE">
        <w:rPr>
          <w:rFonts w:ascii="ITC Avant Garde" w:hAnsi="ITC Avant Garde"/>
          <w:b/>
        </w:rPr>
        <w:t xml:space="preserve">Argumentos de las partes </w:t>
      </w:r>
    </w:p>
    <w:p w14:paraId="26BC3C21" w14:textId="77777777" w:rsidR="00866C94" w:rsidRDefault="003D6A22" w:rsidP="00866C94">
      <w:pPr>
        <w:spacing w:before="240"/>
        <w:jc w:val="both"/>
        <w:rPr>
          <w:rFonts w:ascii="ITC Avant Garde" w:hAnsi="ITC Avant Garde"/>
        </w:rPr>
      </w:pPr>
      <w:r w:rsidRPr="001C10FE">
        <w:rPr>
          <w:rFonts w:ascii="ITC Avant Garde" w:hAnsi="ITC Avant Garde"/>
        </w:rPr>
        <w:t xml:space="preserve">GTM y Pegaso manifiestan la improcedencia del de desacuerdo en que se actúa, ya que </w:t>
      </w:r>
      <w:r w:rsidR="0033340C" w:rsidRPr="001C10FE">
        <w:rPr>
          <w:rFonts w:ascii="ITC Avant Garde" w:hAnsi="ITC Avant Garde"/>
        </w:rPr>
        <w:t>Televisa</w:t>
      </w:r>
      <w:r w:rsidRPr="001C10FE">
        <w:rPr>
          <w:rFonts w:ascii="ITC Avant Garde" w:hAnsi="ITC Avant Garde"/>
        </w:rPr>
        <w:t xml:space="preserve">, omite adjuntar en su solicitud de desacuerdo de interconexión los documentos con los cuales acredita el inicio de negociaciones de interconexión para el año 2017, con lo cual se vulnera lo previsto en los artículos </w:t>
      </w:r>
      <w:r w:rsidR="007A1007" w:rsidRPr="001C10FE">
        <w:rPr>
          <w:rFonts w:ascii="ITC Avant Garde" w:hAnsi="ITC Avant Garde"/>
        </w:rPr>
        <w:t xml:space="preserve">15 de la LFPA, </w:t>
      </w:r>
      <w:r w:rsidRPr="001C10FE">
        <w:rPr>
          <w:rFonts w:ascii="ITC Avant Garde" w:hAnsi="ITC Avant Garde"/>
        </w:rPr>
        <w:t>323 y 324 del CFPC</w:t>
      </w:r>
      <w:r w:rsidR="006A2BE7" w:rsidRPr="001C10FE">
        <w:rPr>
          <w:rFonts w:ascii="ITC Avant Garde" w:hAnsi="ITC Avant Garde"/>
        </w:rPr>
        <w:t>.</w:t>
      </w:r>
    </w:p>
    <w:p w14:paraId="6D17BA3A" w14:textId="5A5C6C86" w:rsidR="007A1007" w:rsidRPr="001C10FE" w:rsidRDefault="006A2BE7" w:rsidP="00866C94">
      <w:pPr>
        <w:spacing w:before="240"/>
        <w:jc w:val="both"/>
        <w:rPr>
          <w:rFonts w:ascii="ITC Avant Garde" w:hAnsi="ITC Avant Garde"/>
        </w:rPr>
      </w:pPr>
      <w:r w:rsidRPr="001C10FE">
        <w:rPr>
          <w:rFonts w:ascii="ITC Avant Garde" w:hAnsi="ITC Avant Garde"/>
        </w:rPr>
        <w:t>Asimismo señalan que</w:t>
      </w:r>
      <w:r w:rsidR="007A1007" w:rsidRPr="001C10FE">
        <w:rPr>
          <w:rFonts w:ascii="ITC Avant Garde" w:hAnsi="ITC Avant Garde"/>
        </w:rPr>
        <w:t>, a partir de la entrada en vigor del Acuerdo del Sistema, las negociaciones que se realicen entre concesionarios deberán realizarse a través del SESI. Sin embargo, ello no excluye la obligación impuesta por los artículos 323 y 324 del CFPC, en relación con el artículo 9 del Plan Técnico Fundamental de Interconexión e Interoperabilidad, de acompañar a la solicitud de intervención de la autoridad, el documento que acredite fehacientemente la base de acción, es decir, el inicio de negociaciones.</w:t>
      </w:r>
    </w:p>
    <w:p w14:paraId="2545213B" w14:textId="23F72AB8" w:rsidR="006A2BE7" w:rsidRPr="001C10FE" w:rsidRDefault="007A1007" w:rsidP="00866C94">
      <w:pPr>
        <w:spacing w:before="240"/>
        <w:jc w:val="both"/>
        <w:rPr>
          <w:rFonts w:ascii="ITC Avant Garde" w:hAnsi="ITC Avant Garde"/>
        </w:rPr>
      </w:pPr>
      <w:r w:rsidRPr="001C10FE">
        <w:rPr>
          <w:rFonts w:ascii="ITC Avant Garde" w:hAnsi="ITC Avant Garde"/>
        </w:rPr>
        <w:t xml:space="preserve"> </w:t>
      </w:r>
    </w:p>
    <w:p w14:paraId="1464364E" w14:textId="77777777" w:rsidR="006A2BE7" w:rsidRPr="001C10FE" w:rsidRDefault="003D6A22" w:rsidP="00866C94">
      <w:pPr>
        <w:spacing w:before="240"/>
        <w:jc w:val="both"/>
        <w:rPr>
          <w:rFonts w:ascii="ITC Avant Garde" w:hAnsi="ITC Avant Garde"/>
        </w:rPr>
      </w:pPr>
      <w:r w:rsidRPr="001C10FE">
        <w:rPr>
          <w:rFonts w:ascii="ITC Avant Garde" w:hAnsi="ITC Avant Garde"/>
        </w:rPr>
        <w:t>Al omitir la presentación y exhibición de las documentales consistentes en el inicio de gestiones de interconexión, el procedimiento de desacuerdo en que se actúa queda sin materia siendo improcedente, al no poder proporcionar sustento a las pretensiones solicitadas por ese concesionario</w:t>
      </w:r>
      <w:r w:rsidR="006A2BE7" w:rsidRPr="001C10FE">
        <w:rPr>
          <w:rFonts w:ascii="ITC Avant Garde" w:hAnsi="ITC Avant Garde"/>
        </w:rPr>
        <w:t>.</w:t>
      </w:r>
    </w:p>
    <w:p w14:paraId="37D4549B" w14:textId="77777777" w:rsidR="00866C94" w:rsidRDefault="00FE6594" w:rsidP="00866C94">
      <w:pPr>
        <w:spacing w:before="240"/>
        <w:rPr>
          <w:rFonts w:ascii="ITC Avant Garde" w:hAnsi="ITC Avant Garde"/>
          <w:b/>
        </w:rPr>
      </w:pPr>
      <w:r w:rsidRPr="001C10FE">
        <w:rPr>
          <w:rFonts w:ascii="ITC Avant Garde" w:hAnsi="ITC Avant Garde"/>
          <w:b/>
        </w:rPr>
        <w:t>Consideraciones del Instituto</w:t>
      </w:r>
    </w:p>
    <w:p w14:paraId="15D43BFF" w14:textId="77777777" w:rsidR="00866C94" w:rsidRDefault="007A1007" w:rsidP="00866C94">
      <w:pPr>
        <w:tabs>
          <w:tab w:val="left" w:pos="851"/>
        </w:tabs>
        <w:spacing w:before="240"/>
        <w:jc w:val="both"/>
        <w:rPr>
          <w:rFonts w:ascii="ITC Avant Garde" w:hAnsi="ITC Avant Garde"/>
        </w:rPr>
      </w:pPr>
      <w:r w:rsidRPr="001C10FE">
        <w:rPr>
          <w:rFonts w:ascii="ITC Avant Garde" w:hAnsi="ITC Avant Garde"/>
        </w:rPr>
        <w:t xml:space="preserve">Las manifestaciones de </w:t>
      </w:r>
      <w:r w:rsidR="00CB18EE" w:rsidRPr="001C10FE">
        <w:rPr>
          <w:rFonts w:ascii="ITC Avant Garde" w:hAnsi="ITC Avant Garde"/>
        </w:rPr>
        <w:t xml:space="preserve">Pegaso y </w:t>
      </w:r>
      <w:r w:rsidRPr="001C10FE">
        <w:rPr>
          <w:rFonts w:ascii="ITC Avant Garde" w:hAnsi="ITC Avant Garde"/>
        </w:rPr>
        <w:t xml:space="preserve">GTM resultan infundadas, toda vez que el artículo 129 de la </w:t>
      </w:r>
      <w:proofErr w:type="spellStart"/>
      <w:r w:rsidRPr="001C10FE">
        <w:rPr>
          <w:rFonts w:ascii="ITC Avant Garde" w:hAnsi="ITC Avant Garde"/>
        </w:rPr>
        <w:t>LFTyR</w:t>
      </w:r>
      <w:proofErr w:type="spellEnd"/>
      <w:r w:rsidRPr="001C10FE">
        <w:rPr>
          <w:rFonts w:ascii="ITC Avant Garde" w:hAnsi="ITC Avant Garde"/>
        </w:rPr>
        <w:t xml:space="preserve"> estableció la obligación de los concesionarios que operen redes públicas de </w:t>
      </w:r>
      <w:r w:rsidRPr="001C10FE">
        <w:rPr>
          <w:rFonts w:ascii="ITC Avant Garde" w:hAnsi="ITC Avant Garde"/>
        </w:rPr>
        <w:lastRenderedPageBreak/>
        <w:t>telecomunicaciones de interconectar sus redes, y a tal efecto suscriban un convenio de interconexión. Dicho precepto establece como obligación del Instituto establecer un Sistema Electrónico a través del cual, los c</w:t>
      </w:r>
      <w:bookmarkStart w:id="5" w:name="_GoBack"/>
      <w:bookmarkEnd w:id="5"/>
      <w:r w:rsidRPr="001C10FE">
        <w:rPr>
          <w:rFonts w:ascii="ITC Avant Garde" w:hAnsi="ITC Avant Garde"/>
        </w:rPr>
        <w:t>oncesionarios interesados tramiten entre si las solicitudes de suscripción de los convenios respectivos.</w:t>
      </w:r>
    </w:p>
    <w:p w14:paraId="65E4A387" w14:textId="77777777" w:rsidR="00866C94" w:rsidRDefault="007A1007" w:rsidP="00866C94">
      <w:pPr>
        <w:tabs>
          <w:tab w:val="left" w:pos="851"/>
        </w:tabs>
        <w:spacing w:before="240"/>
        <w:jc w:val="both"/>
        <w:rPr>
          <w:rFonts w:ascii="ITC Avant Garde" w:hAnsi="ITC Avant Garde"/>
        </w:rPr>
      </w:pPr>
      <w:r w:rsidRPr="001C10FE">
        <w:rPr>
          <w:rFonts w:ascii="ITC Avant Garde" w:hAnsi="ITC Avant Garde"/>
        </w:rPr>
        <w:t xml:space="preserve">El supuesto anterior se actualizó con la emisión por parte del Instituto del Acuerdo del Sistema, y su puesta en operación el 30 de enero de 2015, con lo cual la solicitud de inicio de negociación es electrónica, así como todas las negociaciones subsecuentes; asimismo, lo establecido en el SESI permite tener certeza de quien es el concesionario solicitante, el concesionario solicitado, se acredita fehacientemente cuales fueron las condiciones de interconexión no convenidas, incluyendo su temporalidad, con lo cual se acredita la hipótesis normativa establecida en el artículo 129 de la </w:t>
      </w:r>
      <w:proofErr w:type="spellStart"/>
      <w:r w:rsidRPr="001C10FE">
        <w:rPr>
          <w:rFonts w:ascii="ITC Avant Garde" w:hAnsi="ITC Avant Garde"/>
        </w:rPr>
        <w:t>LFTyR</w:t>
      </w:r>
      <w:proofErr w:type="spellEnd"/>
      <w:r w:rsidRPr="001C10FE">
        <w:rPr>
          <w:rFonts w:ascii="ITC Avant Garde" w:hAnsi="ITC Avant Garde"/>
        </w:rPr>
        <w:t xml:space="preserve">. </w:t>
      </w:r>
    </w:p>
    <w:p w14:paraId="4EC5AC8F" w14:textId="77777777" w:rsidR="00866C94" w:rsidRDefault="007A1007" w:rsidP="00866C94">
      <w:pPr>
        <w:tabs>
          <w:tab w:val="left" w:pos="851"/>
        </w:tabs>
        <w:spacing w:before="240"/>
        <w:jc w:val="both"/>
        <w:rPr>
          <w:rFonts w:ascii="ITC Avant Garde" w:hAnsi="ITC Avant Garde"/>
          <w:lang w:val="es-ES"/>
        </w:rPr>
      </w:pPr>
      <w:r w:rsidRPr="001C10FE">
        <w:rPr>
          <w:rFonts w:ascii="ITC Avant Garde" w:hAnsi="ITC Avant Garde"/>
        </w:rPr>
        <w:t xml:space="preserve">En cuanto al incumplimiento a lo establecido en </w:t>
      </w:r>
      <w:r w:rsidR="00CB18EE" w:rsidRPr="001C10FE">
        <w:rPr>
          <w:rFonts w:ascii="ITC Avant Garde" w:hAnsi="ITC Avant Garde"/>
        </w:rPr>
        <w:t>el artículo</w:t>
      </w:r>
      <w:r w:rsidRPr="001C10FE">
        <w:rPr>
          <w:rFonts w:ascii="ITC Avant Garde" w:hAnsi="ITC Avant Garde"/>
        </w:rPr>
        <w:t xml:space="preserve"> 9 del Plan Técnico Fundamental de Interconexión e Interoperabilidad</w:t>
      </w:r>
      <w:r w:rsidRPr="001C10FE">
        <w:rPr>
          <w:rStyle w:val="Refdenotaalpie"/>
          <w:rFonts w:ascii="ITC Avant Garde" w:hAnsi="ITC Avant Garde"/>
        </w:rPr>
        <w:footnoteReference w:id="1"/>
      </w:r>
      <w:r w:rsidRPr="001C10FE">
        <w:rPr>
          <w:rFonts w:ascii="ITC Avant Garde" w:hAnsi="ITC Avant Garde"/>
        </w:rPr>
        <w:t xml:space="preserve"> (en lo sucesivo, el “Plan de Interconexión”) al no adjuntar las negociaciones correspondientes, dicha afirmación resulta infundada debido a que si bien es cierto, se establece en el Plan de Interconexión</w:t>
      </w:r>
      <w:r w:rsidRPr="001C10FE" w:rsidDel="005D1CFB">
        <w:rPr>
          <w:rFonts w:ascii="ITC Avant Garde" w:hAnsi="ITC Avant Garde"/>
        </w:rPr>
        <w:t xml:space="preserve"> </w:t>
      </w:r>
      <w:r w:rsidRPr="001C10FE">
        <w:rPr>
          <w:rFonts w:ascii="ITC Avant Garde" w:hAnsi="ITC Avant Garde"/>
        </w:rPr>
        <w:t>que</w:t>
      </w:r>
      <w:r w:rsidRPr="001C10FE">
        <w:t xml:space="preserve"> </w:t>
      </w:r>
      <w:r w:rsidRPr="001C10FE">
        <w:rPr>
          <w:rFonts w:ascii="ITC Avant Garde" w:hAnsi="ITC Avant Garde"/>
        </w:rPr>
        <w:t xml:space="preserve">el solicitante deberá realizar la solicitud correspondiente por escrito en la que se señale las condiciones de interconexión que requiere sean determinadas por la Autoridad, acompañando la misma de la información que estime pertinente con relación a la prestación de los Servicios de Interconexión respectivos, incluyendo, el documento que acredite fehacientemente el inicio de las Gestiones de Interconexión, cierto es también que, el artículo TERCERO Transitorio del Decreto de Ley, establece que </w:t>
      </w:r>
      <w:r w:rsidRPr="001C10FE">
        <w:rPr>
          <w:rFonts w:ascii="ITC Avant Garde" w:hAnsi="ITC Avant Garde"/>
          <w:lang w:val="es-ES"/>
        </w:rPr>
        <w:t>las disposiciones reglamentarias y administrativas y las normas oficiales mexicanas en vigor, continuarán aplicándose hasta en tanto se expidan los nuevos ordenamientos que los sustituyan, salvo en lo que se opongan a la Ley Federal de Telecomunicaciones y Radiodifusión.</w:t>
      </w:r>
    </w:p>
    <w:p w14:paraId="2A47AED5" w14:textId="77777777" w:rsidR="00866C94" w:rsidRDefault="007A1007" w:rsidP="00866C94">
      <w:pPr>
        <w:tabs>
          <w:tab w:val="left" w:pos="851"/>
        </w:tabs>
        <w:spacing w:before="240"/>
        <w:jc w:val="both"/>
        <w:rPr>
          <w:rFonts w:ascii="ITC Avant Garde" w:hAnsi="ITC Avant Garde"/>
          <w:lang w:val="es-ES_tradnl"/>
        </w:rPr>
      </w:pPr>
      <w:r w:rsidRPr="001C10FE">
        <w:rPr>
          <w:rFonts w:ascii="ITC Avant Garde" w:hAnsi="ITC Avant Garde"/>
        </w:rPr>
        <w:t xml:space="preserve">Es así que, si el artículo 129 de la </w:t>
      </w:r>
      <w:proofErr w:type="spellStart"/>
      <w:r w:rsidRPr="001C10FE">
        <w:rPr>
          <w:rFonts w:ascii="ITC Avant Garde" w:hAnsi="ITC Avant Garde"/>
        </w:rPr>
        <w:t>LFTyR</w:t>
      </w:r>
      <w:proofErr w:type="spellEnd"/>
      <w:r w:rsidRPr="001C10FE">
        <w:rPr>
          <w:rFonts w:ascii="ITC Avant Garde" w:hAnsi="ITC Avant Garde"/>
        </w:rPr>
        <w:t xml:space="preserve"> establece que </w:t>
      </w:r>
      <w:r w:rsidRPr="001C10FE">
        <w:rPr>
          <w:rFonts w:ascii="ITC Avant Garde" w:hAnsi="ITC Avant Garde"/>
          <w:lang w:val="es-ES_tradnl"/>
        </w:rPr>
        <w:t xml:space="preserve">el Instituto implantará un sistema electrónico a través del cual los concesionarios interesados en interconectar sus redes, tramitarán entre sí las solicitudes de suscripción de los convenios respectivos, tácitamente se derogó lo indicado en el </w:t>
      </w:r>
      <w:r w:rsidRPr="001C10FE">
        <w:rPr>
          <w:rFonts w:ascii="ITC Avant Garde" w:hAnsi="ITC Avant Garde"/>
        </w:rPr>
        <w:t>Plan de Interconexión</w:t>
      </w:r>
      <w:r w:rsidRPr="001C10FE">
        <w:rPr>
          <w:rFonts w:ascii="ITC Avant Garde" w:hAnsi="ITC Avant Garde"/>
          <w:lang w:val="es-ES_tradnl"/>
        </w:rPr>
        <w:t>.</w:t>
      </w:r>
    </w:p>
    <w:p w14:paraId="0D37FD55" w14:textId="77777777" w:rsidR="00866C94" w:rsidRDefault="007A1007" w:rsidP="00866C94">
      <w:pPr>
        <w:tabs>
          <w:tab w:val="left" w:pos="851"/>
        </w:tabs>
        <w:spacing w:before="240"/>
        <w:jc w:val="both"/>
        <w:rPr>
          <w:rFonts w:ascii="ITC Avant Garde" w:hAnsi="ITC Avant Garde"/>
          <w:lang w:val="es-ES_tradnl"/>
        </w:rPr>
      </w:pPr>
      <w:r w:rsidRPr="001C10FE">
        <w:rPr>
          <w:rFonts w:ascii="ITC Avant Garde" w:hAnsi="ITC Avant Garde"/>
          <w:lang w:val="es-ES_tradnl"/>
        </w:rPr>
        <w:t xml:space="preserve">Aunado a lo anterior, el Instituto favorecerá la pronta y efectiva interconexión entre redes públicas de telecomunicaciones para lo cual evitará actuaciones procesales que tengan como consecuencia retrasar la interconexión efectiva entre redes públicas de telecomunicaciones o las condiciones no convenidas que permitan la prestación de los </w:t>
      </w:r>
      <w:r w:rsidRPr="001C10FE">
        <w:rPr>
          <w:rFonts w:ascii="ITC Avant Garde" w:hAnsi="ITC Avant Garde"/>
          <w:lang w:val="es-ES_tradnl"/>
        </w:rPr>
        <w:lastRenderedPageBreak/>
        <w:t xml:space="preserve">servicios públicos de telecomunicaciones, es en ese sentido que lo argumentado por </w:t>
      </w:r>
      <w:r w:rsidR="00CB18EE" w:rsidRPr="001C10FE">
        <w:rPr>
          <w:rFonts w:ascii="ITC Avant Garde" w:hAnsi="ITC Avant Garde"/>
          <w:lang w:val="es-ES_tradnl"/>
        </w:rPr>
        <w:t xml:space="preserve">Pegaso y </w:t>
      </w:r>
      <w:r w:rsidRPr="001C10FE">
        <w:rPr>
          <w:rFonts w:ascii="ITC Avant Garde" w:hAnsi="ITC Avant Garde"/>
          <w:lang w:val="es-ES_tradnl"/>
        </w:rPr>
        <w:t>GTM resulta improcedente.</w:t>
      </w:r>
    </w:p>
    <w:p w14:paraId="34C4FD93" w14:textId="77777777" w:rsidR="00866C94" w:rsidRDefault="007A1007" w:rsidP="00866C94">
      <w:pPr>
        <w:spacing w:before="240"/>
        <w:jc w:val="both"/>
        <w:rPr>
          <w:rFonts w:ascii="ITC Avant Garde" w:hAnsi="ITC Avant Garde"/>
          <w:lang w:val="es-ES_tradnl" w:eastAsia="es-ES"/>
        </w:rPr>
      </w:pPr>
      <w:r w:rsidRPr="001C10FE">
        <w:rPr>
          <w:rFonts w:ascii="ITC Avant Garde" w:hAnsi="ITC Avant Garde"/>
          <w:lang w:val="es-ES_tradnl" w:eastAsia="es-ES"/>
        </w:rPr>
        <w:t xml:space="preserve">Ahora bien, el Instituto al admitir las solicitudes de desacuerdo corroboró que se cumpliera con lo establecido en el artículo 129 de la </w:t>
      </w:r>
      <w:proofErr w:type="spellStart"/>
      <w:r w:rsidRPr="001C10FE">
        <w:rPr>
          <w:rFonts w:ascii="ITC Avant Garde" w:hAnsi="ITC Avant Garde"/>
          <w:lang w:val="es-ES_tradnl" w:eastAsia="es-ES"/>
        </w:rPr>
        <w:t>LFTyR</w:t>
      </w:r>
      <w:proofErr w:type="spellEnd"/>
      <w:r w:rsidRPr="001C10FE">
        <w:rPr>
          <w:rFonts w:ascii="ITC Avant Garde" w:hAnsi="ITC Avant Garde"/>
          <w:lang w:val="es-ES_tradnl" w:eastAsia="es-ES"/>
        </w:rPr>
        <w:t xml:space="preserve"> y el Acuerdo del SESI, es así que al existir las solicitudes hechas por </w:t>
      </w:r>
      <w:r w:rsidR="00CB18EE" w:rsidRPr="001C10FE">
        <w:rPr>
          <w:rFonts w:ascii="ITC Avant Garde" w:hAnsi="ITC Avant Garde"/>
          <w:lang w:val="es-ES_tradnl" w:eastAsia="es-ES"/>
        </w:rPr>
        <w:t>Televisa</w:t>
      </w:r>
      <w:r w:rsidRPr="001C10FE">
        <w:rPr>
          <w:rFonts w:ascii="ITC Avant Garde" w:hAnsi="ITC Avant Garde"/>
          <w:lang w:val="es-ES_tradnl" w:eastAsia="es-ES"/>
        </w:rPr>
        <w:t xml:space="preserve"> a </w:t>
      </w:r>
      <w:r w:rsidR="00CB18EE" w:rsidRPr="001C10FE">
        <w:rPr>
          <w:rFonts w:ascii="ITC Avant Garde" w:hAnsi="ITC Avant Garde"/>
          <w:lang w:val="es-ES_tradnl" w:eastAsia="es-ES"/>
        </w:rPr>
        <w:t xml:space="preserve">Pegaso y </w:t>
      </w:r>
      <w:r w:rsidRPr="001C10FE">
        <w:rPr>
          <w:rFonts w:ascii="ITC Avant Garde" w:hAnsi="ITC Avant Garde"/>
          <w:lang w:val="es-ES_tradnl" w:eastAsia="es-ES"/>
        </w:rPr>
        <w:t xml:space="preserve">GTM para iniciar negociaciones éstas son consideradas válidas y tratadas como presunción legal, misma que se conoce como la consecuencia lógica y natural de hechos conocidos, probados al momento de hacer la deducción respectiva, y dado que lo ordinario se presume, por tanto resulta infundado el argumento de </w:t>
      </w:r>
      <w:r w:rsidR="00CB18EE" w:rsidRPr="001C10FE">
        <w:rPr>
          <w:rFonts w:ascii="ITC Avant Garde" w:hAnsi="ITC Avant Garde"/>
          <w:lang w:val="es-ES_tradnl" w:eastAsia="es-ES"/>
        </w:rPr>
        <w:t xml:space="preserve">Pegaso y </w:t>
      </w:r>
      <w:r w:rsidRPr="001C10FE">
        <w:rPr>
          <w:rFonts w:ascii="ITC Avant Garde" w:hAnsi="ITC Avant Garde"/>
          <w:lang w:val="es-ES_tradnl" w:eastAsia="es-ES"/>
        </w:rPr>
        <w:t xml:space="preserve">GTM. </w:t>
      </w:r>
    </w:p>
    <w:p w14:paraId="43FA8570" w14:textId="77777777" w:rsidR="00866C94" w:rsidRDefault="00907A1C" w:rsidP="00866C94">
      <w:pPr>
        <w:pStyle w:val="Prrafodelista"/>
        <w:numPr>
          <w:ilvl w:val="1"/>
          <w:numId w:val="53"/>
        </w:numPr>
        <w:spacing w:before="240" w:after="200" w:line="276" w:lineRule="auto"/>
        <w:ind w:left="284" w:hanging="284"/>
        <w:rPr>
          <w:rFonts w:ascii="ITC Avant Garde" w:hAnsi="ITC Avant Garde"/>
          <w:b/>
        </w:rPr>
      </w:pPr>
      <w:r w:rsidRPr="001C10FE">
        <w:rPr>
          <w:rFonts w:ascii="ITC Avant Garde" w:hAnsi="ITC Avant Garde"/>
          <w:b/>
        </w:rPr>
        <w:t>Ilegalidad de la resolución de las tarifas de interconexión para el año 2017,</w:t>
      </w:r>
      <w:r w:rsidR="00A94409" w:rsidRPr="001C10FE">
        <w:rPr>
          <w:rFonts w:ascii="ITC Avant Garde" w:hAnsi="ITC Avant Garde"/>
          <w:b/>
        </w:rPr>
        <w:t xml:space="preserve"> </w:t>
      </w:r>
      <w:r w:rsidRPr="001C10FE">
        <w:rPr>
          <w:rFonts w:ascii="ITC Avant Garde" w:hAnsi="ITC Avant Garde"/>
          <w:b/>
        </w:rPr>
        <w:t>hasta la publicación en el DOF de las condiciones técnicas mínimas y las tarifas que hayan resultado de la metodología de costos vigentes en el año calendario inmediato siguiente</w:t>
      </w:r>
      <w:r w:rsidR="005B17BE" w:rsidRPr="001C10FE">
        <w:rPr>
          <w:rFonts w:ascii="ITC Avant Garde" w:hAnsi="ITC Avant Garde"/>
          <w:b/>
        </w:rPr>
        <w:t>, de</w:t>
      </w:r>
      <w:r w:rsidRPr="001C10FE">
        <w:rPr>
          <w:rFonts w:ascii="ITC Avant Garde" w:hAnsi="ITC Avant Garde"/>
          <w:b/>
        </w:rPr>
        <w:t xml:space="preserve"> conformidad con los artículos 137 y 131 inciso b) de la </w:t>
      </w:r>
      <w:proofErr w:type="spellStart"/>
      <w:r w:rsidRPr="001C10FE">
        <w:rPr>
          <w:rFonts w:ascii="ITC Avant Garde" w:hAnsi="ITC Avant Garde"/>
          <w:b/>
        </w:rPr>
        <w:t>LFT</w:t>
      </w:r>
      <w:r w:rsidR="00AF3DD9" w:rsidRPr="001C10FE">
        <w:rPr>
          <w:rFonts w:ascii="ITC Avant Garde" w:hAnsi="ITC Avant Garde"/>
          <w:b/>
        </w:rPr>
        <w:t>y</w:t>
      </w:r>
      <w:r w:rsidRPr="001C10FE">
        <w:rPr>
          <w:rFonts w:ascii="ITC Avant Garde" w:hAnsi="ITC Avant Garde"/>
          <w:b/>
        </w:rPr>
        <w:t>R</w:t>
      </w:r>
      <w:proofErr w:type="spellEnd"/>
      <w:r w:rsidR="005B17BE" w:rsidRPr="001C10FE">
        <w:rPr>
          <w:rFonts w:ascii="ITC Avant Garde" w:hAnsi="ITC Avant Garde"/>
          <w:b/>
        </w:rPr>
        <w:t>.</w:t>
      </w:r>
    </w:p>
    <w:p w14:paraId="69DA1374" w14:textId="77777777" w:rsidR="00866C94" w:rsidRDefault="00A917F9" w:rsidP="00866C94">
      <w:pPr>
        <w:spacing w:before="240"/>
        <w:jc w:val="both"/>
        <w:rPr>
          <w:rFonts w:ascii="ITC Avant Garde" w:hAnsi="ITC Avant Garde"/>
          <w:b/>
        </w:rPr>
      </w:pPr>
      <w:r w:rsidRPr="001C10FE">
        <w:rPr>
          <w:rFonts w:ascii="ITC Avant Garde" w:hAnsi="ITC Avant Garde"/>
          <w:b/>
        </w:rPr>
        <w:t>Argumentos de las partes</w:t>
      </w:r>
    </w:p>
    <w:p w14:paraId="3FA215A5" w14:textId="77777777" w:rsidR="00866C94" w:rsidRDefault="00BF6304" w:rsidP="00866C94">
      <w:pPr>
        <w:spacing w:before="240"/>
        <w:jc w:val="both"/>
        <w:rPr>
          <w:rFonts w:ascii="ITC Avant Garde" w:hAnsi="ITC Avant Garde"/>
        </w:rPr>
      </w:pPr>
      <w:r w:rsidRPr="001C10FE">
        <w:rPr>
          <w:rFonts w:ascii="ITC Avant Garde" w:hAnsi="ITC Avant Garde"/>
        </w:rPr>
        <w:t xml:space="preserve">GTM y Pegaso manifiestan que resulta ilegal la determinación de la tarifa de interconexión por terminación fija y móvil, de conformidad con el principio de máxima publicidad que establece el artículo 137 de la </w:t>
      </w:r>
      <w:proofErr w:type="spellStart"/>
      <w:r w:rsidRPr="001C10FE">
        <w:rPr>
          <w:rFonts w:ascii="ITC Avant Garde" w:hAnsi="ITC Avant Garde"/>
        </w:rPr>
        <w:t>LFTyR</w:t>
      </w:r>
      <w:proofErr w:type="spellEnd"/>
      <w:r w:rsidRPr="001C10FE">
        <w:rPr>
          <w:rFonts w:ascii="ITC Avant Garde" w:hAnsi="ITC Avant Garde"/>
        </w:rPr>
        <w:t xml:space="preserve">, en relación con el artículo 131 inciso b) de la </w:t>
      </w:r>
      <w:proofErr w:type="spellStart"/>
      <w:r w:rsidRPr="001C10FE">
        <w:rPr>
          <w:rFonts w:ascii="ITC Avant Garde" w:hAnsi="ITC Avant Garde"/>
        </w:rPr>
        <w:t>LFTyR</w:t>
      </w:r>
      <w:proofErr w:type="spellEnd"/>
      <w:r w:rsidRPr="001C10FE">
        <w:rPr>
          <w:rFonts w:ascii="ITC Avant Garde" w:hAnsi="ITC Avant Garde"/>
        </w:rPr>
        <w:t>, hasta en tanto no sean publicadas en el Diario Oficial de la Federación.</w:t>
      </w:r>
    </w:p>
    <w:p w14:paraId="5341D28A" w14:textId="77777777" w:rsidR="00866C94" w:rsidRDefault="00BF6304" w:rsidP="00866C94">
      <w:pPr>
        <w:spacing w:before="240"/>
        <w:jc w:val="both"/>
        <w:rPr>
          <w:rFonts w:ascii="ITC Avant Garde" w:hAnsi="ITC Avant Garde"/>
          <w:b/>
        </w:rPr>
      </w:pPr>
      <w:r w:rsidRPr="001C10FE">
        <w:rPr>
          <w:rFonts w:ascii="ITC Avant Garde" w:hAnsi="ITC Avant Garde"/>
          <w:b/>
        </w:rPr>
        <w:t>Consideraciones del Instituto</w:t>
      </w:r>
    </w:p>
    <w:p w14:paraId="1583CABC" w14:textId="77777777" w:rsidR="00866C94" w:rsidRDefault="00BF6304" w:rsidP="00866C94">
      <w:pPr>
        <w:spacing w:before="240"/>
        <w:jc w:val="both"/>
        <w:rPr>
          <w:rFonts w:ascii="ITC Avant Garde" w:hAnsi="ITC Avant Garde"/>
        </w:rPr>
      </w:pPr>
      <w:r w:rsidRPr="001C10FE">
        <w:rPr>
          <w:rFonts w:ascii="ITC Avant Garde" w:hAnsi="ITC Avant Garde"/>
        </w:rPr>
        <w:t xml:space="preserve">Al respecto, este Instituto señala </w:t>
      </w:r>
      <w:r w:rsidR="00A80A38" w:rsidRPr="001C10FE">
        <w:rPr>
          <w:rFonts w:ascii="ITC Avant Garde" w:hAnsi="ITC Avant Garde"/>
        </w:rPr>
        <w:t xml:space="preserve">que </w:t>
      </w:r>
      <w:r w:rsidRPr="001C10FE">
        <w:rPr>
          <w:rFonts w:ascii="ITC Avant Garde" w:hAnsi="ITC Avant Garde"/>
        </w:rPr>
        <w:t>con fecha 3 de octubre de 201</w:t>
      </w:r>
      <w:r w:rsidR="006D1644" w:rsidRPr="001C10FE">
        <w:rPr>
          <w:rFonts w:ascii="ITC Avant Garde" w:hAnsi="ITC Avant Garde"/>
        </w:rPr>
        <w:t>6</w:t>
      </w:r>
      <w:r w:rsidRPr="001C10FE">
        <w:rPr>
          <w:rFonts w:ascii="ITC Avant Garde" w:hAnsi="ITC Avant Garde"/>
        </w:rPr>
        <w:t xml:space="preserve">, se publicó en el DOF el </w:t>
      </w:r>
      <w:r w:rsidRPr="001C10FE">
        <w:rPr>
          <w:rFonts w:ascii="ITC Avant Garde" w:hAnsi="ITC Avant Garde"/>
          <w:bCs/>
          <w:lang w:val="es-ES"/>
        </w:rPr>
        <w:t>“</w:t>
      </w:r>
      <w:r w:rsidRPr="001C10FE">
        <w:rPr>
          <w:rFonts w:ascii="ITC Avant Garde" w:hAnsi="ITC Avant Garde"/>
          <w:bCs/>
          <w:i/>
          <w:lang w:val="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1C10FE">
        <w:rPr>
          <w:rFonts w:ascii="ITC Avant Garde" w:hAnsi="ITC Avant Garde"/>
          <w:bCs/>
          <w:lang w:val="es-ES"/>
        </w:rPr>
        <w:t xml:space="preserve">”, aprobado mediante Acuerdo P/IFT/200916/503, por lo que </w:t>
      </w:r>
      <w:r w:rsidR="00A80A38" w:rsidRPr="001C10FE">
        <w:rPr>
          <w:rFonts w:ascii="ITC Avant Garde" w:hAnsi="ITC Avant Garde"/>
          <w:bCs/>
          <w:lang w:val="es-ES"/>
        </w:rPr>
        <w:t>las pretensiones de GTM y Pegaso han sido atendidas</w:t>
      </w:r>
      <w:r w:rsidRPr="001C10FE">
        <w:rPr>
          <w:rFonts w:ascii="ITC Avant Garde" w:hAnsi="ITC Avant Garde"/>
          <w:bCs/>
          <w:lang w:val="es-ES"/>
        </w:rPr>
        <w:t>.</w:t>
      </w:r>
      <w:r w:rsidRPr="001C10FE">
        <w:rPr>
          <w:rFonts w:ascii="ITC Avant Garde" w:hAnsi="ITC Avant Garde"/>
        </w:rPr>
        <w:t xml:space="preserve"> </w:t>
      </w:r>
    </w:p>
    <w:p w14:paraId="72A7845B" w14:textId="77777777" w:rsidR="00866C94" w:rsidRDefault="00556985" w:rsidP="00866C94">
      <w:pPr>
        <w:pStyle w:val="Prrafodelista"/>
        <w:numPr>
          <w:ilvl w:val="1"/>
          <w:numId w:val="53"/>
        </w:numPr>
        <w:spacing w:before="240" w:after="200" w:line="276" w:lineRule="auto"/>
        <w:ind w:left="284" w:hanging="284"/>
        <w:rPr>
          <w:rFonts w:ascii="ITC Avant Garde" w:hAnsi="ITC Avant Garde"/>
          <w:b/>
        </w:rPr>
      </w:pPr>
      <w:r w:rsidRPr="001C10FE">
        <w:rPr>
          <w:rFonts w:ascii="ITC Avant Garde" w:hAnsi="ITC Avant Garde"/>
          <w:b/>
        </w:rPr>
        <w:t>Consideraciones para la determinación de una tarifa de interconexión por terminación en la red</w:t>
      </w:r>
      <w:r w:rsidR="00927D9D" w:rsidRPr="001C10FE">
        <w:rPr>
          <w:rFonts w:ascii="ITC Avant Garde" w:hAnsi="ITC Avant Garde"/>
          <w:b/>
        </w:rPr>
        <w:t xml:space="preserve"> fija de GTM y la red móvil de Pegaso para 2017</w:t>
      </w:r>
      <w:r w:rsidRPr="001C10FE">
        <w:rPr>
          <w:rFonts w:ascii="ITC Avant Garde" w:hAnsi="ITC Avant Garde"/>
          <w:b/>
        </w:rPr>
        <w:t xml:space="preserve">, atendiendo al principio de razonabilidad previsto en el artículo 131 inciso b) de la </w:t>
      </w:r>
      <w:proofErr w:type="spellStart"/>
      <w:r w:rsidRPr="001C10FE">
        <w:rPr>
          <w:rFonts w:ascii="ITC Avant Garde" w:hAnsi="ITC Avant Garde"/>
          <w:b/>
        </w:rPr>
        <w:t>LFTyR</w:t>
      </w:r>
      <w:proofErr w:type="spellEnd"/>
      <w:r w:rsidRPr="001C10FE">
        <w:rPr>
          <w:rFonts w:ascii="ITC Avant Garde" w:hAnsi="ITC Avant Garde"/>
          <w:b/>
        </w:rPr>
        <w:t>, en relación con el artículo Décimo Tercero de la Metodología de Costos.</w:t>
      </w:r>
    </w:p>
    <w:p w14:paraId="1327D72A" w14:textId="77777777" w:rsidR="00866C94" w:rsidRDefault="0064081A" w:rsidP="00866C94">
      <w:pPr>
        <w:spacing w:before="240"/>
        <w:jc w:val="both"/>
        <w:rPr>
          <w:rFonts w:ascii="ITC Avant Garde" w:hAnsi="ITC Avant Garde"/>
          <w:b/>
        </w:rPr>
      </w:pPr>
      <w:r w:rsidRPr="001C10FE">
        <w:rPr>
          <w:rFonts w:ascii="ITC Avant Garde" w:hAnsi="ITC Avant Garde"/>
          <w:b/>
        </w:rPr>
        <w:t>Argumentos de las partes</w:t>
      </w:r>
    </w:p>
    <w:p w14:paraId="1EAF3F84" w14:textId="77777777" w:rsidR="00866C94" w:rsidRDefault="008721F2" w:rsidP="00866C94">
      <w:pPr>
        <w:pStyle w:val="Prrafodelista"/>
        <w:tabs>
          <w:tab w:val="left" w:pos="284"/>
        </w:tabs>
        <w:spacing w:before="240" w:after="200" w:line="276" w:lineRule="auto"/>
        <w:ind w:left="0"/>
        <w:rPr>
          <w:rFonts w:ascii="ITC Avant Garde" w:hAnsi="ITC Avant Garde" w:cs="Arial"/>
        </w:rPr>
      </w:pPr>
      <w:r w:rsidRPr="001C10FE">
        <w:rPr>
          <w:rFonts w:ascii="ITC Avant Garde" w:hAnsi="ITC Avant Garde" w:cs="Arial"/>
        </w:rPr>
        <w:t>GTM y Pegaso manifiestan que para la determinación de la tarifa de interconexión por terminaci</w:t>
      </w:r>
      <w:r w:rsidR="009E5054" w:rsidRPr="001C10FE">
        <w:rPr>
          <w:rFonts w:ascii="ITC Avant Garde" w:hAnsi="ITC Avant Garde" w:cs="Arial"/>
        </w:rPr>
        <w:t>ón fija y móvil para el año 2017</w:t>
      </w:r>
      <w:r w:rsidRPr="001C10FE">
        <w:rPr>
          <w:rFonts w:ascii="ITC Avant Garde" w:hAnsi="ITC Avant Garde" w:cs="Arial"/>
        </w:rPr>
        <w:t xml:space="preserve">, el Instituto pretende aplicar la Metodología de </w:t>
      </w:r>
      <w:r w:rsidRPr="001C10FE">
        <w:rPr>
          <w:rFonts w:ascii="ITC Avant Garde" w:hAnsi="ITC Avant Garde" w:cs="Arial"/>
        </w:rPr>
        <w:lastRenderedPageBreak/>
        <w:t xml:space="preserve">Costos publicada en el año 2014, por lo que, se debe atender al requisito de razonabilidad, el cual debe verse reflejado en la información que se debe de actualizar, previsto en el artículo 131, inciso b) de la </w:t>
      </w:r>
      <w:proofErr w:type="spellStart"/>
      <w:r w:rsidRPr="001C10FE">
        <w:rPr>
          <w:rFonts w:ascii="ITC Avant Garde" w:hAnsi="ITC Avant Garde" w:cs="Arial"/>
        </w:rPr>
        <w:t>LFTyR</w:t>
      </w:r>
      <w:proofErr w:type="spellEnd"/>
      <w:r w:rsidRPr="001C10FE">
        <w:rPr>
          <w:rFonts w:ascii="ITC Avant Garde" w:hAnsi="ITC Avant Garde" w:cs="Arial"/>
        </w:rPr>
        <w:t xml:space="preserve">, y así atender las variables que debe actualizar conforme al artículo Décimo Tercero de la Metodología de Costos, en lo particular con el tipo de cambio para garantizar que efectivamente se reflejen las condiciones de mercado, de lo contrario la resolución que recaiga resultará ilegal, </w:t>
      </w:r>
      <w:r w:rsidR="00C5315B" w:rsidRPr="001C10FE">
        <w:rPr>
          <w:rFonts w:ascii="ITC Avant Garde" w:hAnsi="ITC Avant Garde" w:cs="Arial"/>
        </w:rPr>
        <w:t>al no considerar la volatilidad del mercado cambiario, toda vez que el tipo de cambio actual supera los $18.00 pesos y puede alcanzar un máximo histórico en el año 2017 cercano a los $20.00 pesos por dólar</w:t>
      </w:r>
      <w:r w:rsidRPr="001C10FE">
        <w:rPr>
          <w:rFonts w:ascii="ITC Avant Garde" w:hAnsi="ITC Avant Garde" w:cs="Arial"/>
        </w:rPr>
        <w:t>, situación que vulnera los derechos fundamentales de seguridad jurídica y legalidad de GTM y Pegaso.</w:t>
      </w:r>
    </w:p>
    <w:p w14:paraId="44A31879" w14:textId="77777777" w:rsidR="00866C94" w:rsidRDefault="008721F2" w:rsidP="00866C94">
      <w:pPr>
        <w:pStyle w:val="Prrafodelista"/>
        <w:tabs>
          <w:tab w:val="left" w:pos="284"/>
        </w:tabs>
        <w:spacing w:before="240" w:after="200" w:line="276" w:lineRule="auto"/>
        <w:ind w:left="0"/>
        <w:rPr>
          <w:rFonts w:ascii="ITC Avant Garde" w:hAnsi="ITC Avant Garde" w:cs="Arial"/>
        </w:rPr>
      </w:pPr>
      <w:r w:rsidRPr="001C10FE">
        <w:rPr>
          <w:rFonts w:ascii="ITC Avant Garde" w:hAnsi="ITC Avant Garde" w:cs="Arial"/>
        </w:rPr>
        <w:t xml:space="preserve">Por lo que GTM </w:t>
      </w:r>
      <w:r w:rsidR="001818E5" w:rsidRPr="001C10FE">
        <w:rPr>
          <w:rFonts w:ascii="ITC Avant Garde" w:hAnsi="ITC Avant Garde" w:cs="Arial"/>
        </w:rPr>
        <w:t xml:space="preserve">y </w:t>
      </w:r>
      <w:r w:rsidR="00C60547" w:rsidRPr="001C10FE">
        <w:rPr>
          <w:rFonts w:ascii="ITC Avant Garde" w:hAnsi="ITC Avant Garde" w:cs="Arial"/>
        </w:rPr>
        <w:t>Pegaso</w:t>
      </w:r>
      <w:r w:rsidR="001818E5" w:rsidRPr="001C10FE">
        <w:rPr>
          <w:rFonts w:ascii="ITC Avant Garde" w:hAnsi="ITC Avant Garde" w:cs="Arial"/>
        </w:rPr>
        <w:t xml:space="preserve"> </w:t>
      </w:r>
      <w:r w:rsidRPr="001C10FE">
        <w:rPr>
          <w:rFonts w:ascii="ITC Avant Garde" w:hAnsi="ITC Avant Garde" w:cs="Arial"/>
        </w:rPr>
        <w:t>manifiesta</w:t>
      </w:r>
      <w:r w:rsidR="001818E5" w:rsidRPr="001C10FE">
        <w:rPr>
          <w:rFonts w:ascii="ITC Avant Garde" w:hAnsi="ITC Avant Garde" w:cs="Arial"/>
        </w:rPr>
        <w:t>n</w:t>
      </w:r>
      <w:r w:rsidRPr="001C10FE">
        <w:rPr>
          <w:rFonts w:ascii="ITC Avant Garde" w:hAnsi="ITC Avant Garde" w:cs="Arial"/>
        </w:rPr>
        <w:t xml:space="preserve"> que el Instituto debe de actualizar la información relativa al tipo de cambio, así como las estimaciones realizadas por los analistas consultados por el Banco de México.</w:t>
      </w:r>
    </w:p>
    <w:p w14:paraId="45ECCE54" w14:textId="77777777" w:rsidR="00866C94" w:rsidRDefault="008721F2" w:rsidP="00866C94">
      <w:pPr>
        <w:pStyle w:val="Prrafodelista"/>
        <w:tabs>
          <w:tab w:val="left" w:pos="284"/>
        </w:tabs>
        <w:spacing w:before="240" w:after="200" w:line="276" w:lineRule="auto"/>
        <w:ind w:left="0"/>
        <w:rPr>
          <w:rFonts w:ascii="ITC Avant Garde" w:hAnsi="ITC Avant Garde" w:cs="Arial"/>
          <w:b/>
        </w:rPr>
      </w:pPr>
      <w:r w:rsidRPr="001C10FE">
        <w:rPr>
          <w:rFonts w:ascii="ITC Avant Garde" w:hAnsi="ITC Avant Garde" w:cs="Arial"/>
          <w:b/>
        </w:rPr>
        <w:t>Consideraciones del Instituto</w:t>
      </w:r>
    </w:p>
    <w:p w14:paraId="29070B32" w14:textId="77777777" w:rsidR="00866C94" w:rsidRDefault="0064081A" w:rsidP="00866C94">
      <w:pPr>
        <w:spacing w:before="240"/>
        <w:jc w:val="both"/>
        <w:rPr>
          <w:rFonts w:ascii="ITC Avant Garde" w:eastAsia="Times New Roman" w:hAnsi="ITC Avant Garde"/>
        </w:rPr>
      </w:pPr>
      <w:r w:rsidRPr="001C10FE">
        <w:rPr>
          <w:rFonts w:ascii="ITC Avant Garde" w:eastAsia="Times New Roman" w:hAnsi="ITC Avant Garde"/>
        </w:rPr>
        <w:t>Al respecto, el Instituto señala que en el Acuerdo de CTM y Tarifas 2017 se señala lo siguiente:</w:t>
      </w:r>
    </w:p>
    <w:p w14:paraId="11EBB849" w14:textId="77777777" w:rsidR="00866C94" w:rsidRDefault="0064081A" w:rsidP="00866C94">
      <w:pPr>
        <w:pStyle w:val="Texto0"/>
        <w:spacing w:before="240" w:after="200" w:line="276" w:lineRule="auto"/>
        <w:ind w:left="567" w:right="615" w:firstLine="0"/>
        <w:rPr>
          <w:rFonts w:ascii="ITC Avant Garde" w:hAnsi="ITC Avant Garde"/>
          <w:i/>
        </w:rPr>
      </w:pPr>
      <w:r w:rsidRPr="001C10FE">
        <w:rPr>
          <w:rFonts w:ascii="ITC Avant Garde" w:hAnsi="ITC Avant Garde"/>
          <w:i/>
        </w:rPr>
        <w:t xml:space="preserve">“Es importante mencionar que en los Modelos de Costos empleados para determinar las tarifas de interconexión aplicables durante 2017, se ha aplicado el lineamiento Décimo Tercero de la </w:t>
      </w:r>
      <w:r w:rsidR="00291D55" w:rsidRPr="001C10FE">
        <w:rPr>
          <w:rFonts w:ascii="ITC Avant Garde" w:hAnsi="ITC Avant Garde"/>
          <w:i/>
        </w:rPr>
        <w:t>Metodología de</w:t>
      </w:r>
      <w:r w:rsidRPr="001C10FE">
        <w:rPr>
          <w:rFonts w:ascii="ITC Avant Garde" w:hAnsi="ITC Avant Garde"/>
          <w:i/>
        </w:rPr>
        <w:t xml:space="preserve"> Costos a efecto de actualizar la información de la demanda de los servicios, los precios de los insumos empleados, el Costo de Capital Promedio Ponderado, la tasa de inflación y el tipo de cambio para garantizar que refleje las condiciones del mercado</w:t>
      </w:r>
    </w:p>
    <w:p w14:paraId="55797C39" w14:textId="77777777" w:rsidR="00866C94" w:rsidRDefault="0064081A" w:rsidP="00866C94">
      <w:pPr>
        <w:pStyle w:val="Texto0"/>
        <w:spacing w:before="240" w:after="200" w:line="276" w:lineRule="auto"/>
        <w:ind w:left="567" w:right="615" w:firstLine="0"/>
        <w:rPr>
          <w:rFonts w:ascii="ITC Avant Garde" w:hAnsi="ITC Avant Garde"/>
          <w:i/>
        </w:rPr>
      </w:pPr>
      <w:r w:rsidRPr="001C10FE">
        <w:rPr>
          <w:rFonts w:ascii="ITC Avant Garde" w:hAnsi="ITC Avant Garde"/>
          <w:i/>
        </w:rPr>
        <w:t>En este sentido, y con relación al Modelo de Costos utilizado para determinar las tarifas de interconexión aplicables durante 2015 y 2016 se ha actualizado la siguiente información:</w:t>
      </w:r>
    </w:p>
    <w:p w14:paraId="3D210051" w14:textId="1B097927" w:rsidR="0064081A" w:rsidRPr="001C10FE" w:rsidRDefault="0064081A" w:rsidP="00866C94">
      <w:pPr>
        <w:pStyle w:val="Texto0"/>
        <w:numPr>
          <w:ilvl w:val="0"/>
          <w:numId w:val="44"/>
        </w:numPr>
        <w:spacing w:before="240" w:after="200" w:line="276" w:lineRule="auto"/>
        <w:ind w:left="567" w:right="615" w:firstLine="0"/>
        <w:rPr>
          <w:rFonts w:ascii="ITC Avant Garde" w:hAnsi="ITC Avant Garde"/>
          <w:i/>
        </w:rPr>
      </w:pPr>
      <w:r w:rsidRPr="001C10FE">
        <w:rPr>
          <w:rFonts w:ascii="ITC Avant Garde" w:hAnsi="ITC Avant Garde"/>
          <w:i/>
        </w:rPr>
        <w:t>Los datos históricos y las proyecciones de demanda con la información más reciente con que cuenta el Instituto.</w:t>
      </w:r>
    </w:p>
    <w:p w14:paraId="3615FF5D" w14:textId="77777777" w:rsidR="0064081A" w:rsidRPr="001C10FE" w:rsidRDefault="0064081A" w:rsidP="00866C94">
      <w:pPr>
        <w:pStyle w:val="Texto0"/>
        <w:numPr>
          <w:ilvl w:val="0"/>
          <w:numId w:val="44"/>
        </w:numPr>
        <w:spacing w:before="240" w:after="200" w:line="276" w:lineRule="auto"/>
        <w:ind w:left="567" w:right="615" w:firstLine="0"/>
        <w:rPr>
          <w:rFonts w:ascii="ITC Avant Garde" w:hAnsi="ITC Avant Garde"/>
          <w:i/>
        </w:rPr>
      </w:pPr>
      <w:r w:rsidRPr="001C10FE">
        <w:rPr>
          <w:rFonts w:ascii="ITC Avant Garde" w:hAnsi="ITC Avant Garde"/>
          <w:i/>
        </w:rPr>
        <w:t>El tipo de cambio y la inflación a efecto de tener en cuenta los valores más recientes de dichas variables financieras.</w:t>
      </w:r>
    </w:p>
    <w:p w14:paraId="04F267C2" w14:textId="77777777" w:rsidR="0064081A" w:rsidRPr="001C10FE" w:rsidRDefault="0064081A" w:rsidP="00866C94">
      <w:pPr>
        <w:pStyle w:val="Texto0"/>
        <w:numPr>
          <w:ilvl w:val="0"/>
          <w:numId w:val="44"/>
        </w:numPr>
        <w:spacing w:before="240" w:after="200" w:line="276" w:lineRule="auto"/>
        <w:ind w:left="567" w:right="615" w:firstLine="0"/>
        <w:rPr>
          <w:rFonts w:ascii="ITC Avant Garde" w:hAnsi="ITC Avant Garde"/>
          <w:i/>
        </w:rPr>
      </w:pPr>
      <w:r w:rsidRPr="001C10FE">
        <w:rPr>
          <w:rFonts w:ascii="ITC Avant Garde" w:hAnsi="ITC Avant Garde"/>
          <w:i/>
        </w:rPr>
        <w:t>La información de los costos unitarios de los equipos (CAPEX) con base en la información más reciente recibida de parte de los operadores.</w:t>
      </w:r>
    </w:p>
    <w:p w14:paraId="62833034" w14:textId="77777777" w:rsidR="0064081A" w:rsidRPr="001C10FE" w:rsidRDefault="0064081A" w:rsidP="00866C94">
      <w:pPr>
        <w:pStyle w:val="Texto0"/>
        <w:numPr>
          <w:ilvl w:val="0"/>
          <w:numId w:val="44"/>
        </w:numPr>
        <w:spacing w:before="240" w:after="200" w:line="276" w:lineRule="auto"/>
        <w:ind w:left="567" w:right="615" w:firstLine="0"/>
        <w:rPr>
          <w:rFonts w:ascii="ITC Avant Garde" w:hAnsi="ITC Avant Garde"/>
          <w:i/>
        </w:rPr>
      </w:pPr>
      <w:r w:rsidRPr="001C10FE">
        <w:rPr>
          <w:rFonts w:ascii="ITC Avant Garde" w:hAnsi="ITC Avant Garde"/>
          <w:i/>
        </w:rPr>
        <w:t>La información de los costos de operación unitarios (OPEX) teniendo en cuenta la actual volatilidad del peso mexicano con respecto al dólar.</w:t>
      </w:r>
    </w:p>
    <w:p w14:paraId="5DDD139B" w14:textId="5B59C9B1" w:rsidR="0064081A" w:rsidRPr="001C10FE" w:rsidRDefault="0064081A" w:rsidP="00866C94">
      <w:pPr>
        <w:pStyle w:val="Texto0"/>
        <w:numPr>
          <w:ilvl w:val="0"/>
          <w:numId w:val="44"/>
        </w:numPr>
        <w:spacing w:before="240" w:after="200" w:line="276" w:lineRule="auto"/>
        <w:ind w:left="567" w:right="615" w:firstLine="0"/>
        <w:rPr>
          <w:rFonts w:ascii="ITC Avant Garde" w:hAnsi="ITC Avant Garde"/>
          <w:i/>
        </w:rPr>
      </w:pPr>
      <w:r w:rsidRPr="001C10FE">
        <w:rPr>
          <w:rFonts w:ascii="ITC Avant Garde" w:hAnsi="ITC Avant Garde"/>
          <w:i/>
        </w:rPr>
        <w:t xml:space="preserve">El Costo de Capital Promedio Ponderado con la información más reciente de las variables </w:t>
      </w:r>
      <w:r w:rsidR="00291D55" w:rsidRPr="001C10FE">
        <w:rPr>
          <w:rFonts w:ascii="ITC Avant Garde" w:hAnsi="ITC Avant Garde"/>
          <w:i/>
        </w:rPr>
        <w:t>que lo</w:t>
      </w:r>
      <w:r w:rsidRPr="001C10FE">
        <w:rPr>
          <w:rFonts w:ascii="ITC Avant Garde" w:hAnsi="ITC Avant Garde"/>
          <w:i/>
        </w:rPr>
        <w:t xml:space="preserve"> integran.</w:t>
      </w:r>
    </w:p>
    <w:p w14:paraId="7014F7DF" w14:textId="77777777" w:rsidR="00866C94" w:rsidRDefault="0064081A" w:rsidP="00866C94">
      <w:pPr>
        <w:pStyle w:val="Texto0"/>
        <w:spacing w:before="240" w:after="200" w:line="276" w:lineRule="auto"/>
        <w:ind w:left="567" w:right="615" w:firstLine="0"/>
        <w:rPr>
          <w:rFonts w:ascii="ITC Avant Garde" w:hAnsi="ITC Avant Garde"/>
          <w:i/>
        </w:rPr>
      </w:pPr>
      <w:r w:rsidRPr="001C10FE">
        <w:rPr>
          <w:rFonts w:ascii="ITC Avant Garde" w:hAnsi="ITC Avant Garde"/>
          <w:i/>
        </w:rPr>
        <w:t>[…]</w:t>
      </w:r>
    </w:p>
    <w:p w14:paraId="235715B6" w14:textId="77777777" w:rsidR="00866C94" w:rsidRDefault="0064081A" w:rsidP="00866C94">
      <w:pPr>
        <w:spacing w:before="240"/>
        <w:jc w:val="both"/>
        <w:rPr>
          <w:rFonts w:ascii="ITC Avant Garde" w:eastAsia="Times New Roman" w:hAnsi="ITC Avant Garde"/>
        </w:rPr>
      </w:pPr>
      <w:r w:rsidRPr="001C10FE">
        <w:rPr>
          <w:rFonts w:ascii="ITC Avant Garde" w:eastAsia="Times New Roman" w:hAnsi="ITC Avant Garde"/>
        </w:rPr>
        <w:lastRenderedPageBreak/>
        <w:t xml:space="preserve">En tal virtud han sido atendidas las pretensiones de </w:t>
      </w:r>
      <w:r w:rsidR="00291D55" w:rsidRPr="001C10FE">
        <w:rPr>
          <w:rFonts w:ascii="ITC Avant Garde" w:eastAsia="Times New Roman" w:hAnsi="ITC Avant Garde"/>
        </w:rPr>
        <w:t>GTM y Pegaso</w:t>
      </w:r>
      <w:r w:rsidRPr="001C10FE">
        <w:rPr>
          <w:rFonts w:ascii="ITC Avant Garde" w:eastAsia="Times New Roman" w:hAnsi="ITC Avant Garde"/>
        </w:rPr>
        <w:t xml:space="preserve"> al haberse determinado las tarifas aplicables con base en la mejor información disponible.</w:t>
      </w:r>
    </w:p>
    <w:p w14:paraId="1F70A902" w14:textId="77777777" w:rsidR="00866C94" w:rsidRDefault="00281A83" w:rsidP="00866C94">
      <w:pPr>
        <w:pStyle w:val="Prrafodelista"/>
        <w:numPr>
          <w:ilvl w:val="1"/>
          <w:numId w:val="53"/>
        </w:numPr>
        <w:spacing w:before="240" w:after="200" w:line="276" w:lineRule="auto"/>
        <w:ind w:left="284" w:hanging="284"/>
        <w:rPr>
          <w:rFonts w:ascii="ITC Avant Garde" w:hAnsi="ITC Avant Garde"/>
          <w:b/>
        </w:rPr>
      </w:pPr>
      <w:r w:rsidRPr="001C10FE">
        <w:rPr>
          <w:rFonts w:ascii="ITC Avant Garde" w:hAnsi="ITC Avant Garde"/>
          <w:b/>
        </w:rPr>
        <w:t>C</w:t>
      </w:r>
      <w:r w:rsidR="00556985" w:rsidRPr="001C10FE">
        <w:rPr>
          <w:rFonts w:ascii="ITC Avant Garde" w:hAnsi="ITC Avant Garde"/>
          <w:b/>
        </w:rPr>
        <w:t>onsideraciones y elementos que debe tomar en cuenta el Instituto para la determinación de las tarifas de interconexión por terminación en las redes fija y móvil de GTM y Pegaso, respectivamente.</w:t>
      </w:r>
    </w:p>
    <w:p w14:paraId="54E115B1" w14:textId="77777777" w:rsidR="00866C94" w:rsidRDefault="00D223C4" w:rsidP="00866C94">
      <w:pPr>
        <w:spacing w:before="240"/>
        <w:jc w:val="both"/>
        <w:rPr>
          <w:rFonts w:ascii="ITC Avant Garde" w:hAnsi="ITC Avant Garde"/>
        </w:rPr>
      </w:pPr>
      <w:r w:rsidRPr="001C10FE">
        <w:rPr>
          <w:rFonts w:ascii="ITC Avant Garde" w:hAnsi="ITC Avant Garde" w:cs="Arial"/>
          <w:lang w:val="es-ES"/>
        </w:rPr>
        <w:t xml:space="preserve">De </w:t>
      </w:r>
      <w:r w:rsidR="00CC2D6E" w:rsidRPr="001C10FE">
        <w:rPr>
          <w:rFonts w:ascii="ITC Avant Garde" w:hAnsi="ITC Avant Garde" w:cs="Arial"/>
          <w:lang w:val="es-ES"/>
        </w:rPr>
        <w:t xml:space="preserve">los escritos de </w:t>
      </w:r>
      <w:r w:rsidRPr="001C10FE">
        <w:rPr>
          <w:rFonts w:ascii="ITC Avant Garde" w:hAnsi="ITC Avant Garde" w:cs="Arial"/>
          <w:lang w:val="es-ES"/>
        </w:rPr>
        <w:t>r</w:t>
      </w:r>
      <w:r w:rsidR="00CC2D6E" w:rsidRPr="001C10FE">
        <w:rPr>
          <w:rFonts w:ascii="ITC Avant Garde" w:hAnsi="ITC Avant Garde" w:cs="Arial"/>
          <w:lang w:val="es-ES"/>
        </w:rPr>
        <w:t>espuesta presentados</w:t>
      </w:r>
      <w:r w:rsidRPr="001C10FE">
        <w:rPr>
          <w:rFonts w:ascii="ITC Avant Garde" w:hAnsi="ITC Avant Garde" w:cs="Arial"/>
          <w:lang w:val="es-ES"/>
        </w:rPr>
        <w:t xml:space="preserve"> el </w:t>
      </w:r>
      <w:r w:rsidR="009B2506" w:rsidRPr="001C10FE">
        <w:rPr>
          <w:rFonts w:ascii="ITC Avant Garde" w:hAnsi="ITC Avant Garde" w:cs="Arial"/>
          <w:lang w:val="es-ES"/>
        </w:rPr>
        <w:t>6</w:t>
      </w:r>
      <w:r w:rsidRPr="001C10FE">
        <w:rPr>
          <w:rFonts w:ascii="ITC Avant Garde" w:hAnsi="ITC Avant Garde" w:cs="Arial"/>
          <w:lang w:val="es-ES"/>
        </w:rPr>
        <w:t xml:space="preserve"> de </w:t>
      </w:r>
      <w:r w:rsidR="009B2506" w:rsidRPr="001C10FE">
        <w:rPr>
          <w:rFonts w:ascii="ITC Avant Garde" w:hAnsi="ITC Avant Garde" w:cs="Arial"/>
          <w:lang w:val="es-ES"/>
        </w:rPr>
        <w:t>septiembre</w:t>
      </w:r>
      <w:r w:rsidRPr="001C10FE">
        <w:rPr>
          <w:rFonts w:ascii="ITC Avant Garde" w:hAnsi="ITC Avant Garde" w:cs="Arial"/>
          <w:lang w:val="es-ES"/>
        </w:rPr>
        <w:t xml:space="preserve"> de 2016</w:t>
      </w:r>
      <w:r w:rsidR="00CC2D6E" w:rsidRPr="001C10FE">
        <w:rPr>
          <w:rFonts w:ascii="ITC Avant Garde" w:hAnsi="ITC Avant Garde" w:cs="Arial"/>
          <w:lang w:val="es-ES"/>
        </w:rPr>
        <w:t xml:space="preserve"> por GTM y Pegaso, dichos concesionarios realizan diversas manifestaciones acerca de la forma en que el Instituto debe determinar las tarifas de interconexión materia del presente procedimiento, como son: </w:t>
      </w:r>
      <w:r w:rsidRPr="001C10FE">
        <w:rPr>
          <w:rFonts w:ascii="ITC Avant Garde" w:hAnsi="ITC Avant Garde"/>
        </w:rPr>
        <w:t xml:space="preserve">a) la aplicación del artículo 131, inciso b de la </w:t>
      </w:r>
      <w:proofErr w:type="spellStart"/>
      <w:r w:rsidRPr="001C10FE">
        <w:rPr>
          <w:rFonts w:ascii="ITC Avant Garde" w:hAnsi="ITC Avant Garde"/>
        </w:rPr>
        <w:t>LFTyR</w:t>
      </w:r>
      <w:proofErr w:type="spellEnd"/>
      <w:r w:rsidRPr="001C10FE">
        <w:rPr>
          <w:rFonts w:ascii="ITC Avant Garde" w:hAnsi="ITC Avant Garde"/>
        </w:rPr>
        <w:t>;  b) la utilización del concepto de externalidad de red; c) la aplicación del principio de asimetría tarifaria; d) el respeto al principio de competencia y libre concurrencia; f) el enfoque sobre la recuperación de los costos y g) la justa retribución.</w:t>
      </w:r>
    </w:p>
    <w:p w14:paraId="50332D36" w14:textId="77777777" w:rsidR="00866C94" w:rsidRDefault="00CC2D6E" w:rsidP="00866C94">
      <w:pPr>
        <w:spacing w:before="240"/>
        <w:jc w:val="both"/>
        <w:rPr>
          <w:rFonts w:ascii="ITC Avant Garde" w:hAnsi="ITC Avant Garde"/>
          <w:b/>
        </w:rPr>
      </w:pPr>
      <w:r w:rsidRPr="001C10FE">
        <w:rPr>
          <w:rFonts w:ascii="ITC Avant Garde" w:hAnsi="ITC Avant Garde"/>
          <w:b/>
        </w:rPr>
        <w:t>Consideraciones del Instituto</w:t>
      </w:r>
    </w:p>
    <w:p w14:paraId="60C4BDBA" w14:textId="77777777" w:rsidR="00866C94" w:rsidRDefault="00CC2D6E" w:rsidP="00866C94">
      <w:pPr>
        <w:spacing w:before="240"/>
        <w:jc w:val="both"/>
        <w:rPr>
          <w:rFonts w:ascii="ITC Avant Garde" w:hAnsi="ITC Avant Garde"/>
        </w:rPr>
      </w:pPr>
      <w:r w:rsidRPr="001C10FE">
        <w:rPr>
          <w:rFonts w:ascii="ITC Avant Garde" w:hAnsi="ITC Avant Garde"/>
        </w:rPr>
        <w:t xml:space="preserve">Los temas planteados por GTM y </w:t>
      </w:r>
      <w:r w:rsidR="00C60547" w:rsidRPr="001C10FE">
        <w:rPr>
          <w:rFonts w:ascii="ITC Avant Garde" w:hAnsi="ITC Avant Garde"/>
        </w:rPr>
        <w:t>Pegaso</w:t>
      </w:r>
      <w:r w:rsidRPr="001C10FE">
        <w:rPr>
          <w:rFonts w:ascii="ITC Avant Garde" w:hAnsi="ITC Avant Garde"/>
        </w:rPr>
        <w:t xml:space="preserve">, fueron analizados por el Instituto como parte del procedimiento para la emisión de una disposición de carácter general como lo es la Metodología de Costos, la cual no puede ser modificada en una disposición de carácter particular como lo es la Resolución que pone fin al presente procedimiento administrativo; </w:t>
      </w:r>
      <w:r w:rsidR="00281A83" w:rsidRPr="001C10FE">
        <w:rPr>
          <w:rFonts w:ascii="ITC Avant Garde" w:hAnsi="ITC Avant Garde"/>
        </w:rPr>
        <w:t>a</w:t>
      </w:r>
      <w:r w:rsidRPr="001C10FE">
        <w:rPr>
          <w:rFonts w:ascii="ITC Avant Garde" w:hAnsi="ITC Avant Garde"/>
        </w:rPr>
        <w:t xml:space="preserve">unado a lo anterior se señala que el presente procedimiento no tiene como objeto dilucidar los fundamentos y motivos que el Instituto tomó en consideración para establecer dicha metodología por lo que los argumentos de GTM y </w:t>
      </w:r>
      <w:r w:rsidR="00C60547" w:rsidRPr="001C10FE">
        <w:rPr>
          <w:rFonts w:ascii="ITC Avant Garde" w:hAnsi="ITC Avant Garde"/>
        </w:rPr>
        <w:t>Pegaso</w:t>
      </w:r>
      <w:r w:rsidRPr="001C10FE">
        <w:rPr>
          <w:rFonts w:ascii="ITC Avant Garde" w:hAnsi="ITC Avant Garde"/>
        </w:rPr>
        <w:t xml:space="preserve"> en cuanto a los elementos que debe tomar en cuenta el Instituto para la determinación de tarifas de interconexión resultan inoperantes.</w:t>
      </w:r>
    </w:p>
    <w:p w14:paraId="42F75574" w14:textId="77777777" w:rsidR="00866C94" w:rsidRDefault="00CC2D6E" w:rsidP="00866C94">
      <w:pPr>
        <w:spacing w:before="240"/>
        <w:jc w:val="both"/>
        <w:rPr>
          <w:rFonts w:ascii="ITC Avant Garde" w:hAnsi="ITC Avant Garde"/>
        </w:rPr>
      </w:pPr>
      <w:r w:rsidRPr="001C10FE">
        <w:rPr>
          <w:rFonts w:ascii="ITC Avant Garde" w:hAnsi="ITC Avant Garde"/>
        </w:rPr>
        <w:t>De esta manera, al no ser procedente la modificación de aspectos que forman parte de la Metodología de Cost</w:t>
      </w:r>
      <w:r w:rsidR="004B18DB" w:rsidRPr="001C10FE">
        <w:rPr>
          <w:rFonts w:ascii="ITC Avant Garde" w:hAnsi="ITC Avant Garde"/>
        </w:rPr>
        <w:t xml:space="preserve">os o del Acuerdo de </w:t>
      </w:r>
      <w:r w:rsidR="00281A83" w:rsidRPr="001C10FE">
        <w:rPr>
          <w:rFonts w:ascii="ITC Avant Garde" w:hAnsi="ITC Avant Garde"/>
        </w:rPr>
        <w:t xml:space="preserve">CTM y </w:t>
      </w:r>
      <w:r w:rsidR="004B18DB" w:rsidRPr="001C10FE">
        <w:rPr>
          <w:rFonts w:ascii="ITC Avant Garde" w:hAnsi="ITC Avant Garde"/>
        </w:rPr>
        <w:t>Tarifas 2017</w:t>
      </w:r>
      <w:r w:rsidRPr="001C10FE">
        <w:rPr>
          <w:rFonts w:ascii="ITC Avant Garde" w:hAnsi="ITC Avant Garde"/>
        </w:rPr>
        <w:t xml:space="preserve">, en el presente procedimiento no se entrará al análisis de las manifestaciones vertidas por GTM y </w:t>
      </w:r>
      <w:r w:rsidR="00C60547" w:rsidRPr="001C10FE">
        <w:rPr>
          <w:rFonts w:ascii="ITC Avant Garde" w:hAnsi="ITC Avant Garde"/>
        </w:rPr>
        <w:t>Pegaso</w:t>
      </w:r>
      <w:r w:rsidRPr="001C10FE">
        <w:rPr>
          <w:rFonts w:ascii="ITC Avant Garde" w:hAnsi="ITC Avant Garde"/>
        </w:rPr>
        <w:t xml:space="preserve">. </w:t>
      </w:r>
    </w:p>
    <w:p w14:paraId="095BAC73" w14:textId="77777777" w:rsidR="00866C94" w:rsidRDefault="00CC2D6E" w:rsidP="00866C94">
      <w:pPr>
        <w:spacing w:before="240"/>
        <w:jc w:val="both"/>
        <w:rPr>
          <w:rFonts w:ascii="ITC Avant Garde" w:hAnsi="ITC Avant Garde"/>
        </w:rPr>
      </w:pPr>
      <w:r w:rsidRPr="001C10FE">
        <w:rPr>
          <w:rFonts w:ascii="ITC Avant Garde" w:hAnsi="ITC Avant Garde"/>
        </w:rPr>
        <w:t xml:space="preserve">Lo anterior no significa que el Instituto haya dejado de analizar todas y cada una de las manifestaciones realizadas por GTM y </w:t>
      </w:r>
      <w:r w:rsidR="00C60547" w:rsidRPr="001C10FE">
        <w:rPr>
          <w:rFonts w:ascii="ITC Avant Garde" w:hAnsi="ITC Avant Garde"/>
        </w:rPr>
        <w:t>Pegaso</w:t>
      </w:r>
      <w:r w:rsidRPr="001C10FE">
        <w:rPr>
          <w:rFonts w:ascii="ITC Avant Garde" w:hAnsi="ITC Avant Garde"/>
        </w:rPr>
        <w:t>, sino que una respuesta detallada de las mismas en nada cambia el sentido de la presente Resolución, ante su inoperancia en los términos apuntados.</w:t>
      </w:r>
    </w:p>
    <w:p w14:paraId="3F1648ED" w14:textId="77777777" w:rsidR="00866C94" w:rsidRDefault="00281A83" w:rsidP="00866C94">
      <w:pPr>
        <w:pStyle w:val="Prrafodelista"/>
        <w:numPr>
          <w:ilvl w:val="1"/>
          <w:numId w:val="53"/>
        </w:numPr>
        <w:spacing w:before="240" w:after="200" w:line="276" w:lineRule="auto"/>
        <w:ind w:left="284" w:hanging="284"/>
        <w:rPr>
          <w:rFonts w:ascii="ITC Avant Garde" w:hAnsi="ITC Avant Garde"/>
          <w:b/>
        </w:rPr>
      </w:pPr>
      <w:r w:rsidRPr="001C10FE">
        <w:rPr>
          <w:rFonts w:ascii="ITC Avant Garde" w:hAnsi="ITC Avant Garde"/>
          <w:b/>
        </w:rPr>
        <w:t>Improcedencia de la aplicación del Modelo de Costos Incrementales de Largo Plazo Puros.</w:t>
      </w:r>
    </w:p>
    <w:p w14:paraId="5DE39219" w14:textId="77777777" w:rsidR="00866C94" w:rsidRDefault="00281A83" w:rsidP="00866C94">
      <w:pPr>
        <w:spacing w:before="240"/>
        <w:jc w:val="both"/>
        <w:rPr>
          <w:rFonts w:ascii="ITC Avant Garde" w:hAnsi="ITC Avant Garde"/>
          <w:b/>
        </w:rPr>
      </w:pPr>
      <w:r w:rsidRPr="001C10FE">
        <w:rPr>
          <w:rFonts w:ascii="ITC Avant Garde" w:hAnsi="ITC Avant Garde"/>
          <w:b/>
        </w:rPr>
        <w:t xml:space="preserve">Argumentos de las partes </w:t>
      </w:r>
    </w:p>
    <w:p w14:paraId="125E2575" w14:textId="77777777" w:rsidR="00866C94" w:rsidRDefault="00281A83" w:rsidP="00866C94">
      <w:pPr>
        <w:spacing w:before="240"/>
        <w:jc w:val="both"/>
        <w:rPr>
          <w:rFonts w:ascii="ITC Avant Garde" w:hAnsi="ITC Avant Garde"/>
        </w:rPr>
      </w:pPr>
      <w:r w:rsidRPr="001C10FE">
        <w:rPr>
          <w:rFonts w:ascii="ITC Avant Garde" w:hAnsi="ITC Avant Garde"/>
        </w:rPr>
        <w:lastRenderedPageBreak/>
        <w:t xml:space="preserve">GTM y Pegaso </w:t>
      </w:r>
      <w:r w:rsidRPr="001C10FE">
        <w:rPr>
          <w:rFonts w:ascii="ITC Avant Garde" w:eastAsia="Times New Roman" w:hAnsi="ITC Avant Garde"/>
        </w:rPr>
        <w:t xml:space="preserve">en sus escritos de manifestaciones y alegatos </w:t>
      </w:r>
      <w:r w:rsidRPr="001C10FE">
        <w:rPr>
          <w:rFonts w:ascii="ITC Avant Garde" w:hAnsi="ITC Avant Garde"/>
        </w:rPr>
        <w:t>señalan que la aplicación por parte del Instituto de un modelo de costos incrementales de lago plazo puros para la resolución del presente procedimiento, resulta imposible de aplicar en el sector de telecomunicaciones de México, a corto o mediano plazo dicho modelo, toda vez que en el sector de telecomunicaciones existe un operador preponderante y en el mercado de telefonía fija y móvil no existe una competencia efectiva, ni una libre concurrencia que permita la eliminación de las asimetrías naturales de las redes.</w:t>
      </w:r>
    </w:p>
    <w:p w14:paraId="7AE3E293" w14:textId="77777777" w:rsidR="00866C94" w:rsidRDefault="00A116C5" w:rsidP="00866C94">
      <w:pPr>
        <w:autoSpaceDE w:val="0"/>
        <w:autoSpaceDN w:val="0"/>
        <w:adjustRightInd w:val="0"/>
        <w:spacing w:before="240"/>
        <w:jc w:val="both"/>
        <w:rPr>
          <w:rFonts w:ascii="ITC Avant Garde" w:eastAsia="Times New Roman" w:hAnsi="ITC Avant Garde"/>
        </w:rPr>
      </w:pPr>
      <w:r w:rsidRPr="001C10FE">
        <w:rPr>
          <w:rFonts w:ascii="ITC Avant Garde" w:hAnsi="ITC Avant Garde"/>
        </w:rPr>
        <w:t>Asimismo,</w:t>
      </w:r>
      <w:r w:rsidRPr="001C10FE">
        <w:rPr>
          <w:rFonts w:ascii="ITC Avant Garde" w:eastAsia="Times New Roman" w:hAnsi="ITC Avant Garde"/>
        </w:rPr>
        <w:t xml:space="preserve"> manifiestan que una vez aclaradas las deficiencias e inconsistencias que produce la improcedencia del modelo CILP Puro, resulta importante manifestar que el modelo de costos y la Metodología de Costos de los cuales emana, resultan ser contrarios a derecho y en particular a la </w:t>
      </w:r>
      <w:proofErr w:type="spellStart"/>
      <w:r w:rsidRPr="001C10FE">
        <w:rPr>
          <w:rFonts w:ascii="ITC Avant Garde" w:eastAsia="Times New Roman" w:hAnsi="ITC Avant Garde"/>
        </w:rPr>
        <w:t>LFTyR</w:t>
      </w:r>
      <w:proofErr w:type="spellEnd"/>
      <w:r w:rsidRPr="001C10FE">
        <w:rPr>
          <w:rFonts w:ascii="ITC Avant Garde" w:eastAsia="Times New Roman" w:hAnsi="ITC Avant Garde"/>
        </w:rPr>
        <w:t xml:space="preserve"> al simular que el modelo en cuestión contempla los elementos mínimos para la determinación de tarifas que establece el artículo 131 de la </w:t>
      </w:r>
      <w:proofErr w:type="spellStart"/>
      <w:r w:rsidRPr="001C10FE">
        <w:rPr>
          <w:rFonts w:ascii="ITC Avant Garde" w:eastAsia="Times New Roman" w:hAnsi="ITC Avant Garde"/>
        </w:rPr>
        <w:t>LFTyR</w:t>
      </w:r>
      <w:proofErr w:type="spellEnd"/>
      <w:r w:rsidRPr="001C10FE">
        <w:rPr>
          <w:rFonts w:ascii="ITC Avant Garde" w:eastAsia="Times New Roman" w:hAnsi="ITC Avant Garde"/>
        </w:rPr>
        <w:t>, ya que dichos factores o elementos son restados de la fórmula para el cálculo de la tarifa correspondiente, es decir, no son contemplados para la conclusión final de la tarifa de interconexión. Dichos elementos que el Instituto debe tomaren cuenta para el modelo de costos, como en la metodología que utilice para la determinación de tarifas son: a) asimetrías naturales de las redes, b) la participación de mercado, c) los horarios de congestionamiento de la red, y d) el volumen de tráfico.</w:t>
      </w:r>
    </w:p>
    <w:p w14:paraId="0354C18F" w14:textId="77777777" w:rsidR="00866C94" w:rsidRDefault="00A116C5" w:rsidP="00866C94">
      <w:pPr>
        <w:spacing w:before="240"/>
        <w:jc w:val="both"/>
        <w:rPr>
          <w:rFonts w:ascii="ITC Avant Garde" w:hAnsi="ITC Avant Garde"/>
        </w:rPr>
      </w:pPr>
      <w:r w:rsidRPr="001C10FE">
        <w:rPr>
          <w:rFonts w:ascii="ITC Avant Garde" w:hAnsi="ITC Avant Garde"/>
        </w:rPr>
        <w:t xml:space="preserve">Finalmente, señalan que la autoridad ha omitido considerar que el modelo de costos empleado en los últimos años para la determinación de tarifas de interconexión, no es compatible con la realidad del sector de telecomunicaciones en México, toda vez que en el mercado de telefonía fija existe una alta concentración y la regulación asimétrica implementada es de reciente aplicación. Dicho enfoque Puro se encuentra dirigido para mercados que tienden a la competencia a corto plazo y con bajos niveles de concentración </w:t>
      </w:r>
    </w:p>
    <w:p w14:paraId="36189148" w14:textId="77777777" w:rsidR="00866C94" w:rsidRDefault="00281A83" w:rsidP="00866C94">
      <w:pPr>
        <w:spacing w:before="240"/>
        <w:jc w:val="both"/>
        <w:rPr>
          <w:rFonts w:ascii="ITC Avant Garde" w:eastAsia="Times New Roman" w:hAnsi="ITC Avant Garde"/>
          <w:b/>
        </w:rPr>
      </w:pPr>
      <w:r w:rsidRPr="001C10FE">
        <w:rPr>
          <w:rFonts w:ascii="ITC Avant Garde" w:eastAsia="Times New Roman" w:hAnsi="ITC Avant Garde"/>
          <w:b/>
        </w:rPr>
        <w:t>Consideraciones del Instituto</w:t>
      </w:r>
    </w:p>
    <w:p w14:paraId="3FD95DBE" w14:textId="77777777" w:rsidR="00866C94" w:rsidRDefault="00281A83" w:rsidP="00866C94">
      <w:pPr>
        <w:spacing w:before="240"/>
        <w:jc w:val="both"/>
        <w:rPr>
          <w:rFonts w:ascii="ITC Avant Garde" w:eastAsia="Times New Roman" w:hAnsi="ITC Avant Garde"/>
        </w:rPr>
      </w:pPr>
      <w:r w:rsidRPr="001C10FE">
        <w:rPr>
          <w:rFonts w:ascii="ITC Avant Garde" w:eastAsia="Times New Roman" w:hAnsi="ITC Avant Garde"/>
        </w:rPr>
        <w:t>Sobre los argumentos de GTM y Pegaso sobre la aplicación del Modelo de costo incremental promedio de largo plazo puros, se señala que en el Lineamiento Tercero de la Metodología de Costos se determinó lo siguiente:</w:t>
      </w:r>
    </w:p>
    <w:p w14:paraId="16CFE011" w14:textId="77777777" w:rsidR="00866C94" w:rsidRDefault="00281A83" w:rsidP="00866C94">
      <w:pPr>
        <w:spacing w:before="240"/>
        <w:ind w:left="851" w:right="851"/>
        <w:jc w:val="both"/>
        <w:rPr>
          <w:rFonts w:ascii="ITC Avant Garde" w:eastAsia="Times New Roman" w:hAnsi="ITC Avant Garde"/>
          <w:i/>
          <w:sz w:val="18"/>
          <w:szCs w:val="18"/>
        </w:rPr>
      </w:pPr>
      <w:r w:rsidRPr="001C10FE">
        <w:rPr>
          <w:rFonts w:ascii="ITC Avant Garde" w:eastAsia="Times New Roman" w:hAnsi="ITC Avant Garde"/>
          <w:i/>
          <w:sz w:val="18"/>
          <w:szCs w:val="18"/>
        </w:rPr>
        <w:t>“</w:t>
      </w:r>
      <w:r w:rsidRPr="001C10FE">
        <w:rPr>
          <w:rFonts w:ascii="ITC Avant Garde" w:eastAsia="Times New Roman" w:hAnsi="ITC Avant Garde"/>
          <w:b/>
          <w:i/>
          <w:sz w:val="18"/>
          <w:szCs w:val="18"/>
        </w:rPr>
        <w:t>TERCERO</w:t>
      </w:r>
      <w:r w:rsidRPr="001C10FE">
        <w:rPr>
          <w:rFonts w:ascii="ITC Avant Garde" w:eastAsia="Times New Roman" w:hAnsi="ITC Avant Garde"/>
          <w:i/>
          <w:sz w:val="18"/>
          <w:szCs w:val="18"/>
        </w:rPr>
        <w:t>.- 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14:paraId="376F3B02" w14:textId="77777777" w:rsidR="00866C94" w:rsidRDefault="00281A83" w:rsidP="00866C94">
      <w:pPr>
        <w:spacing w:before="240"/>
        <w:ind w:left="851" w:right="851"/>
        <w:jc w:val="both"/>
        <w:rPr>
          <w:rFonts w:ascii="ITC Avant Garde" w:eastAsia="Times New Roman" w:hAnsi="ITC Avant Garde"/>
          <w:i/>
          <w:sz w:val="18"/>
          <w:szCs w:val="18"/>
        </w:rPr>
      </w:pPr>
      <w:r w:rsidRPr="001C10FE">
        <w:rPr>
          <w:rFonts w:ascii="ITC Avant Garde" w:eastAsia="Times New Roman" w:hAnsi="ITC Avant Garde"/>
          <w:i/>
          <w:sz w:val="18"/>
          <w:szCs w:val="18"/>
        </w:rPr>
        <w:t>La unidad de medida que se empleará en los Modelos de Costos para los servicios de conducción de tráfico cuando éstos se midan por tiempo, será el segundo.</w:t>
      </w:r>
    </w:p>
    <w:p w14:paraId="0D35248F" w14:textId="77777777" w:rsidR="00866C94" w:rsidRDefault="00281A83" w:rsidP="00866C94">
      <w:pPr>
        <w:spacing w:before="240"/>
        <w:ind w:left="851" w:right="851"/>
        <w:jc w:val="both"/>
        <w:rPr>
          <w:rFonts w:ascii="ITC Avant Garde" w:eastAsia="Times New Roman" w:hAnsi="ITC Avant Garde"/>
          <w:i/>
          <w:sz w:val="18"/>
          <w:szCs w:val="18"/>
        </w:rPr>
      </w:pPr>
      <w:r w:rsidRPr="001C10FE">
        <w:rPr>
          <w:rFonts w:ascii="ITC Avant Garde" w:eastAsia="Times New Roman" w:hAnsi="ITC Avant Garde"/>
          <w:i/>
          <w:sz w:val="18"/>
          <w:szCs w:val="18"/>
        </w:rPr>
        <w:lastRenderedPageBreak/>
        <w:t>La unidad monetaria en la que se expresarán los resultados de los Modelos de Costos será en pesos mexicanos.”</w:t>
      </w:r>
    </w:p>
    <w:p w14:paraId="7BE4BD38" w14:textId="77777777" w:rsidR="00866C94" w:rsidRDefault="00281A83" w:rsidP="00866C94">
      <w:pPr>
        <w:spacing w:before="240"/>
        <w:jc w:val="both"/>
        <w:rPr>
          <w:rFonts w:ascii="ITC Avant Garde" w:eastAsia="Times New Roman" w:hAnsi="ITC Avant Garde"/>
        </w:rPr>
      </w:pPr>
      <w:r w:rsidRPr="001C10FE">
        <w:rPr>
          <w:rFonts w:ascii="ITC Avant Garde" w:eastAsia="Times New Roman" w:hAnsi="ITC Avant Garde"/>
        </w:rPr>
        <w:t>Es así que el enfoque de Costo Incremental de Largo Plazo Puro es el modelo establecido en la Metodología de Costos para la determinación de las tarifas de interconexión, y no es materia de la presente Resolución.</w:t>
      </w:r>
    </w:p>
    <w:p w14:paraId="445FADF5" w14:textId="77777777" w:rsidR="00866C94" w:rsidRDefault="00A116C5" w:rsidP="00866C94">
      <w:pPr>
        <w:autoSpaceDE w:val="0"/>
        <w:autoSpaceDN w:val="0"/>
        <w:adjustRightInd w:val="0"/>
        <w:spacing w:before="240"/>
        <w:jc w:val="both"/>
        <w:rPr>
          <w:rFonts w:ascii="ITC Avant Garde" w:eastAsia="Times New Roman" w:hAnsi="ITC Avant Garde"/>
        </w:rPr>
      </w:pPr>
      <w:r w:rsidRPr="001C10FE">
        <w:rPr>
          <w:rFonts w:ascii="ITC Avant Garde" w:hAnsi="ITC Avant Garde"/>
        </w:rPr>
        <w:t>No obstante, lo anterior debe decirse que l</w:t>
      </w:r>
      <w:r w:rsidR="00281A83" w:rsidRPr="001C10FE">
        <w:rPr>
          <w:rFonts w:ascii="ITC Avant Garde" w:eastAsia="Times New Roman" w:hAnsi="ITC Avant Garde"/>
        </w:rPr>
        <w:t>a supuesta resta a la que se refieren GTM y Pegaso es debido a que en el modelo CILP puro se consideran únicamente los costos adicionales que son necesarios para la prestación del servicio de interconexión, por lo que en términos prácticos la manera de calcularlo es corriendo el modelo con todos los servicios (incluyendo el de interconexión); y posteriormente volver a correr el modelo excluyendo el servicio de interconexión.</w:t>
      </w:r>
    </w:p>
    <w:p w14:paraId="3A9789F6" w14:textId="77777777" w:rsidR="00866C94" w:rsidRDefault="00281A83" w:rsidP="00866C94">
      <w:pPr>
        <w:autoSpaceDE w:val="0"/>
        <w:autoSpaceDN w:val="0"/>
        <w:adjustRightInd w:val="0"/>
        <w:spacing w:before="240"/>
        <w:jc w:val="both"/>
        <w:rPr>
          <w:rFonts w:ascii="ITC Avant Garde" w:eastAsia="Times New Roman" w:hAnsi="ITC Avant Garde"/>
        </w:rPr>
      </w:pPr>
      <w:r w:rsidRPr="001C10FE">
        <w:rPr>
          <w:rFonts w:ascii="ITC Avant Garde" w:eastAsia="Times New Roman" w:hAnsi="ITC Avant Garde"/>
        </w:rPr>
        <w:t xml:space="preserve">De esta forma, la diferencia entre los dos resultados corresponde a los costos que son necesarios para la provisión del servicio de interconexión; no obstante dicho procedimiento no modifica en nada la participación de mercado ni el tráfico en hora pico toda vez que estos son insumos que se mantienen invariables, y considera la totalidad del volumen del tráfico de interconexión, por lo que las manifestaciones de </w:t>
      </w:r>
      <w:r w:rsidR="000322B0" w:rsidRPr="001C10FE">
        <w:rPr>
          <w:rFonts w:ascii="ITC Avant Garde" w:eastAsia="Times New Roman" w:hAnsi="ITC Avant Garde"/>
        </w:rPr>
        <w:t xml:space="preserve">GTM y </w:t>
      </w:r>
      <w:r w:rsidRPr="001C10FE">
        <w:rPr>
          <w:rFonts w:ascii="ITC Avant Garde" w:eastAsia="Times New Roman" w:hAnsi="ITC Avant Garde"/>
        </w:rPr>
        <w:t>Pegaso carecen de fundamento.</w:t>
      </w:r>
    </w:p>
    <w:p w14:paraId="770E9C2C" w14:textId="77777777" w:rsidR="00866C94" w:rsidRDefault="00AE186B" w:rsidP="00866C94">
      <w:pPr>
        <w:pStyle w:val="Prrafodelista"/>
        <w:numPr>
          <w:ilvl w:val="1"/>
          <w:numId w:val="53"/>
        </w:numPr>
        <w:spacing w:before="240" w:after="200" w:line="276" w:lineRule="auto"/>
        <w:ind w:left="284" w:hanging="284"/>
        <w:rPr>
          <w:rFonts w:ascii="ITC Avant Garde" w:hAnsi="ITC Avant Garde"/>
          <w:b/>
        </w:rPr>
      </w:pPr>
      <w:r w:rsidRPr="001C10FE">
        <w:rPr>
          <w:rFonts w:ascii="ITC Avant Garde" w:hAnsi="ITC Avant Garde"/>
          <w:b/>
        </w:rPr>
        <w:t xml:space="preserve">Determinación de Costos Promedio de Capital conforme a los parámetros establecidos en la Consulta Pública </w:t>
      </w:r>
    </w:p>
    <w:p w14:paraId="7E057E2F" w14:textId="77777777" w:rsidR="00866C94" w:rsidRDefault="00AE186B" w:rsidP="00866C94">
      <w:pPr>
        <w:spacing w:before="240"/>
        <w:jc w:val="both"/>
        <w:rPr>
          <w:rFonts w:ascii="ITC Avant Garde" w:hAnsi="ITC Avant Garde"/>
        </w:rPr>
      </w:pPr>
      <w:r w:rsidRPr="001C10FE">
        <w:rPr>
          <w:rFonts w:ascii="ITC Avant Garde" w:hAnsi="ITC Avant Garde"/>
        </w:rPr>
        <w:t>GTM y Pegaso manifiestan en sus escritos de Respuesta que la Consulta Pública del “Anteproyecto de Condiciones Técnicas Mínimas para la Interconexión entre Concesionarios de Redes Públicas de Telecomunicaciones y las Tarifas que resulten de las Metodologías de Costos que estarán vigentes para el año 2017”, careció de transparencia sobre los mecanismos o métodos utilizados para llegar a los resultados que forman parte para el cálculo del Costo Capital Promedio Ponderado (en lo sucesivo, “WACC”, por sus siglas en inglés), toda vez que la autoridad omite dar a conocer de forma clara el proceso que lleva a cabo para deducir el resultado de los factores y elementos que integran el Costo de Capital Promedio Ponderado.</w:t>
      </w:r>
    </w:p>
    <w:p w14:paraId="6B88976F" w14:textId="77777777" w:rsidR="00866C94" w:rsidRDefault="00AE186B" w:rsidP="00866C94">
      <w:pPr>
        <w:spacing w:before="240"/>
        <w:jc w:val="both"/>
        <w:rPr>
          <w:rFonts w:ascii="ITC Avant Garde" w:hAnsi="ITC Avant Garde"/>
        </w:rPr>
      </w:pPr>
      <w:r w:rsidRPr="001C10FE">
        <w:rPr>
          <w:rFonts w:ascii="ITC Avant Garde" w:hAnsi="ITC Avant Garde"/>
        </w:rPr>
        <w:t xml:space="preserve">Aunado a lo anterior, Pegaso y GTM señalan que el Costo de Capital Promedio Ponderado utilizado por el Instituto para definir las tarifas de costo de </w:t>
      </w:r>
      <w:proofErr w:type="spellStart"/>
      <w:r w:rsidRPr="001C10FE">
        <w:rPr>
          <w:rFonts w:ascii="ITC Avant Garde" w:hAnsi="ITC Avant Garde"/>
        </w:rPr>
        <w:t>coubicación</w:t>
      </w:r>
      <w:proofErr w:type="spellEnd"/>
      <w:r w:rsidRPr="001C10FE">
        <w:rPr>
          <w:rFonts w:ascii="ITC Avant Garde" w:hAnsi="ITC Avant Garde"/>
        </w:rPr>
        <w:t xml:space="preserve"> fija del Agente Económico Preponderante (en lo sucesivo, el “AEP”) fue de 11.98%, mientras que el que pretende aplicarse en el modelo para el resto de la industria es de 9.08%, por lo que resulta injustificable que se utilice una mayor para el AEP, que para el operador modelado.</w:t>
      </w:r>
    </w:p>
    <w:p w14:paraId="47A22D46" w14:textId="77777777" w:rsidR="00866C94" w:rsidRDefault="00AE186B" w:rsidP="00866C94">
      <w:pPr>
        <w:spacing w:before="240"/>
        <w:jc w:val="both"/>
        <w:rPr>
          <w:rFonts w:ascii="ITC Avant Garde" w:hAnsi="ITC Avant Garde"/>
        </w:rPr>
      </w:pPr>
      <w:r w:rsidRPr="001C10FE">
        <w:rPr>
          <w:rFonts w:ascii="ITC Avant Garde" w:hAnsi="ITC Avant Garde"/>
          <w:b/>
        </w:rPr>
        <w:t>Consideraciones del Instituto</w:t>
      </w:r>
    </w:p>
    <w:p w14:paraId="74DF262F" w14:textId="77777777" w:rsidR="00866C94" w:rsidRDefault="00AE186B" w:rsidP="00866C94">
      <w:pPr>
        <w:spacing w:before="240"/>
        <w:jc w:val="both"/>
        <w:rPr>
          <w:rFonts w:ascii="ITC Avant Garde" w:hAnsi="ITC Avant Garde"/>
        </w:rPr>
      </w:pPr>
      <w:r w:rsidRPr="001C10FE">
        <w:rPr>
          <w:rFonts w:ascii="ITC Avant Garde" w:hAnsi="ITC Avant Garde"/>
        </w:rPr>
        <w:lastRenderedPageBreak/>
        <w:t>Al respecto, se señala que es falso que se utilice un Costo de Capital Promedio Ponderado (en lo sucesivo, “CCPP” o “WACC”) para los operadores preponderantes y uno para los operadores no preponderantes como manifiestan Pegaso y GTM</w:t>
      </w:r>
    </w:p>
    <w:p w14:paraId="482FFFEF" w14:textId="77777777" w:rsidR="00866C94" w:rsidRDefault="00AE186B" w:rsidP="00866C94">
      <w:pPr>
        <w:spacing w:before="240"/>
        <w:jc w:val="both"/>
        <w:rPr>
          <w:rFonts w:ascii="ITC Avant Garde" w:hAnsi="ITC Avant Garde"/>
        </w:rPr>
      </w:pPr>
      <w:r w:rsidRPr="001C10FE">
        <w:rPr>
          <w:rFonts w:ascii="ITC Avant Garde" w:hAnsi="ITC Avant Garde"/>
        </w:rPr>
        <w:t>En este sentido, el CCPP no intenta reflejar las particularidades de algún agente preponderante o de algún otro concesionario en específico, sino las de un operador eficiente, calculadas con base en una metodología reconocida como mejor práctica internacional. Cabe señalar que la metodología utilizada por el Instituto para el cálculo del CCPP es ampliamente conocida y utilizada en las disciplinas económico-financieras para el cálculo del costo de capital, sus supuestos y fórmulas de cálculo han sido ampliamente documentados en la literatura especializada.</w:t>
      </w:r>
    </w:p>
    <w:p w14:paraId="15160C82" w14:textId="77777777" w:rsidR="00866C94" w:rsidRDefault="00AE186B" w:rsidP="00866C94">
      <w:pPr>
        <w:spacing w:before="240"/>
        <w:jc w:val="both"/>
        <w:rPr>
          <w:rFonts w:ascii="ITC Avant Garde" w:hAnsi="ITC Avant Garde"/>
        </w:rPr>
      </w:pPr>
      <w:r w:rsidRPr="001C10FE">
        <w:rPr>
          <w:rFonts w:ascii="ITC Avant Garde" w:hAnsi="ITC Avant Garde"/>
        </w:rPr>
        <w:t xml:space="preserve">Aunado a lo anterior, si bien es cierto que el CCPP del modelo de costos de </w:t>
      </w:r>
      <w:proofErr w:type="spellStart"/>
      <w:r w:rsidRPr="001C10FE">
        <w:rPr>
          <w:rFonts w:ascii="ITC Avant Garde" w:hAnsi="ITC Avant Garde"/>
        </w:rPr>
        <w:t>coubicación</w:t>
      </w:r>
      <w:proofErr w:type="spellEnd"/>
      <w:r w:rsidRPr="001C10FE">
        <w:rPr>
          <w:rFonts w:ascii="ITC Avant Garde" w:hAnsi="ITC Avant Garde"/>
        </w:rPr>
        <w:t xml:space="preserve"> al que hace referencia Pegaso y GTM es mayor, ello se debe a que se trata del WACC nominal (es decir que incluye inflación), mientras que en los modelos de costos de interconexión el WACC es real, y la inflación se incorpora cuando se convierte el resultado de dólares reales a pesos nominales; por lo que los argumentos de Pegaso </w:t>
      </w:r>
      <w:r w:rsidR="00A12152" w:rsidRPr="001C10FE">
        <w:rPr>
          <w:rFonts w:ascii="ITC Avant Garde" w:hAnsi="ITC Avant Garde"/>
        </w:rPr>
        <w:t xml:space="preserve">y GTM </w:t>
      </w:r>
      <w:r w:rsidRPr="001C10FE">
        <w:rPr>
          <w:rFonts w:ascii="ITC Avant Garde" w:hAnsi="ITC Avant Garde"/>
        </w:rPr>
        <w:t>únicamente se derivan de una errónea comparación.</w:t>
      </w:r>
    </w:p>
    <w:p w14:paraId="0684654F" w14:textId="77777777" w:rsidR="00866C94" w:rsidRDefault="00994085" w:rsidP="00866C94">
      <w:pPr>
        <w:pStyle w:val="Prrafodelista"/>
        <w:numPr>
          <w:ilvl w:val="1"/>
          <w:numId w:val="53"/>
        </w:numPr>
        <w:spacing w:before="240" w:after="200"/>
        <w:ind w:left="284" w:hanging="284"/>
        <w:rPr>
          <w:rFonts w:ascii="ITC Avant Garde" w:hAnsi="ITC Avant Garde"/>
          <w:b/>
        </w:rPr>
      </w:pPr>
      <w:r w:rsidRPr="001C10FE">
        <w:rPr>
          <w:rFonts w:ascii="ITC Avant Garde" w:hAnsi="ITC Avant Garde"/>
          <w:b/>
        </w:rPr>
        <w:t>Objeción de documentos</w:t>
      </w:r>
    </w:p>
    <w:p w14:paraId="4C5D5D48" w14:textId="77777777" w:rsidR="00866C94" w:rsidRDefault="000322B0" w:rsidP="00866C94">
      <w:pPr>
        <w:spacing w:before="240"/>
        <w:jc w:val="both"/>
        <w:rPr>
          <w:rFonts w:ascii="ITC Avant Garde" w:hAnsi="ITC Avant Garde"/>
          <w:b/>
        </w:rPr>
      </w:pPr>
      <w:r w:rsidRPr="001C10FE">
        <w:rPr>
          <w:rFonts w:ascii="ITC Avant Garde" w:hAnsi="ITC Avant Garde"/>
          <w:b/>
        </w:rPr>
        <w:t xml:space="preserve">Argumentos de las partes </w:t>
      </w:r>
    </w:p>
    <w:p w14:paraId="3BAA3C08" w14:textId="77777777" w:rsidR="00866C94" w:rsidRDefault="00994085" w:rsidP="00866C94">
      <w:pPr>
        <w:spacing w:before="240"/>
        <w:jc w:val="both"/>
        <w:rPr>
          <w:rFonts w:ascii="ITC Avant Garde" w:hAnsi="ITC Avant Garde"/>
        </w:rPr>
      </w:pPr>
      <w:r w:rsidRPr="001C10FE">
        <w:rPr>
          <w:rFonts w:ascii="ITC Avant Garde" w:hAnsi="ITC Avant Garde"/>
        </w:rPr>
        <w:t xml:space="preserve">Argumentan GTM y </w:t>
      </w:r>
      <w:r w:rsidR="00C60547" w:rsidRPr="001C10FE">
        <w:rPr>
          <w:rFonts w:ascii="ITC Avant Garde" w:hAnsi="ITC Avant Garde"/>
        </w:rPr>
        <w:t>Pegaso</w:t>
      </w:r>
      <w:r w:rsidRPr="001C10FE">
        <w:rPr>
          <w:rFonts w:ascii="ITC Avant Garde" w:hAnsi="ITC Avant Garde"/>
        </w:rPr>
        <w:t xml:space="preserve"> que con fundamento en lo dispuesto por los artículos 203 y 204 del CFPC, ordenamiento supletorio a la ley de la materia, se objetan en cuanto a su alcance y valor probatorio todos y cada uno de los documentos exhibidos por </w:t>
      </w:r>
      <w:r w:rsidR="009B2506" w:rsidRPr="001C10FE">
        <w:rPr>
          <w:rFonts w:ascii="ITC Avant Garde" w:hAnsi="ITC Avant Garde"/>
        </w:rPr>
        <w:t>Televisa</w:t>
      </w:r>
      <w:r w:rsidRPr="001C10FE">
        <w:rPr>
          <w:rFonts w:ascii="ITC Avant Garde" w:hAnsi="ITC Avant Garde"/>
        </w:rPr>
        <w:t xml:space="preserve"> en los escritos con los cuales se dio vista a GTM y </w:t>
      </w:r>
      <w:r w:rsidR="00C60547" w:rsidRPr="001C10FE">
        <w:rPr>
          <w:rFonts w:ascii="ITC Avant Garde" w:hAnsi="ITC Avant Garde"/>
        </w:rPr>
        <w:t>Pegaso</w:t>
      </w:r>
      <w:r w:rsidRPr="001C10FE">
        <w:rPr>
          <w:rFonts w:ascii="ITC Avant Garde" w:hAnsi="ITC Avant Garde"/>
        </w:rPr>
        <w:t xml:space="preserve">, respectivamente. </w:t>
      </w:r>
    </w:p>
    <w:p w14:paraId="50A7A18F" w14:textId="77777777" w:rsidR="00866C94" w:rsidRDefault="00994085" w:rsidP="00866C94">
      <w:pPr>
        <w:pStyle w:val="IFTnormal"/>
        <w:spacing w:before="240"/>
        <w:ind w:left="0"/>
        <w:rPr>
          <w:b/>
        </w:rPr>
      </w:pPr>
      <w:r w:rsidRPr="001C10FE">
        <w:rPr>
          <w:b/>
        </w:rPr>
        <w:t>Consideraciones del Instituto</w:t>
      </w:r>
    </w:p>
    <w:p w14:paraId="403EDB17" w14:textId="77777777" w:rsidR="00866C94" w:rsidRDefault="00994085" w:rsidP="00866C94">
      <w:pPr>
        <w:pStyle w:val="IFTnormal"/>
        <w:spacing w:before="240"/>
        <w:ind w:left="0"/>
      </w:pPr>
      <w:r w:rsidRPr="001C10FE">
        <w:t xml:space="preserve">Respecto de lo señalado por GTM y </w:t>
      </w:r>
      <w:r w:rsidR="00C60547" w:rsidRPr="001C10FE">
        <w:t>Pegaso</w:t>
      </w:r>
      <w:r w:rsidRPr="001C10FE">
        <w:t xml:space="preserve"> sobre la objeción en cuanto al alcance y valor probatorio de todos y cada uno de los documentos exhibidos por </w:t>
      </w:r>
      <w:r w:rsidR="009B2506" w:rsidRPr="001C10FE">
        <w:t>Televisa</w:t>
      </w:r>
      <w:r w:rsidRPr="001C10FE">
        <w:t xml:space="preserve"> en sus escritos, se señala que dichas manifestaciones resultan inoperantes toda vez que, si bien es cierto que objetar los documentos, es el medio para evitar que se produzca el reconocimiento tácito de algún documento privado o público, y por ende que el valor probatorio del propio instrumento permanezca incompleto, al objetarse algún documento deberá también probarse la objeción, para así destruir la certeza que recae sobre lo asentado en los documentos. Esto es así, porque un documento público hace fe de la certeza de su contenido, en ese sentido, si GTM y </w:t>
      </w:r>
      <w:r w:rsidR="00C60547" w:rsidRPr="001C10FE">
        <w:t>Pegaso</w:t>
      </w:r>
      <w:r w:rsidRPr="001C10FE">
        <w:t xml:space="preserve"> sólo hacen meras manifestaciones y no prueba la objeción, su pretensión resulta inoperante.</w:t>
      </w:r>
    </w:p>
    <w:p w14:paraId="1B170A68" w14:textId="77777777" w:rsidR="00866C94" w:rsidRDefault="00994085" w:rsidP="00866C94">
      <w:pPr>
        <w:pStyle w:val="IFTnormal"/>
        <w:spacing w:before="240"/>
        <w:ind w:left="0"/>
      </w:pPr>
      <w:r w:rsidRPr="001C10FE">
        <w:t>Al respecto, sirve de apoyo la presente tesis:</w:t>
      </w:r>
    </w:p>
    <w:p w14:paraId="64C3139D" w14:textId="77777777" w:rsidR="00866C94" w:rsidRDefault="00994085" w:rsidP="00866C94">
      <w:pPr>
        <w:spacing w:before="240"/>
        <w:ind w:left="1417" w:right="1417"/>
        <w:jc w:val="both"/>
        <w:rPr>
          <w:rFonts w:ascii="ITC Avant Garde" w:eastAsia="Times New Roman" w:hAnsi="ITC Avant Garde" w:cs="Arial"/>
          <w:i/>
          <w:sz w:val="18"/>
          <w:szCs w:val="18"/>
          <w:lang w:eastAsia="es-MX"/>
        </w:rPr>
      </w:pPr>
      <w:r w:rsidRPr="001C10FE">
        <w:rPr>
          <w:rFonts w:ascii="ITC Avant Garde" w:eastAsia="Times New Roman" w:hAnsi="ITC Avant Garde" w:cs="Arial"/>
          <w:i/>
          <w:sz w:val="18"/>
          <w:szCs w:val="18"/>
          <w:lang w:eastAsia="es-MX"/>
        </w:rPr>
        <w:lastRenderedPageBreak/>
        <w:t>“OBJECIÓN DE DOCUMENTOS. NO BASTA QUE EL INTERESADO OBJETE UN DOCUMENTO PROVENIENTE DE UN TERCERO, PARA QUE POR ESE SOLO HECHO PIERDA VALOR PROBATORIO, EL CUAL DEPENDERÁ DE QUE ESTÉN O NO ROBUSTECIDOS CON OTROS MEDIOS (CÓDIGO FEDERAL DE PROCEDIMIENTOS CIVILES).</w:t>
      </w:r>
    </w:p>
    <w:p w14:paraId="2D93E583" w14:textId="77777777" w:rsidR="00866C94" w:rsidRDefault="00994085" w:rsidP="00866C94">
      <w:pPr>
        <w:spacing w:before="240"/>
        <w:ind w:left="1417" w:right="1417"/>
        <w:jc w:val="both"/>
        <w:rPr>
          <w:rFonts w:ascii="ITC Avant Garde" w:eastAsia="Times New Roman" w:hAnsi="ITC Avant Garde" w:cs="Arial"/>
          <w:i/>
          <w:sz w:val="18"/>
          <w:szCs w:val="18"/>
          <w:lang w:eastAsia="es-MX"/>
        </w:rPr>
      </w:pPr>
      <w:r w:rsidRPr="001C10FE">
        <w:rPr>
          <w:rFonts w:ascii="ITC Avant Garde" w:eastAsia="Times New Roman" w:hAnsi="ITC Avant Garde" w:cs="Arial"/>
          <w:i/>
          <w:sz w:val="18"/>
          <w:szCs w:val="18"/>
          <w:lang w:eastAsia="es-MX"/>
        </w:rPr>
        <w:t xml:space="preserve">No basta que el interesado objete un documento proveniente de un tercero, para que por ese solo hecho pierda valor probatorio, ya que de acuerdo a lo establecido por el artículo </w:t>
      </w:r>
      <w:hyperlink r:id="rId11" w:history="1">
        <w:r w:rsidRPr="001C10FE">
          <w:rPr>
            <w:rFonts w:ascii="ITC Avant Garde" w:eastAsia="Times New Roman" w:hAnsi="ITC Avant Garde" w:cs="Arial"/>
            <w:i/>
            <w:sz w:val="18"/>
            <w:szCs w:val="18"/>
            <w:lang w:eastAsia="es-MX"/>
          </w:rPr>
          <w:t>203 del Código Federal de Procedimientos Civiles</w:t>
        </w:r>
      </w:hyperlink>
      <w:r w:rsidRPr="001C10FE">
        <w:rPr>
          <w:rFonts w:ascii="ITC Avant Garde" w:eastAsia="Times New Roman" w:hAnsi="ITC Avant Garde" w:cs="Arial"/>
          <w:i/>
          <w:sz w:val="18"/>
          <w:szCs w:val="18"/>
          <w:lang w:eastAsia="es-MX"/>
        </w:rPr>
        <w:t>, su valor dependerá de que dicha documental esté o no robustecida con otros medios de convicción. Lo anterior es así, en razón de que el propio artículo establece la posibilidad de que, en caso de que el documento haya sido objetado, el oferente pueda, a través de otros medios de convicción, demostrar la veracidad de su contenido, lo que implica la oportunidad de perfeccionar el documento y, de ser así, éste sea valorado en su justa dimensión, por lo que no resulta válido restar, a priori, el valor de la documental, por su sola objeción.”</w:t>
      </w:r>
      <w:r w:rsidRPr="001C10FE">
        <w:rPr>
          <w:rStyle w:val="Refdenotaalpie"/>
          <w:rFonts w:ascii="ITC Avant Garde" w:eastAsia="Times New Roman" w:hAnsi="ITC Avant Garde" w:cs="Arial"/>
          <w:i/>
          <w:sz w:val="18"/>
          <w:szCs w:val="18"/>
          <w:lang w:eastAsia="es-MX"/>
        </w:rPr>
        <w:footnoteReference w:id="2"/>
      </w:r>
    </w:p>
    <w:p w14:paraId="1BC6505C" w14:textId="77777777" w:rsidR="00866C94" w:rsidRDefault="000322B0" w:rsidP="00866C94">
      <w:pPr>
        <w:spacing w:before="240"/>
        <w:jc w:val="both"/>
        <w:rPr>
          <w:rFonts w:ascii="ITC Avant Garde" w:hAnsi="ITC Avant Garde"/>
        </w:rPr>
      </w:pPr>
      <w:r w:rsidRPr="001C10FE">
        <w:rPr>
          <w:rFonts w:ascii="ITC Avant Garde" w:hAnsi="ITC Avant Garde"/>
        </w:rPr>
        <w:t xml:space="preserve">Ahora bien, una vez analizadas las manifestaciones generales de las partes, en términos del artículo 129 de la </w:t>
      </w:r>
      <w:proofErr w:type="spellStart"/>
      <w:r w:rsidRPr="001C10FE">
        <w:rPr>
          <w:rFonts w:ascii="ITC Avant Garde" w:hAnsi="ITC Avant Garde"/>
        </w:rPr>
        <w:t>LFTyR</w:t>
      </w:r>
      <w:proofErr w:type="spellEnd"/>
      <w:r w:rsidRPr="001C10FE">
        <w:rPr>
          <w:rFonts w:ascii="ITC Avant Garde" w:hAnsi="ITC Avant Garde"/>
        </w:rPr>
        <w:t>, se procede a resolver las condiciones no convenidas solicitadas por las partes.</w:t>
      </w:r>
    </w:p>
    <w:p w14:paraId="4D483F34" w14:textId="77777777" w:rsidR="00866C94" w:rsidRDefault="00B15D4E" w:rsidP="00866C94">
      <w:pPr>
        <w:pStyle w:val="Prrafodelista"/>
        <w:numPr>
          <w:ilvl w:val="2"/>
          <w:numId w:val="56"/>
        </w:numPr>
        <w:spacing w:before="240" w:after="200"/>
        <w:ind w:left="284" w:hanging="284"/>
        <w:rPr>
          <w:rFonts w:ascii="ITC Avant Garde" w:hAnsi="ITC Avant Garde"/>
          <w:b/>
        </w:rPr>
      </w:pPr>
      <w:r w:rsidRPr="001C10FE">
        <w:rPr>
          <w:rFonts w:ascii="ITC Avant Garde" w:hAnsi="ITC Avant Garde"/>
          <w:b/>
          <w:lang w:val="es-ES"/>
        </w:rPr>
        <w:t>Tarifas de Interconexión</w:t>
      </w:r>
    </w:p>
    <w:p w14:paraId="0992C7B6" w14:textId="77777777" w:rsidR="00866C94" w:rsidRDefault="00803153" w:rsidP="00866C94">
      <w:pPr>
        <w:spacing w:before="240"/>
        <w:jc w:val="both"/>
        <w:rPr>
          <w:rFonts w:ascii="ITC Avant Garde" w:eastAsia="Times New Roman" w:hAnsi="ITC Avant Garde"/>
          <w:b/>
          <w:szCs w:val="24"/>
          <w:lang w:eastAsia="es-ES"/>
        </w:rPr>
      </w:pPr>
      <w:r w:rsidRPr="001C10FE">
        <w:rPr>
          <w:rFonts w:ascii="ITC Avant Garde" w:eastAsia="Times New Roman" w:hAnsi="ITC Avant Garde"/>
          <w:b/>
          <w:szCs w:val="24"/>
          <w:lang w:eastAsia="es-ES"/>
        </w:rPr>
        <w:t>Argumentos de las partes</w:t>
      </w:r>
    </w:p>
    <w:p w14:paraId="334C8733" w14:textId="67AD9750" w:rsidR="00D52214" w:rsidRPr="001C10FE" w:rsidRDefault="00894F77" w:rsidP="00866C94">
      <w:pPr>
        <w:spacing w:before="240"/>
        <w:jc w:val="both"/>
        <w:rPr>
          <w:rFonts w:ascii="ITC Avant Garde" w:hAnsi="ITC Avant Garde"/>
        </w:rPr>
      </w:pPr>
      <w:r w:rsidRPr="001C10FE">
        <w:rPr>
          <w:rFonts w:ascii="ITC Avant Garde" w:hAnsi="ITC Avant Garde"/>
        </w:rPr>
        <w:t xml:space="preserve">En las Solicitudes de Resolución, </w:t>
      </w:r>
      <w:r w:rsidR="00CE7F90" w:rsidRPr="001C10FE">
        <w:rPr>
          <w:rFonts w:ascii="ITC Avant Garde" w:hAnsi="ITC Avant Garde"/>
        </w:rPr>
        <w:t>Televisa</w:t>
      </w:r>
      <w:r w:rsidRPr="001C10FE">
        <w:rPr>
          <w:rFonts w:ascii="ITC Avant Garde" w:hAnsi="ITC Avant Garde"/>
        </w:rPr>
        <w:t xml:space="preserve"> solicita </w:t>
      </w:r>
      <w:r w:rsidR="00D52214" w:rsidRPr="001C10FE">
        <w:rPr>
          <w:rFonts w:ascii="ITC Avant Garde" w:hAnsi="ITC Avant Garde"/>
        </w:rPr>
        <w:t>que se resuelva que las tarifas de interconexión para el año 2017, aplicable al tráfico que se origine en la red del servicio local fijo de Televisa y cuyo destino sea la red del servicio local fijo de GTM</w:t>
      </w:r>
      <w:r w:rsidR="00544759" w:rsidRPr="001C10FE">
        <w:rPr>
          <w:rFonts w:ascii="ITC Avant Garde" w:hAnsi="ITC Avant Garde"/>
        </w:rPr>
        <w:t xml:space="preserve"> y de servicio local móvil de Pegaso</w:t>
      </w:r>
      <w:r w:rsidR="00D52214" w:rsidRPr="001C10FE">
        <w:rPr>
          <w:rFonts w:ascii="ITC Avant Garde" w:hAnsi="ITC Avant Garde"/>
        </w:rPr>
        <w:t xml:space="preserve">, que deberá ser resuelta en términos del artículo 131 inciso b) de la </w:t>
      </w:r>
      <w:proofErr w:type="spellStart"/>
      <w:r w:rsidR="00D52214" w:rsidRPr="001C10FE">
        <w:rPr>
          <w:rFonts w:ascii="ITC Avant Garde" w:hAnsi="ITC Avant Garde"/>
        </w:rPr>
        <w:t>LFTyR</w:t>
      </w:r>
      <w:proofErr w:type="spellEnd"/>
      <w:r w:rsidR="00D52214" w:rsidRPr="001C10FE">
        <w:rPr>
          <w:rFonts w:ascii="ITC Avant Garde" w:hAnsi="ITC Avant Garde"/>
        </w:rPr>
        <w:t xml:space="preserve"> y publicada en el último trimestre del año, de conformidad con lo dispuesto por el artículo 137 del mismo ordenamiento y que la tarifa de interconexión aplicable al tráfico que se origine en la red del servicio local fijo de Televisa y cuyo destino sea la red del servicio local móvil de Pegaso a razón de $0.1495 pesos M.N. por minuto de interconexión. </w:t>
      </w:r>
    </w:p>
    <w:p w14:paraId="3FBD246E" w14:textId="77777777" w:rsidR="00866C94" w:rsidRDefault="00894F77" w:rsidP="00866C94">
      <w:pPr>
        <w:spacing w:before="240"/>
        <w:jc w:val="both"/>
        <w:rPr>
          <w:rFonts w:ascii="ITC Avant Garde" w:eastAsia="Times New Roman" w:hAnsi="ITC Avant Garde"/>
        </w:rPr>
      </w:pPr>
      <w:r w:rsidRPr="001C10FE">
        <w:rPr>
          <w:rFonts w:ascii="ITC Avant Garde" w:eastAsia="Times New Roman" w:hAnsi="ITC Avant Garde"/>
        </w:rPr>
        <w:t>Asimi</w:t>
      </w:r>
      <w:r w:rsidR="00CD2A38" w:rsidRPr="001C10FE">
        <w:rPr>
          <w:rFonts w:ascii="ITC Avant Garde" w:eastAsia="Times New Roman" w:hAnsi="ITC Avant Garde"/>
        </w:rPr>
        <w:t>smo, en su escrito de alegatos, Televisa</w:t>
      </w:r>
      <w:r w:rsidRPr="001C10FE">
        <w:rPr>
          <w:rFonts w:ascii="ITC Avant Garde" w:eastAsia="Times New Roman" w:hAnsi="ITC Avant Garde"/>
        </w:rPr>
        <w:t xml:space="preserve"> señala que su postura se encuentra apegada</w:t>
      </w:r>
      <w:r w:rsidR="004E1A79" w:rsidRPr="001C10FE">
        <w:rPr>
          <w:rFonts w:ascii="ITC Avant Garde" w:eastAsia="Times New Roman" w:hAnsi="ITC Avant Garde"/>
        </w:rPr>
        <w:t xml:space="preserve">s las consideraciones contenidas en las manifestaciones planteadas al inicio de las negociaciones de interconexión en el SESI presentadas por Televisa con las empresas GTM y Pegaso y de los escritos presentados el día 15 de julio de 2016, a fin que se resolviera </w:t>
      </w:r>
      <w:r w:rsidR="004E1A79" w:rsidRPr="001C10FE">
        <w:rPr>
          <w:rFonts w:ascii="ITC Avant Garde" w:eastAsia="Times New Roman" w:hAnsi="ITC Avant Garde"/>
        </w:rPr>
        <w:lastRenderedPageBreak/>
        <w:t>dicho Desacuerdo, aplicables para el periodo comprendido del 1° de enero al 31 de diciembre de 2017.</w:t>
      </w:r>
    </w:p>
    <w:p w14:paraId="57E04DAA" w14:textId="77777777" w:rsidR="00866C94" w:rsidRDefault="00627E48" w:rsidP="00866C94">
      <w:pPr>
        <w:spacing w:before="240"/>
        <w:jc w:val="both"/>
        <w:rPr>
          <w:rFonts w:ascii="ITC Avant Garde" w:eastAsia="Times New Roman" w:hAnsi="ITC Avant Garde"/>
        </w:rPr>
      </w:pPr>
      <w:r w:rsidRPr="001C10FE">
        <w:rPr>
          <w:rFonts w:ascii="ITC Avant Garde" w:eastAsia="Times New Roman" w:hAnsi="ITC Avant Garde"/>
        </w:rPr>
        <w:t xml:space="preserve">Por su parte, en los escritos de respuesta de GTM y Pegaso, señalan que las tarifas de terminación en la red local fija de Televisa para 2017, deberá hacerse con base en costos y en lo establecido en la Regla Novena Transitorio de las Reglas del Servicio Local y el artículo 127 fracción I de la </w:t>
      </w:r>
      <w:proofErr w:type="spellStart"/>
      <w:r w:rsidRPr="001C10FE">
        <w:rPr>
          <w:rFonts w:ascii="ITC Avant Garde" w:eastAsia="Times New Roman" w:hAnsi="ITC Avant Garde"/>
        </w:rPr>
        <w:t>LFTyR</w:t>
      </w:r>
      <w:proofErr w:type="spellEnd"/>
      <w:r w:rsidRPr="001C10FE">
        <w:rPr>
          <w:rFonts w:ascii="ITC Avant Garde" w:eastAsia="Times New Roman" w:hAnsi="ITC Avant Garde"/>
        </w:rPr>
        <w:t>.</w:t>
      </w:r>
    </w:p>
    <w:p w14:paraId="354B84C1" w14:textId="77777777" w:rsidR="00866C94" w:rsidRDefault="00AD34F1" w:rsidP="00866C94">
      <w:pPr>
        <w:spacing w:before="240"/>
        <w:jc w:val="both"/>
        <w:rPr>
          <w:rFonts w:ascii="ITC Avant Garde" w:eastAsia="Times New Roman" w:hAnsi="ITC Avant Garde"/>
          <w:szCs w:val="24"/>
          <w:lang w:eastAsia="es-ES"/>
        </w:rPr>
      </w:pPr>
      <w:r w:rsidRPr="001C10FE">
        <w:rPr>
          <w:rFonts w:ascii="ITC Avant Garde" w:eastAsia="Times New Roman" w:hAnsi="ITC Avant Garde"/>
          <w:szCs w:val="24"/>
          <w:lang w:eastAsia="es-ES"/>
        </w:rPr>
        <w:t xml:space="preserve">Por otra parte, en </w:t>
      </w:r>
      <w:r w:rsidR="00627E48" w:rsidRPr="001C10FE">
        <w:rPr>
          <w:rFonts w:ascii="ITC Avant Garde" w:eastAsia="Times New Roman" w:hAnsi="ITC Avant Garde"/>
          <w:szCs w:val="24"/>
          <w:lang w:eastAsia="es-ES"/>
        </w:rPr>
        <w:t>los escritos</w:t>
      </w:r>
      <w:r w:rsidR="00A9330F" w:rsidRPr="001C10FE">
        <w:rPr>
          <w:rFonts w:ascii="ITC Avant Garde" w:eastAsia="Times New Roman" w:hAnsi="ITC Avant Garde"/>
          <w:szCs w:val="24"/>
          <w:lang w:eastAsia="es-ES"/>
        </w:rPr>
        <w:t xml:space="preserve"> de respuesta</w:t>
      </w:r>
      <w:r w:rsidRPr="001C10FE">
        <w:rPr>
          <w:rFonts w:ascii="ITC Avant Garde" w:eastAsia="Times New Roman" w:hAnsi="ITC Avant Garde"/>
          <w:szCs w:val="24"/>
          <w:lang w:eastAsia="es-ES"/>
        </w:rPr>
        <w:t xml:space="preserve"> </w:t>
      </w:r>
      <w:r w:rsidR="00AD4AC1" w:rsidRPr="001C10FE">
        <w:rPr>
          <w:rFonts w:ascii="ITC Avant Garde" w:eastAsia="Times New Roman" w:hAnsi="ITC Avant Garde"/>
          <w:szCs w:val="24"/>
          <w:lang w:eastAsia="es-ES"/>
        </w:rPr>
        <w:t xml:space="preserve">GTM </w:t>
      </w:r>
      <w:r w:rsidR="00A9330F" w:rsidRPr="001C10FE">
        <w:rPr>
          <w:rFonts w:ascii="ITC Avant Garde" w:eastAsia="Times New Roman" w:hAnsi="ITC Avant Garde"/>
          <w:szCs w:val="24"/>
          <w:lang w:eastAsia="es-ES"/>
        </w:rPr>
        <w:t>propone que la tarifa de terminación</w:t>
      </w:r>
      <w:r w:rsidR="00627E48" w:rsidRPr="001C10FE">
        <w:rPr>
          <w:rFonts w:ascii="ITC Avant Garde" w:eastAsia="Times New Roman" w:hAnsi="ITC Avant Garde"/>
          <w:szCs w:val="24"/>
          <w:lang w:eastAsia="es-ES"/>
        </w:rPr>
        <w:t xml:space="preserve"> en su red local</w:t>
      </w:r>
      <w:r w:rsidR="00A9330F" w:rsidRPr="001C10FE">
        <w:rPr>
          <w:rFonts w:ascii="ITC Avant Garde" w:eastAsia="Times New Roman" w:hAnsi="ITC Avant Garde"/>
          <w:szCs w:val="24"/>
          <w:lang w:eastAsia="es-ES"/>
        </w:rPr>
        <w:t xml:space="preserve"> fija sea de $0.00975 dólares americanos; por su parte, Pegaso</w:t>
      </w:r>
      <w:r w:rsidRPr="001C10FE">
        <w:rPr>
          <w:rFonts w:ascii="ITC Avant Garde" w:eastAsia="Times New Roman" w:hAnsi="ITC Avant Garde"/>
          <w:szCs w:val="24"/>
          <w:lang w:eastAsia="es-ES"/>
        </w:rPr>
        <w:t xml:space="preserve"> </w:t>
      </w:r>
      <w:r w:rsidR="00A9330F" w:rsidRPr="001C10FE">
        <w:rPr>
          <w:rFonts w:ascii="ITC Avant Garde" w:eastAsia="Times New Roman" w:hAnsi="ITC Avant Garde"/>
          <w:szCs w:val="24"/>
          <w:lang w:eastAsia="es-ES"/>
        </w:rPr>
        <w:t xml:space="preserve">propone que la tarifa de terminación </w:t>
      </w:r>
      <w:r w:rsidR="00627E48" w:rsidRPr="001C10FE">
        <w:rPr>
          <w:rFonts w:ascii="ITC Avant Garde" w:eastAsia="Times New Roman" w:hAnsi="ITC Avant Garde"/>
          <w:szCs w:val="24"/>
          <w:lang w:eastAsia="es-ES"/>
        </w:rPr>
        <w:t xml:space="preserve">en su red </w:t>
      </w:r>
      <w:r w:rsidR="00A9330F" w:rsidRPr="001C10FE">
        <w:rPr>
          <w:rFonts w:ascii="ITC Avant Garde" w:eastAsia="Times New Roman" w:hAnsi="ITC Avant Garde"/>
          <w:szCs w:val="24"/>
          <w:lang w:eastAsia="es-ES"/>
        </w:rPr>
        <w:t xml:space="preserve">móvil sea de $0.3489 (treinta y cuatro punto ochenta y nueve centavos de peso, M.N.) por minuto de interconexión para 2017.  </w:t>
      </w:r>
    </w:p>
    <w:p w14:paraId="3D4FC5DF" w14:textId="77777777" w:rsidR="00866C94" w:rsidRDefault="00AD34F1" w:rsidP="00866C94">
      <w:pPr>
        <w:spacing w:before="240"/>
        <w:ind w:right="48"/>
        <w:jc w:val="both"/>
        <w:rPr>
          <w:rFonts w:ascii="ITC Avant Garde" w:hAnsi="ITC Avant Garde"/>
          <w:b/>
        </w:rPr>
      </w:pPr>
      <w:r w:rsidRPr="001C10FE">
        <w:rPr>
          <w:rFonts w:ascii="ITC Avant Garde" w:hAnsi="ITC Avant Garde"/>
          <w:b/>
        </w:rPr>
        <w:t xml:space="preserve">Consideraciones del Instituto </w:t>
      </w:r>
    </w:p>
    <w:p w14:paraId="5A32B45E" w14:textId="77777777" w:rsidR="00866C94" w:rsidRDefault="00A9330F" w:rsidP="00866C94">
      <w:pPr>
        <w:spacing w:before="240"/>
        <w:jc w:val="both"/>
        <w:rPr>
          <w:rFonts w:ascii="ITC Avant Garde" w:hAnsi="ITC Avant Garde" w:cs="Arial"/>
        </w:rPr>
      </w:pPr>
      <w:r w:rsidRPr="001C10FE">
        <w:rPr>
          <w:rFonts w:ascii="ITC Avant Garde" w:hAnsi="ITC Avant Garde" w:cs="Arial"/>
        </w:rPr>
        <w:t xml:space="preserve">Para la determinación de las tarifas de interconexión en las redes públicas de telecomunicaciones de </w:t>
      </w:r>
      <w:r w:rsidR="002C2FF8" w:rsidRPr="001C10FE">
        <w:rPr>
          <w:rFonts w:ascii="ITC Avant Garde" w:hAnsi="ITC Avant Garde" w:cs="Arial"/>
        </w:rPr>
        <w:t xml:space="preserve">Televisa </w:t>
      </w:r>
      <w:r w:rsidRPr="001C10FE">
        <w:rPr>
          <w:rFonts w:ascii="ITC Avant Garde" w:hAnsi="ITC Avant Garde" w:cs="Arial"/>
        </w:rPr>
        <w:t xml:space="preserve">y las empresas GTM y Pegaso, se debe considerar que la propia </w:t>
      </w:r>
      <w:proofErr w:type="spellStart"/>
      <w:r w:rsidRPr="001C10FE">
        <w:rPr>
          <w:rFonts w:ascii="ITC Avant Garde" w:hAnsi="ITC Avant Garde" w:cs="Arial"/>
        </w:rPr>
        <w:t>LFTyR</w:t>
      </w:r>
      <w:proofErr w:type="spellEnd"/>
      <w:r w:rsidRPr="001C10FE">
        <w:rPr>
          <w:rFonts w:ascii="ITC Avant Garde" w:hAnsi="ITC Avant Garde" w:cs="Arial"/>
        </w:rPr>
        <w:t xml:space="preserve"> establece el marco normativo y regulatorio aplicable para la fijación de las tarifas de interconexión. </w:t>
      </w:r>
    </w:p>
    <w:p w14:paraId="04113595" w14:textId="77777777" w:rsidR="00866C94" w:rsidRDefault="00A9330F" w:rsidP="00866C94">
      <w:pPr>
        <w:widowControl w:val="0"/>
        <w:spacing w:before="240"/>
        <w:jc w:val="both"/>
        <w:rPr>
          <w:rFonts w:ascii="ITC Avant Garde" w:hAnsi="ITC Avant Garde" w:cs="Arial"/>
        </w:rPr>
      </w:pPr>
      <w:r w:rsidRPr="001C10FE">
        <w:rPr>
          <w:rFonts w:ascii="ITC Avant Garde" w:eastAsia="Times New Roman" w:hAnsi="ITC Avant Garde" w:cs="Arial"/>
        </w:rPr>
        <w:t xml:space="preserve">A tal efecto, </w:t>
      </w:r>
      <w:r w:rsidRPr="001C10FE">
        <w:rPr>
          <w:rFonts w:ascii="ITC Avant Garde" w:hAnsi="ITC Avant Garde" w:cs="Arial"/>
        </w:rPr>
        <w:t xml:space="preserve">el artículo 131 de la </w:t>
      </w:r>
      <w:proofErr w:type="spellStart"/>
      <w:r w:rsidRPr="001C10FE">
        <w:rPr>
          <w:rFonts w:ascii="ITC Avant Garde" w:hAnsi="ITC Avant Garde" w:cs="Arial"/>
        </w:rPr>
        <w:t>LFTyR</w:t>
      </w:r>
      <w:proofErr w:type="spellEnd"/>
      <w:r w:rsidRPr="001C10FE">
        <w:rPr>
          <w:rFonts w:ascii="ITC Avant Garde" w:hAnsi="ITC Avant Garde" w:cs="Arial"/>
        </w:rPr>
        <w:t xml:space="preserve"> dispone lo siguiente:</w:t>
      </w:r>
    </w:p>
    <w:p w14:paraId="18468E1B" w14:textId="77777777" w:rsidR="00866C94" w:rsidRDefault="00A9330F" w:rsidP="00866C94">
      <w:pPr>
        <w:spacing w:before="240"/>
        <w:ind w:left="567" w:right="615"/>
        <w:jc w:val="both"/>
        <w:rPr>
          <w:rFonts w:ascii="ITC Avant Garde" w:hAnsi="ITC Avant Garde" w:cs="Arial"/>
          <w:i/>
          <w:sz w:val="18"/>
          <w:szCs w:val="18"/>
        </w:rPr>
      </w:pPr>
      <w:r w:rsidRPr="001C10FE">
        <w:rPr>
          <w:rFonts w:ascii="ITC Avant Garde" w:hAnsi="ITC Avant Garde" w:cs="Arial"/>
          <w:i/>
          <w:sz w:val="18"/>
          <w:szCs w:val="18"/>
        </w:rPr>
        <w:t>“</w:t>
      </w:r>
      <w:r w:rsidRPr="001C10FE">
        <w:rPr>
          <w:rFonts w:ascii="ITC Avant Garde" w:hAnsi="ITC Avant Garde" w:cs="Arial"/>
          <w:b/>
          <w:i/>
          <w:sz w:val="18"/>
          <w:szCs w:val="18"/>
        </w:rPr>
        <w:t>Artículo 131.</w:t>
      </w:r>
      <w:r w:rsidRPr="001C10FE">
        <w:rPr>
          <w:rFonts w:ascii="ITC Avant Garde" w:hAnsi="ITC Avant Garde" w:cs="Arial"/>
          <w:i/>
          <w:sz w:val="18"/>
          <w:szCs w:val="18"/>
        </w:rPr>
        <w:t xml:space="preserve"> […]</w:t>
      </w:r>
    </w:p>
    <w:p w14:paraId="08B675AC" w14:textId="77777777" w:rsidR="00866C94" w:rsidRDefault="00A9330F" w:rsidP="00866C94">
      <w:pPr>
        <w:spacing w:before="240"/>
        <w:ind w:left="567" w:right="615"/>
        <w:jc w:val="both"/>
        <w:rPr>
          <w:rFonts w:ascii="ITC Avant Garde" w:hAnsi="ITC Avant Garde" w:cs="Arial"/>
          <w:i/>
          <w:sz w:val="18"/>
          <w:szCs w:val="18"/>
        </w:rPr>
      </w:pPr>
      <w:r w:rsidRPr="001C10FE">
        <w:rPr>
          <w:rFonts w:ascii="ITC Avant Garde" w:hAnsi="ITC Avant Garde" w:cs="Arial"/>
          <w:i/>
          <w:sz w:val="18"/>
          <w:szCs w:val="18"/>
        </w:rPr>
        <w:t>[…]</w:t>
      </w:r>
    </w:p>
    <w:p w14:paraId="05C73567" w14:textId="77777777" w:rsidR="00866C94" w:rsidRDefault="00A9330F" w:rsidP="00866C94">
      <w:pPr>
        <w:spacing w:before="240"/>
        <w:ind w:left="567" w:right="615"/>
        <w:jc w:val="both"/>
        <w:rPr>
          <w:rFonts w:ascii="ITC Avant Garde" w:hAnsi="ITC Avant Garde" w:cs="Arial"/>
          <w:i/>
          <w:sz w:val="18"/>
          <w:szCs w:val="18"/>
        </w:rPr>
      </w:pPr>
      <w:r w:rsidRPr="001C10FE">
        <w:rPr>
          <w:rFonts w:ascii="ITC Avant Garde" w:hAnsi="ITC Avant Garde" w:cs="Arial"/>
          <w:i/>
          <w:sz w:val="18"/>
          <w:szCs w:val="18"/>
        </w:rPr>
        <w:t>b) Para el tráfico que termine en la red de los demás concesionarios, la tarifa de interconexión será negociada libremente.</w:t>
      </w:r>
    </w:p>
    <w:p w14:paraId="49D484A7" w14:textId="77777777" w:rsidR="00866C94" w:rsidRDefault="00A9330F" w:rsidP="00866C94">
      <w:pPr>
        <w:spacing w:before="240"/>
        <w:ind w:left="567" w:right="615"/>
        <w:jc w:val="both"/>
        <w:rPr>
          <w:rFonts w:ascii="ITC Avant Garde" w:hAnsi="ITC Avant Garde" w:cs="Arial"/>
          <w:i/>
          <w:sz w:val="18"/>
          <w:szCs w:val="18"/>
        </w:rPr>
      </w:pPr>
      <w:r w:rsidRPr="001C10FE">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2947853" w14:textId="77777777" w:rsidR="00866C94" w:rsidRDefault="00A9330F" w:rsidP="00866C94">
      <w:pPr>
        <w:spacing w:before="240"/>
        <w:ind w:left="567" w:right="615"/>
        <w:jc w:val="both"/>
        <w:rPr>
          <w:rFonts w:ascii="ITC Avant Garde" w:hAnsi="ITC Avant Garde" w:cs="Arial"/>
          <w:i/>
          <w:sz w:val="18"/>
          <w:szCs w:val="18"/>
        </w:rPr>
      </w:pPr>
      <w:r w:rsidRPr="001C10FE">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52B578BD" w14:textId="77777777" w:rsidR="00866C94" w:rsidRDefault="00A9330F" w:rsidP="00866C94">
      <w:pPr>
        <w:spacing w:before="240"/>
        <w:ind w:left="567" w:right="615"/>
        <w:jc w:val="both"/>
        <w:rPr>
          <w:rFonts w:ascii="ITC Avant Garde" w:hAnsi="ITC Avant Garde" w:cs="Arial"/>
          <w:i/>
          <w:sz w:val="18"/>
          <w:szCs w:val="18"/>
        </w:rPr>
      </w:pPr>
      <w:r w:rsidRPr="001C10FE">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09D53B79" w14:textId="77777777" w:rsidR="00866C94" w:rsidRDefault="00A9330F" w:rsidP="00866C94">
      <w:pPr>
        <w:spacing w:before="240"/>
        <w:ind w:left="567" w:right="615"/>
        <w:jc w:val="both"/>
        <w:rPr>
          <w:rFonts w:ascii="ITC Avant Garde" w:hAnsi="ITC Avant Garde" w:cs="Arial"/>
          <w:i/>
          <w:sz w:val="18"/>
          <w:szCs w:val="18"/>
        </w:rPr>
      </w:pPr>
      <w:r w:rsidRPr="001C10FE">
        <w:rPr>
          <w:rFonts w:ascii="ITC Avant Garde" w:hAnsi="ITC Avant Garde" w:cs="Arial"/>
          <w:i/>
          <w:sz w:val="18"/>
          <w:szCs w:val="18"/>
        </w:rPr>
        <w:t>[…]”</w:t>
      </w:r>
    </w:p>
    <w:p w14:paraId="359DE8D4" w14:textId="77777777" w:rsidR="00866C94" w:rsidRDefault="00A9330F" w:rsidP="00866C94">
      <w:pPr>
        <w:spacing w:before="240"/>
        <w:ind w:right="20"/>
        <w:jc w:val="both"/>
        <w:rPr>
          <w:rFonts w:ascii="ITC Avant Garde" w:hAnsi="ITC Avant Garde" w:cs="Arial"/>
        </w:rPr>
      </w:pPr>
      <w:r w:rsidRPr="001C10FE">
        <w:rPr>
          <w:rFonts w:ascii="ITC Avant Garde" w:hAnsi="ITC Avant Garde" w:cs="Arial"/>
        </w:rPr>
        <w:lastRenderedPageBreak/>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5FACCAA2" w14:textId="77777777" w:rsidR="00866C94" w:rsidRDefault="00A9330F" w:rsidP="00866C94">
      <w:pPr>
        <w:spacing w:before="240"/>
        <w:ind w:right="20"/>
        <w:jc w:val="both"/>
        <w:rPr>
          <w:rFonts w:ascii="ITC Avant Garde" w:hAnsi="ITC Avant Garde" w:cs="Arial"/>
        </w:rPr>
      </w:pPr>
      <w:r w:rsidRPr="001C10FE">
        <w:rPr>
          <w:rFonts w:ascii="ITC Avant Garde" w:hAnsi="ITC Avant Garde" w:cs="Arial"/>
        </w:rPr>
        <w:t xml:space="preserve">En este orden de ideas, el artículo 137 de la </w:t>
      </w:r>
      <w:proofErr w:type="spellStart"/>
      <w:r w:rsidRPr="001C10FE">
        <w:rPr>
          <w:rFonts w:ascii="ITC Avant Garde" w:hAnsi="ITC Avant Garde" w:cs="Arial"/>
        </w:rPr>
        <w:t>LFTyR</w:t>
      </w:r>
      <w:proofErr w:type="spellEnd"/>
      <w:r w:rsidRPr="001C10FE">
        <w:rPr>
          <w:rFonts w:ascii="ITC Avant Garde" w:hAnsi="ITC Avant Garde" w:cs="Arial"/>
        </w:rPr>
        <w:t xml:space="preserve"> señala a la letra lo siguiente:</w:t>
      </w:r>
    </w:p>
    <w:p w14:paraId="631ED037" w14:textId="77777777" w:rsidR="00866C94" w:rsidRDefault="00A9330F" w:rsidP="00866C94">
      <w:pPr>
        <w:spacing w:before="240"/>
        <w:ind w:left="1417" w:right="1417"/>
        <w:jc w:val="both"/>
        <w:rPr>
          <w:rFonts w:ascii="ITC Avant Garde" w:hAnsi="ITC Avant Garde" w:cs="Arial"/>
          <w:i/>
          <w:sz w:val="17"/>
          <w:szCs w:val="17"/>
        </w:rPr>
      </w:pPr>
      <w:r w:rsidRPr="001C10FE">
        <w:rPr>
          <w:rFonts w:ascii="ITC Avant Garde" w:hAnsi="ITC Avant Garde" w:cs="Arial"/>
          <w:b/>
          <w:i/>
          <w:sz w:val="17"/>
          <w:szCs w:val="17"/>
        </w:rPr>
        <w:t>“Artículo 137.</w:t>
      </w:r>
      <w:r w:rsidRPr="001C10FE">
        <w:rPr>
          <w:rFonts w:ascii="ITC Avant Garde" w:hAnsi="ITC Avant Garde" w:cs="Arial"/>
          <w:i/>
          <w:sz w:val="17"/>
          <w:szCs w:val="17"/>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5B78ECFB" w14:textId="77777777" w:rsidR="00866C94" w:rsidRDefault="00A9330F" w:rsidP="00866C94">
      <w:pPr>
        <w:spacing w:before="240"/>
        <w:ind w:right="20"/>
        <w:jc w:val="both"/>
        <w:rPr>
          <w:rFonts w:ascii="ITC Avant Garde" w:eastAsia="Times New Roman" w:hAnsi="ITC Avant Garde" w:cs="Arial"/>
        </w:rPr>
      </w:pPr>
      <w:r w:rsidRPr="001C10FE">
        <w:rPr>
          <w:rFonts w:ascii="ITC Avant Garde" w:eastAsia="Times New Roman" w:hAnsi="ITC Avant Garde" w:cs="Arial"/>
        </w:rPr>
        <w:t>En apego a dicha metodología y en cumplimiento a lo establecido en el artículo 137, el Instituto publicó en el DOF el 3 de octubre de 2016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28BE21E2" w14:textId="77777777" w:rsidR="00866C94" w:rsidRDefault="00A9330F" w:rsidP="00866C94">
      <w:pPr>
        <w:spacing w:before="240"/>
        <w:ind w:right="20"/>
        <w:jc w:val="both"/>
        <w:rPr>
          <w:rFonts w:ascii="ITC Avant Garde" w:eastAsia="Times New Roman" w:hAnsi="ITC Avant Garde" w:cs="Arial"/>
        </w:rPr>
      </w:pPr>
      <w:r w:rsidRPr="001C10FE">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2017.</w:t>
      </w:r>
    </w:p>
    <w:p w14:paraId="648B1823" w14:textId="77777777" w:rsidR="00866C94" w:rsidRDefault="00A9330F" w:rsidP="00866C94">
      <w:pPr>
        <w:spacing w:before="240"/>
        <w:ind w:right="20"/>
        <w:jc w:val="both"/>
        <w:rPr>
          <w:rFonts w:ascii="ITC Avant Garde" w:hAnsi="ITC Avant Garde" w:cs="Arial"/>
        </w:rPr>
      </w:pPr>
      <w:r w:rsidRPr="001C10FE">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2A9A249B" w14:textId="77777777" w:rsidR="00866C94" w:rsidRDefault="00A9330F" w:rsidP="00866C94">
      <w:pPr>
        <w:spacing w:before="240"/>
        <w:ind w:right="20"/>
        <w:jc w:val="both"/>
        <w:rPr>
          <w:rFonts w:ascii="ITC Avant Garde" w:hAnsi="ITC Avant Garde" w:cs="Arial"/>
        </w:rPr>
      </w:pPr>
      <w:r w:rsidRPr="001C10FE">
        <w:rPr>
          <w:rFonts w:ascii="ITC Avant Garde" w:hAnsi="ITC Avant Garde" w:cs="Arial"/>
        </w:rPr>
        <w:t>En tal virtud, la tarifa que</w:t>
      </w:r>
      <w:r w:rsidR="009C5835" w:rsidRPr="001C10FE">
        <w:rPr>
          <w:rFonts w:ascii="ITC Avant Garde" w:hAnsi="ITC Avant Garde" w:cs="Arial"/>
        </w:rPr>
        <w:t xml:space="preserve"> </w:t>
      </w:r>
      <w:r w:rsidR="009C5835" w:rsidRPr="001C10FE">
        <w:rPr>
          <w:rFonts w:ascii="ITC Avant Garde" w:hAnsi="ITC Avant Garde"/>
          <w:spacing w:val="-4"/>
          <w:lang w:val="es-ES"/>
        </w:rPr>
        <w:t>Televisa y GTM deberán pagarse de forma recíproca, así como la que</w:t>
      </w:r>
      <w:r w:rsidRPr="001C10FE">
        <w:rPr>
          <w:rFonts w:ascii="ITC Avant Garde" w:hAnsi="ITC Avant Garde" w:cs="Arial"/>
        </w:rPr>
        <w:t xml:space="preserve"> </w:t>
      </w:r>
      <w:r w:rsidR="009C5835" w:rsidRPr="001C10FE">
        <w:rPr>
          <w:rFonts w:ascii="ITC Avant Garde" w:hAnsi="ITC Avant Garde" w:cs="Arial"/>
        </w:rPr>
        <w:t xml:space="preserve">Pegaso deberá pagar a Televisa, </w:t>
      </w:r>
      <w:r w:rsidRPr="001C10FE">
        <w:rPr>
          <w:rFonts w:ascii="ITC Avant Garde" w:hAnsi="ITC Avant Garde" w:cs="Arial"/>
        </w:rPr>
        <w:t>por los servicios de terminación del Servicio Local en usuarios fijos, será la siguiente:</w:t>
      </w:r>
    </w:p>
    <w:p w14:paraId="68B285AC" w14:textId="77777777" w:rsidR="00866C94" w:rsidRDefault="00A9330F" w:rsidP="00866C94">
      <w:pPr>
        <w:pStyle w:val="Prrafodelista"/>
        <w:numPr>
          <w:ilvl w:val="0"/>
          <w:numId w:val="14"/>
        </w:numPr>
        <w:spacing w:before="240" w:after="200" w:line="276" w:lineRule="auto"/>
        <w:rPr>
          <w:rFonts w:ascii="ITC Avant Garde" w:hAnsi="ITC Avant Garde"/>
          <w:b/>
          <w:spacing w:val="-4"/>
          <w:lang w:val="es-ES_tradnl"/>
        </w:rPr>
      </w:pPr>
      <w:r w:rsidRPr="001C10FE">
        <w:rPr>
          <w:rFonts w:ascii="ITC Avant Garde" w:hAnsi="ITC Avant Garde"/>
          <w:b/>
          <w:spacing w:val="-4"/>
          <w:lang w:val="es-ES_tradnl"/>
        </w:rPr>
        <w:t>Del 1 de enero al 31 de diciembre de 2017, $0.003094 pesos M.N. por minuto de interconexión.</w:t>
      </w:r>
    </w:p>
    <w:p w14:paraId="711FB918" w14:textId="77777777" w:rsidR="00866C94" w:rsidRDefault="009C5835" w:rsidP="00866C94">
      <w:pPr>
        <w:spacing w:before="240"/>
        <w:jc w:val="both"/>
        <w:rPr>
          <w:rFonts w:ascii="ITC Avant Garde" w:hAnsi="ITC Avant Garde"/>
          <w:spacing w:val="-4"/>
          <w:lang w:val="es-ES"/>
        </w:rPr>
      </w:pPr>
      <w:r w:rsidRPr="001C10FE">
        <w:rPr>
          <w:rFonts w:ascii="ITC Avant Garde" w:hAnsi="ITC Avant Garde" w:cs="Arial"/>
        </w:rPr>
        <w:t>Asimismo</w:t>
      </w:r>
      <w:r w:rsidR="002C2FF8" w:rsidRPr="001C10FE">
        <w:rPr>
          <w:rFonts w:ascii="ITC Avant Garde" w:hAnsi="ITC Avant Garde" w:cs="Arial"/>
        </w:rPr>
        <w:t xml:space="preserve">, la tarifa por los Servicios de Interconexión que Televisa deberá pagar a Pegaso </w:t>
      </w:r>
      <w:r w:rsidR="002C2FF8" w:rsidRPr="001C10FE">
        <w:rPr>
          <w:rFonts w:ascii="ITC Avant Garde" w:hAnsi="ITC Avant Garde"/>
          <w:spacing w:val="-4"/>
          <w:lang w:val="es-ES"/>
        </w:rPr>
        <w:t>por los servicios de terminación del Servicio Local en usuarios móviles bajo la “El que llama paga”, será la siguiente:</w:t>
      </w:r>
    </w:p>
    <w:p w14:paraId="2AEE6C5D" w14:textId="77777777" w:rsidR="00866C94" w:rsidRDefault="002C2FF8" w:rsidP="00866C94">
      <w:pPr>
        <w:pStyle w:val="Prrafodelista"/>
        <w:numPr>
          <w:ilvl w:val="0"/>
          <w:numId w:val="14"/>
        </w:numPr>
        <w:spacing w:before="240" w:after="200" w:line="276" w:lineRule="auto"/>
        <w:rPr>
          <w:rFonts w:ascii="ITC Avant Garde" w:hAnsi="ITC Avant Garde"/>
          <w:b/>
          <w:spacing w:val="-4"/>
          <w:lang w:val="es-ES"/>
        </w:rPr>
      </w:pPr>
      <w:r w:rsidRPr="001C10FE">
        <w:rPr>
          <w:rFonts w:ascii="ITC Avant Garde" w:hAnsi="ITC Avant Garde"/>
          <w:b/>
          <w:spacing w:val="-4"/>
          <w:lang w:val="es-ES"/>
        </w:rPr>
        <w:t>Del 1 de enero al 31 de diciembre de 2017, será de $0.1906 pesos M.N. por minuto de interconexión.</w:t>
      </w:r>
    </w:p>
    <w:p w14:paraId="3926A505" w14:textId="77777777" w:rsidR="00866C94" w:rsidRDefault="00A9330F" w:rsidP="00866C94">
      <w:pPr>
        <w:spacing w:before="240"/>
        <w:jc w:val="both"/>
        <w:rPr>
          <w:rFonts w:ascii="ITC Avant Garde" w:hAnsi="ITC Avant Garde" w:cs="Arial"/>
        </w:rPr>
      </w:pPr>
      <w:r w:rsidRPr="001C10FE">
        <w:rPr>
          <w:rFonts w:ascii="ITC Avant Garde" w:hAnsi="ITC Avant Garde" w:cs="Arial"/>
        </w:rPr>
        <w:lastRenderedPageBreak/>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727CE8A9" w14:textId="77777777" w:rsidR="00866C94" w:rsidRDefault="00A9330F" w:rsidP="00866C94">
      <w:pPr>
        <w:spacing w:before="240"/>
        <w:jc w:val="both"/>
        <w:rPr>
          <w:rFonts w:ascii="ITC Avant Garde" w:hAnsi="ITC Avant Garde" w:cs="Arial"/>
        </w:rPr>
      </w:pPr>
      <w:r w:rsidRPr="001C10FE">
        <w:rPr>
          <w:rFonts w:ascii="ITC Avant Garde" w:hAnsi="ITC Avant Garde" w:cs="Arial"/>
        </w:rPr>
        <w:t>Asimismo, las tarifas anteriores ya incluyen el costo correspondiente a los puertos necesarios para la interconexión.</w:t>
      </w:r>
    </w:p>
    <w:p w14:paraId="5CC7623A" w14:textId="77777777" w:rsidR="00866C94" w:rsidRDefault="009C5835" w:rsidP="00866C94">
      <w:pPr>
        <w:pStyle w:val="Prrafodelista"/>
        <w:numPr>
          <w:ilvl w:val="2"/>
          <w:numId w:val="56"/>
        </w:numPr>
        <w:spacing w:before="240" w:after="200"/>
        <w:ind w:left="284" w:hanging="284"/>
        <w:rPr>
          <w:rFonts w:ascii="ITC Avant Garde" w:hAnsi="ITC Avant Garde" w:cs="Arial"/>
          <w:b/>
          <w:shd w:val="clear" w:color="auto" w:fill="FFFFFF"/>
        </w:rPr>
      </w:pPr>
      <w:r w:rsidRPr="001C10FE">
        <w:rPr>
          <w:rFonts w:ascii="ITC Avant Garde" w:hAnsi="ITC Avant Garde" w:cs="Arial"/>
          <w:b/>
          <w:shd w:val="clear" w:color="auto" w:fill="FFFFFF"/>
        </w:rPr>
        <w:t xml:space="preserve"> </w:t>
      </w:r>
      <w:r w:rsidR="00637C51" w:rsidRPr="001C10FE">
        <w:rPr>
          <w:rFonts w:ascii="ITC Avant Garde" w:hAnsi="ITC Avant Garde" w:cs="Arial"/>
          <w:b/>
          <w:shd w:val="clear" w:color="auto" w:fill="FFFFFF"/>
        </w:rPr>
        <w:t>Interconexión IP</w:t>
      </w:r>
    </w:p>
    <w:p w14:paraId="4E61F072" w14:textId="77777777" w:rsidR="00866C94" w:rsidRDefault="00637C51" w:rsidP="00866C94">
      <w:pPr>
        <w:spacing w:before="240"/>
        <w:jc w:val="both"/>
        <w:rPr>
          <w:rFonts w:ascii="ITC Avant Garde" w:hAnsi="ITC Avant Garde" w:cs="Arial"/>
          <w:shd w:val="clear" w:color="auto" w:fill="FFFFFF"/>
        </w:rPr>
      </w:pPr>
      <w:r w:rsidRPr="001C10FE">
        <w:rPr>
          <w:rFonts w:ascii="ITC Avant Garde" w:hAnsi="ITC Avant Garde" w:cs="Arial"/>
          <w:b/>
          <w:shd w:val="clear" w:color="auto" w:fill="FFFFFF"/>
        </w:rPr>
        <w:t>Argumentos de las partes</w:t>
      </w:r>
    </w:p>
    <w:p w14:paraId="5012ABF3" w14:textId="77777777" w:rsidR="00866C94" w:rsidRDefault="004565E5" w:rsidP="00866C94">
      <w:pPr>
        <w:spacing w:before="240"/>
        <w:jc w:val="both"/>
        <w:rPr>
          <w:rFonts w:ascii="ITC Avant Garde" w:eastAsia="Times New Roman" w:hAnsi="ITC Avant Garde"/>
          <w:lang w:eastAsia="es-ES"/>
        </w:rPr>
      </w:pPr>
      <w:r w:rsidRPr="001C10FE">
        <w:rPr>
          <w:rFonts w:ascii="ITC Avant Garde" w:eastAsia="Times New Roman" w:hAnsi="ITC Avant Garde"/>
          <w:lang w:eastAsia="es-ES"/>
        </w:rPr>
        <w:t>Televisa</w:t>
      </w:r>
      <w:r w:rsidR="00637C51" w:rsidRPr="001C10FE">
        <w:rPr>
          <w:rFonts w:ascii="ITC Avant Garde" w:eastAsia="Times New Roman" w:hAnsi="ITC Avant Garde"/>
          <w:lang w:eastAsia="es-ES"/>
        </w:rPr>
        <w:t xml:space="preserve"> solicitó que en adición a los protocolos de interconexión a través de los cuales se cursa el tráfico con la </w:t>
      </w:r>
      <w:r w:rsidR="009C5835" w:rsidRPr="001C10FE">
        <w:rPr>
          <w:rFonts w:ascii="ITC Avant Garde" w:eastAsia="Times New Roman" w:hAnsi="ITC Avant Garde"/>
          <w:lang w:eastAsia="es-ES"/>
        </w:rPr>
        <w:t xml:space="preserve">red </w:t>
      </w:r>
      <w:r w:rsidR="00637C51" w:rsidRPr="001C10FE">
        <w:rPr>
          <w:rFonts w:ascii="ITC Avant Garde" w:eastAsia="Times New Roman" w:hAnsi="ITC Avant Garde"/>
          <w:lang w:eastAsia="es-ES"/>
        </w:rPr>
        <w:t xml:space="preserve">de </w:t>
      </w:r>
      <w:r w:rsidRPr="001C10FE">
        <w:rPr>
          <w:rFonts w:ascii="ITC Avant Garde" w:eastAsia="Times New Roman" w:hAnsi="ITC Avant Garde"/>
          <w:lang w:eastAsia="es-ES"/>
        </w:rPr>
        <w:t xml:space="preserve">GTM y </w:t>
      </w:r>
      <w:r w:rsidR="006F0557" w:rsidRPr="001C10FE">
        <w:rPr>
          <w:rFonts w:ascii="ITC Avant Garde" w:eastAsia="Times New Roman" w:hAnsi="ITC Avant Garde"/>
          <w:lang w:eastAsia="es-ES"/>
        </w:rPr>
        <w:t xml:space="preserve">de </w:t>
      </w:r>
      <w:r w:rsidRPr="001C10FE">
        <w:rPr>
          <w:rFonts w:ascii="ITC Avant Garde" w:eastAsia="Times New Roman" w:hAnsi="ITC Avant Garde"/>
          <w:lang w:eastAsia="es-ES"/>
        </w:rPr>
        <w:t>Pegaso</w:t>
      </w:r>
      <w:r w:rsidR="00637C51" w:rsidRPr="001C10FE">
        <w:rPr>
          <w:rFonts w:ascii="ITC Avant Garde" w:eastAsia="Times New Roman" w:hAnsi="ITC Avant Garde"/>
          <w:lang w:eastAsia="es-ES"/>
        </w:rPr>
        <w:t>, también se pueda realizar la interconexión a través de protocolos IP.</w:t>
      </w:r>
    </w:p>
    <w:p w14:paraId="0660F9CF" w14:textId="77777777" w:rsidR="00866C94" w:rsidRDefault="002C171F" w:rsidP="00866C94">
      <w:pPr>
        <w:spacing w:before="240"/>
        <w:jc w:val="both"/>
        <w:rPr>
          <w:rFonts w:ascii="ITC Avant Garde" w:hAnsi="ITC Avant Garde"/>
        </w:rPr>
      </w:pPr>
      <w:r w:rsidRPr="001C10FE">
        <w:rPr>
          <w:rFonts w:ascii="ITC Avant Garde" w:hAnsi="ITC Avant Garde" w:cs="Arial"/>
        </w:rPr>
        <w:t>Por su parte, en sus escritos de Respuesta, Pegaso y GTM manifestaron la improcedencia</w:t>
      </w:r>
      <w:r w:rsidR="003042B7" w:rsidRPr="001C10FE">
        <w:rPr>
          <w:rFonts w:ascii="ITC Avant Garde" w:hAnsi="ITC Avant Garde" w:cs="Arial"/>
        </w:rPr>
        <w:t xml:space="preserve"> de la solicitud de interconexión mediante protocolos IP, señalando qu</w:t>
      </w:r>
      <w:r w:rsidR="00DF7444" w:rsidRPr="001C10FE">
        <w:rPr>
          <w:rFonts w:ascii="ITC Avant Garde" w:hAnsi="ITC Avant Garde" w:cs="Arial"/>
        </w:rPr>
        <w:t xml:space="preserve">e </w:t>
      </w:r>
      <w:r w:rsidR="00DF7444" w:rsidRPr="001C10FE">
        <w:rPr>
          <w:rFonts w:ascii="ITC Avant Garde" w:hAnsi="ITC Avant Garde"/>
        </w:rPr>
        <w:t xml:space="preserve">resulta ilógico que el </w:t>
      </w:r>
      <w:r w:rsidR="005A6C99" w:rsidRPr="001C10FE">
        <w:rPr>
          <w:rFonts w:ascii="ITC Avant Garde" w:hAnsi="ITC Avant Garde"/>
        </w:rPr>
        <w:t xml:space="preserve">Instituto </w:t>
      </w:r>
      <w:r w:rsidR="00DF7444" w:rsidRPr="001C10FE">
        <w:rPr>
          <w:rFonts w:ascii="ITC Avant Garde" w:hAnsi="ITC Avant Garde"/>
        </w:rPr>
        <w:t>ordene una interconexión IP, ya que atendiendo al caso mexicano, el transporte de tráfico por los concesionarios es por tiempo, no por capacidad, por lo que no existen las condiciones físicas para poder cumplimentar la infundada solicitud, toda vez que el tarifico cursado mediante protocolos IP se lleva a cabo por capacidad.</w:t>
      </w:r>
    </w:p>
    <w:p w14:paraId="591A4E77" w14:textId="77777777" w:rsidR="00866C94" w:rsidRDefault="00637C51" w:rsidP="00866C94">
      <w:pPr>
        <w:spacing w:before="240"/>
        <w:jc w:val="both"/>
        <w:rPr>
          <w:rFonts w:ascii="ITC Avant Garde" w:eastAsia="Times New Roman" w:hAnsi="ITC Avant Garde"/>
          <w:b/>
          <w:szCs w:val="24"/>
          <w:lang w:eastAsia="es-ES"/>
        </w:rPr>
      </w:pPr>
      <w:r w:rsidRPr="001C10FE">
        <w:rPr>
          <w:rFonts w:ascii="ITC Avant Garde" w:eastAsia="Times New Roman" w:hAnsi="ITC Avant Garde"/>
          <w:b/>
          <w:szCs w:val="24"/>
          <w:lang w:eastAsia="es-ES"/>
        </w:rPr>
        <w:t>Consideraciones del Instituto</w:t>
      </w:r>
    </w:p>
    <w:p w14:paraId="191E362D" w14:textId="77777777" w:rsidR="00866C94" w:rsidRDefault="00637C51" w:rsidP="00866C94">
      <w:pPr>
        <w:spacing w:before="240"/>
        <w:jc w:val="both"/>
        <w:rPr>
          <w:rFonts w:ascii="ITC Avant Garde" w:hAnsi="ITC Avant Garde"/>
        </w:rPr>
      </w:pPr>
      <w:r w:rsidRPr="001C10FE">
        <w:rPr>
          <w:rFonts w:ascii="ITC Avant Garde" w:hAnsi="ITC Avant Garde"/>
        </w:rPr>
        <w:t xml:space="preserve">El artículo 127 de la </w:t>
      </w:r>
      <w:proofErr w:type="spellStart"/>
      <w:r w:rsidRPr="001C10FE">
        <w:rPr>
          <w:rFonts w:ascii="ITC Avant Garde" w:hAnsi="ITC Avant Garde"/>
        </w:rPr>
        <w:t>LFTyR</w:t>
      </w:r>
      <w:proofErr w:type="spellEnd"/>
      <w:r w:rsidRPr="001C10FE">
        <w:rPr>
          <w:rFonts w:ascii="ITC Avant Garde" w:hAnsi="ITC Avant Garde"/>
        </w:rPr>
        <w:t xml:space="preserve"> establece los servicios de interconexión, entre los cuales se encuentra, en su fracción IV, el servicio de señalización; ahora bien, el artículo 133 del mismo ordenamiento establece que la prestación de todos los servicios de interconexión señalados en el artículo 127 será obligatoria para el agente económico preponderante o con poder sustancial, y los señalados en las fracciones I a IV de dicho artículo serán obligatorios para el resto de los concesionarios.</w:t>
      </w:r>
    </w:p>
    <w:p w14:paraId="25C9959E" w14:textId="77777777" w:rsidR="00866C94" w:rsidRDefault="00637C51" w:rsidP="00866C94">
      <w:pPr>
        <w:spacing w:before="240"/>
        <w:jc w:val="both"/>
        <w:rPr>
          <w:rFonts w:ascii="ITC Avant Garde" w:hAnsi="ITC Avant Garde"/>
        </w:rPr>
      </w:pPr>
      <w:r w:rsidRPr="001C10FE">
        <w:rPr>
          <w:rFonts w:ascii="ITC Avant Garde" w:hAnsi="ITC Avant Garde"/>
        </w:rPr>
        <w:t xml:space="preserve">De lo anterior se colige que la prestación del servicio de señalización es obligatoria para todos los concesionarios de redes públicas de telecomunicaciones, por lo que el </w:t>
      </w:r>
      <w:r w:rsidR="00393F03" w:rsidRPr="001C10FE">
        <w:rPr>
          <w:rFonts w:ascii="ITC Avant Garde" w:hAnsi="ITC Avant Garde"/>
        </w:rPr>
        <w:t>Concesionario solicitado y el Concesionario solicitante</w:t>
      </w:r>
      <w:r w:rsidRPr="001C10FE">
        <w:rPr>
          <w:rFonts w:ascii="ITC Avant Garde" w:hAnsi="ITC Avant Garde"/>
        </w:rPr>
        <w:t xml:space="preserve"> se encuentran obligados a proveerse mutuamente dicho servicio.</w:t>
      </w:r>
    </w:p>
    <w:p w14:paraId="0A619838" w14:textId="77777777" w:rsidR="00866C94" w:rsidRDefault="00637C51" w:rsidP="00866C94">
      <w:pPr>
        <w:spacing w:before="240"/>
        <w:jc w:val="both"/>
        <w:rPr>
          <w:rFonts w:ascii="ITC Avant Garde" w:hAnsi="ITC Avant Garde"/>
          <w:lang w:val="es-ES"/>
        </w:rPr>
      </w:pPr>
      <w:r w:rsidRPr="001C10FE">
        <w:rPr>
          <w:rFonts w:ascii="ITC Avant Garde" w:hAnsi="ITC Avant Garde"/>
          <w:lang w:val="es-ES"/>
        </w:rPr>
        <w:t xml:space="preserve">En ese tenor, a fin de asegurar la eficiente interconexión e interoperabilidad entre redes públicas de telecomunicaciones y consolidar la transición tecnológica y de mercado hacia las redes de nueva generación, en donde a través de los servicios de interconexión todo usuario puede tener acceso a cualquier servicio y/o aplicación, resultó </w:t>
      </w:r>
      <w:r w:rsidRPr="001C10FE">
        <w:rPr>
          <w:rFonts w:ascii="ITC Avant Garde" w:hAnsi="ITC Avant Garde"/>
          <w:lang w:val="es-ES"/>
        </w:rPr>
        <w:lastRenderedPageBreak/>
        <w:t>indispensable establecer en las condiciones técnicas mínimas de interconexión, medidas que permitan a los operadores de servicios de telecomunicaciones, utilizar los protocolos de señalización adecuados para que sus sistemas de comunicación operen de manera eficiente y compatible, y que sean capaces de adaptarse a la evolución tecnológica del sector.</w:t>
      </w:r>
    </w:p>
    <w:p w14:paraId="2E88436E" w14:textId="77777777" w:rsidR="00866C94" w:rsidRDefault="00637C51" w:rsidP="00866C94">
      <w:pPr>
        <w:spacing w:before="240"/>
        <w:jc w:val="both"/>
        <w:rPr>
          <w:rFonts w:ascii="ITC Avant Garde" w:hAnsi="ITC Avant Garde"/>
          <w:lang w:val="es-ES"/>
        </w:rPr>
      </w:pPr>
      <w:r w:rsidRPr="001C10FE">
        <w:rPr>
          <w:rFonts w:ascii="ITC Avant Garde" w:hAnsi="ITC Avant Garde"/>
          <w:lang w:val="es-ES"/>
        </w:rPr>
        <w:t xml:space="preserve">Es así que, con el fin de permitir la comunicación de los usuarios entre distintas redes, los diferentes operadores de telecomunicaciones deben realizar el proceso de interconexión de sus redes a través de distintos protocolos, y atendiendo a las necesidades derivadas de la evolución tecnológica, se observa una migración de las tecnologías basadas en </w:t>
      </w:r>
      <w:proofErr w:type="spellStart"/>
      <w:r w:rsidRPr="001C10FE">
        <w:rPr>
          <w:rFonts w:ascii="ITC Avant Garde" w:hAnsi="ITC Avant Garde"/>
          <w:lang w:val="es-ES"/>
        </w:rPr>
        <w:t>multiplexación</w:t>
      </w:r>
      <w:proofErr w:type="spellEnd"/>
      <w:r w:rsidRPr="001C10FE">
        <w:rPr>
          <w:rFonts w:ascii="ITC Avant Garde" w:hAnsi="ITC Avant Garde"/>
          <w:lang w:val="es-ES"/>
        </w:rPr>
        <w:t xml:space="preserve"> por división de tiempo (en lo sucesivo, “TDM”) al uso de tecnologías basadas en protocolo internet (en lo sucesivo, “IP”) para la interconexión entre redes de telecomunicaciones.</w:t>
      </w:r>
    </w:p>
    <w:p w14:paraId="6B363090" w14:textId="77777777" w:rsidR="00866C94" w:rsidRDefault="00637C51" w:rsidP="00866C94">
      <w:pPr>
        <w:spacing w:before="240"/>
        <w:jc w:val="both"/>
        <w:rPr>
          <w:rFonts w:ascii="ITC Avant Garde" w:hAnsi="ITC Avant Garde"/>
          <w:lang w:val="es-ES"/>
        </w:rPr>
      </w:pPr>
      <w:r w:rsidRPr="001C10FE">
        <w:rPr>
          <w:rFonts w:ascii="ITC Avant Garde" w:hAnsi="ITC Avant Garde"/>
          <w:lang w:val="es-ES"/>
        </w:rPr>
        <w:t>Considerando lo anterior, el Instituto en el Acuerdo de CTM y Tarifas 2017 determinó lo siguiente:</w:t>
      </w:r>
    </w:p>
    <w:p w14:paraId="52358B26" w14:textId="3C8F9439" w:rsidR="00637C51" w:rsidRPr="001C10FE" w:rsidRDefault="00637C51" w:rsidP="00866C94">
      <w:pPr>
        <w:spacing w:before="240"/>
        <w:ind w:left="567" w:right="616"/>
        <w:jc w:val="both"/>
        <w:rPr>
          <w:rFonts w:ascii="ITC Avant Garde" w:eastAsia="Times New Roman" w:hAnsi="ITC Avant Garde" w:cs="Arial"/>
          <w:i/>
          <w:sz w:val="18"/>
          <w:szCs w:val="18"/>
          <w:lang w:val="es-ES" w:eastAsia="es-ES"/>
        </w:rPr>
      </w:pPr>
      <w:r w:rsidRPr="001C10FE">
        <w:rPr>
          <w:rFonts w:ascii="ITC Avant Garde" w:eastAsia="Times New Roman" w:hAnsi="ITC Avant Garde" w:cs="Arial"/>
          <w:b/>
          <w:i/>
          <w:sz w:val="18"/>
          <w:szCs w:val="18"/>
          <w:lang w:val="es-ES" w:eastAsia="es-ES"/>
        </w:rPr>
        <w:t>“SÉPTIMA.-</w:t>
      </w:r>
      <w:r w:rsidRPr="001C10FE">
        <w:rPr>
          <w:rFonts w:ascii="ITC Avant Garde" w:eastAsia="Times New Roman" w:hAnsi="ITC Avant Garde" w:cs="Arial"/>
          <w:i/>
          <w:sz w:val="18"/>
          <w:szCs w:val="18"/>
          <w:lang w:val="es-ES" w:eastAsia="es-ES"/>
        </w:rPr>
        <w:t xml:space="preserve"> La interconexión de redes públicas de telecomunicaciones se sujetará a la utilización de los siguientes protocolos de señalización.</w:t>
      </w:r>
    </w:p>
    <w:p w14:paraId="6B281403" w14:textId="77777777" w:rsidR="00637C51" w:rsidRPr="001C10FE" w:rsidRDefault="00637C51" w:rsidP="00866C94">
      <w:pPr>
        <w:spacing w:before="240"/>
        <w:ind w:left="567" w:right="616"/>
        <w:jc w:val="both"/>
        <w:rPr>
          <w:rFonts w:ascii="ITC Avant Garde" w:eastAsia="Times New Roman" w:hAnsi="ITC Avant Garde" w:cs="Arial"/>
          <w:b/>
          <w:i/>
          <w:sz w:val="18"/>
          <w:szCs w:val="18"/>
          <w:lang w:val="es-ES" w:eastAsia="es-ES"/>
        </w:rPr>
      </w:pPr>
      <w:r w:rsidRPr="001C10FE">
        <w:rPr>
          <w:rFonts w:ascii="ITC Avant Garde" w:eastAsia="Times New Roman" w:hAnsi="ITC Avant Garde" w:cs="Arial"/>
          <w:b/>
          <w:i/>
          <w:sz w:val="18"/>
          <w:szCs w:val="18"/>
          <w:lang w:val="es-ES" w:eastAsia="es-ES"/>
        </w:rPr>
        <w:t>Interconexión IP</w:t>
      </w:r>
    </w:p>
    <w:p w14:paraId="7B949472" w14:textId="77777777" w:rsidR="00637C51" w:rsidRPr="001C10FE" w:rsidRDefault="00637C51" w:rsidP="00866C94">
      <w:pPr>
        <w:spacing w:before="240"/>
        <w:ind w:left="567" w:right="616"/>
        <w:jc w:val="both"/>
        <w:rPr>
          <w:rFonts w:ascii="ITC Avant Garde" w:eastAsia="Times New Roman" w:hAnsi="ITC Avant Garde" w:cs="Arial"/>
          <w:i/>
          <w:sz w:val="18"/>
          <w:szCs w:val="18"/>
          <w:lang w:val="es-ES" w:eastAsia="es-ES"/>
        </w:rPr>
      </w:pPr>
      <w:r w:rsidRPr="001C10FE">
        <w:rPr>
          <w:rFonts w:ascii="ITC Avant Garde" w:eastAsia="Times New Roman" w:hAnsi="ITC Avant Garde" w:cs="Arial"/>
          <w:i/>
          <w:sz w:val="18"/>
          <w:szCs w:val="18"/>
          <w:lang w:val="es-ES" w:eastAsia="es-ES"/>
        </w:rPr>
        <w:t>El protocolo de señalización SIP-IP será obligatorio para la interconexión directa entre concesionarios, y de acuerdo a la Recomendación IETF RFC 3261 y recomendaciones complementarias.</w:t>
      </w:r>
    </w:p>
    <w:p w14:paraId="324C6A0F" w14:textId="77777777" w:rsidR="00866C94" w:rsidRDefault="00637C51" w:rsidP="00866C94">
      <w:pPr>
        <w:spacing w:before="240"/>
        <w:ind w:left="567" w:right="616"/>
        <w:jc w:val="both"/>
        <w:rPr>
          <w:rFonts w:ascii="ITC Avant Garde" w:eastAsia="Times New Roman" w:hAnsi="ITC Avant Garde" w:cs="Arial"/>
          <w:i/>
          <w:sz w:val="18"/>
          <w:szCs w:val="18"/>
          <w:lang w:val="es-ES" w:eastAsia="es-ES"/>
        </w:rPr>
      </w:pPr>
      <w:r w:rsidRPr="001C10FE">
        <w:rPr>
          <w:rFonts w:ascii="ITC Avant Garde" w:eastAsia="Times New Roman" w:hAnsi="ITC Avant Garde" w:cs="Arial"/>
          <w:i/>
          <w:sz w:val="18"/>
          <w:szCs w:val="18"/>
          <w:lang w:val="es-ES" w:eastAsia="es-ES"/>
        </w:rPr>
        <w:t>[…]”</w:t>
      </w:r>
    </w:p>
    <w:p w14:paraId="1CDC2B5F" w14:textId="35D7C925" w:rsidR="00866C94" w:rsidRDefault="00637C51" w:rsidP="00866C94">
      <w:pPr>
        <w:spacing w:before="240"/>
        <w:ind w:right="-94"/>
        <w:jc w:val="both"/>
        <w:rPr>
          <w:rFonts w:ascii="ITC Avant Garde" w:hAnsi="ITC Avant Garde" w:cs="Arial"/>
        </w:rPr>
      </w:pPr>
      <w:r w:rsidRPr="001C10FE">
        <w:rPr>
          <w:rFonts w:ascii="ITC Avant Garde" w:hAnsi="ITC Avant Garde" w:cs="Arial"/>
        </w:rPr>
        <w:t>Asimismo, las disposiciones Quinta y Sexta del citado Acuerdo señalan que los incrementos de capacidad de enlaces de transmisión entre redes y puestos de accesos, para interconexión IP o TDM, se realizará a través de interconexión IP.</w:t>
      </w:r>
    </w:p>
    <w:p w14:paraId="3E17E5D0" w14:textId="77777777" w:rsidR="00866C94" w:rsidRDefault="00637C51" w:rsidP="00866C94">
      <w:pPr>
        <w:spacing w:before="240"/>
        <w:ind w:right="-94"/>
        <w:jc w:val="both"/>
        <w:rPr>
          <w:rFonts w:ascii="ITC Avant Garde" w:hAnsi="ITC Avant Garde" w:cs="Arial"/>
        </w:rPr>
      </w:pPr>
      <w:r w:rsidRPr="001C10FE">
        <w:rPr>
          <w:rFonts w:ascii="ITC Avant Garde" w:eastAsia="Times New Roman" w:hAnsi="ITC Avant Garde" w:cs="Arial"/>
          <w:lang w:val="es-ES" w:eastAsia="es-ES"/>
        </w:rPr>
        <w:t>En virtud de lo anterior, se observa que a partir del 1 de enero de 2017 el protocolo de señalización SIP-IP será de carácter obligatorio para todos los concesionarios de redes públicas de telecomunicaciones para la interconexión d</w:t>
      </w:r>
      <w:r w:rsidR="00AA76E1" w:rsidRPr="001C10FE">
        <w:rPr>
          <w:rFonts w:ascii="ITC Avant Garde" w:eastAsia="Times New Roman" w:hAnsi="ITC Avant Garde" w:cs="Arial"/>
          <w:lang w:val="es-ES" w:eastAsia="es-ES"/>
        </w:rPr>
        <w:t xml:space="preserve">e sus redes, de conformidad con </w:t>
      </w:r>
      <w:r w:rsidRPr="001C10FE">
        <w:rPr>
          <w:rFonts w:ascii="ITC Avant Garde" w:eastAsia="Times New Roman" w:hAnsi="ITC Avant Garde" w:cs="Arial"/>
          <w:lang w:val="es-ES" w:eastAsia="es-ES"/>
        </w:rPr>
        <w:t xml:space="preserve">la </w:t>
      </w:r>
      <w:r w:rsidRPr="001C10FE">
        <w:rPr>
          <w:rFonts w:ascii="ITC Avant Garde" w:eastAsia="Times New Roman" w:hAnsi="ITC Avant Garde" w:cs="Arial"/>
          <w:i/>
          <w:lang w:val="es-ES" w:eastAsia="es-ES"/>
        </w:rPr>
        <w:t xml:space="preserve">Recomendación IETF RFC 3261 y recomendaciones </w:t>
      </w:r>
      <w:r w:rsidRPr="001C10FE">
        <w:rPr>
          <w:rFonts w:ascii="ITC Avant Garde" w:hAnsi="ITC Avant Garde" w:cs="Arial"/>
        </w:rPr>
        <w:t>complementarias.</w:t>
      </w:r>
    </w:p>
    <w:p w14:paraId="43E530FE" w14:textId="77777777" w:rsidR="00866C94" w:rsidRDefault="00393F03" w:rsidP="00866C94">
      <w:pPr>
        <w:spacing w:before="240"/>
        <w:ind w:right="48"/>
        <w:jc w:val="both"/>
        <w:rPr>
          <w:rFonts w:ascii="ITC Avant Garde" w:eastAsia="Times New Roman" w:hAnsi="ITC Avant Garde" w:cs="Arial"/>
          <w:lang w:val="es-ES" w:eastAsia="es-ES"/>
        </w:rPr>
      </w:pPr>
      <w:r w:rsidRPr="001C10FE">
        <w:rPr>
          <w:rFonts w:ascii="ITC Avant Garde" w:eastAsia="Times New Roman" w:hAnsi="ITC Avant Garde" w:cs="Arial"/>
          <w:lang w:val="es-ES" w:eastAsia="es-ES"/>
        </w:rPr>
        <w:t>Es así que, tratándose de nuevas interconexiones, esto es que el concesionario solicitado deba habilitar puertos en un punto de interconexión en donde previamente no cursaba tráfico con el concesionario solicitante; o de incrementos de capacidad, es decir que el concesionario solicitado deba habilitar puertos en un punto de interconexión en el que ya cursaba tráfico con el concesionario solicitante, será obligatorio para las partes llevar a cabo la interconexión mediante el protocolo de señalización SIP-IP.</w:t>
      </w:r>
    </w:p>
    <w:p w14:paraId="6049E9B6" w14:textId="77777777" w:rsidR="00866C94" w:rsidRDefault="006C2B06" w:rsidP="00866C94">
      <w:pPr>
        <w:spacing w:before="240"/>
        <w:ind w:right="48"/>
        <w:jc w:val="both"/>
        <w:rPr>
          <w:rFonts w:ascii="ITC Avant Garde" w:eastAsia="Times New Roman" w:hAnsi="ITC Avant Garde" w:cs="Arial"/>
          <w:lang w:val="es-ES" w:eastAsia="es-ES"/>
        </w:rPr>
      </w:pPr>
      <w:r w:rsidRPr="001C10FE">
        <w:rPr>
          <w:rFonts w:ascii="ITC Avant Garde" w:eastAsia="Times New Roman" w:hAnsi="ITC Avant Garde" w:cs="Arial"/>
          <w:lang w:val="es-ES" w:eastAsia="es-ES"/>
        </w:rPr>
        <w:lastRenderedPageBreak/>
        <w:t xml:space="preserve">Cabe señalar que, existe la posibilidad de que la interconexión mediante el protocolo SIP-IP se lleve a cabo por medio del servicio de tránsito prestado por el Agente Económico Preponderante (en lo sucesivo, el “AEP”), cuando cada uno de los concesionarios se interconecta de manera directa con el AEP mediante el protocolo de señalización SIP-IP, se deberá sujetar a lo establecido en el Acuerdo de CTM y Tarifas 2017 en el sentido de que la red de tránsito no realizará ningún proceso de </w:t>
      </w:r>
      <w:proofErr w:type="spellStart"/>
      <w:r w:rsidRPr="001C10FE">
        <w:rPr>
          <w:rFonts w:ascii="ITC Avant Garde" w:eastAsia="Times New Roman" w:hAnsi="ITC Avant Garde" w:cs="Arial"/>
          <w:lang w:val="es-ES" w:eastAsia="es-ES"/>
        </w:rPr>
        <w:t>transcodificación</w:t>
      </w:r>
      <w:proofErr w:type="spellEnd"/>
      <w:r w:rsidRPr="001C10FE">
        <w:rPr>
          <w:rFonts w:ascii="ITC Avant Garde" w:eastAsia="Times New Roman" w:hAnsi="ITC Avant Garde" w:cs="Arial"/>
          <w:lang w:val="es-ES" w:eastAsia="es-ES"/>
        </w:rPr>
        <w:t xml:space="preserve"> permitiendo fluir los paquetes de voz, tal como las redes extremas lo hayan negociado.</w:t>
      </w:r>
    </w:p>
    <w:p w14:paraId="73067329" w14:textId="77777777" w:rsidR="00866C94" w:rsidRDefault="00A9330F" w:rsidP="00866C94">
      <w:pPr>
        <w:spacing w:before="240"/>
        <w:jc w:val="both"/>
        <w:rPr>
          <w:rFonts w:ascii="ITC Avant Garde" w:hAnsi="ITC Avant Garde" w:cs="Arial"/>
        </w:rPr>
      </w:pPr>
      <w:r w:rsidRPr="001C10FE">
        <w:rPr>
          <w:rFonts w:ascii="ITC Avant Garde" w:hAnsi="ITC Avant Garde" w:cs="Arial"/>
        </w:rPr>
        <w:t xml:space="preserve">Por otra parte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Pr="001C10FE">
        <w:rPr>
          <w:rFonts w:ascii="ITC Avant Garde" w:hAnsi="ITC Avant Garde" w:cs="Arial"/>
        </w:rPr>
        <w:t>LFTyR</w:t>
      </w:r>
      <w:proofErr w:type="spellEnd"/>
      <w:r w:rsidRPr="001C10FE">
        <w:rPr>
          <w:rFonts w:ascii="ITC Avant Garde" w:hAnsi="ITC Avant Garde" w:cs="Arial"/>
        </w:rPr>
        <w:t>, la presente Resolución será inscrita en el Registro Público de Telecomunicaciones a cargo del propio Instituto.</w:t>
      </w:r>
    </w:p>
    <w:p w14:paraId="25A30DA0" w14:textId="77777777" w:rsidR="00866C94" w:rsidRDefault="00A70124" w:rsidP="00866C94">
      <w:pPr>
        <w:spacing w:before="240"/>
        <w:jc w:val="both"/>
        <w:rPr>
          <w:rFonts w:ascii="ITC Avant Garde" w:hAnsi="ITC Avant Garde" w:cs="Arial"/>
        </w:rPr>
      </w:pPr>
      <w:r w:rsidRPr="001C10FE">
        <w:rPr>
          <w:rFonts w:ascii="ITC Avant Garde" w:hAnsi="ITC Avant Garde" w:cs="Arial"/>
        </w:rPr>
        <w:t xml:space="preserve">Lo anterior, sin perjuicio de que </w:t>
      </w:r>
      <w:r w:rsidR="00AA76E1" w:rsidRPr="001C10FE">
        <w:rPr>
          <w:rFonts w:ascii="ITC Avant Garde" w:hAnsi="ITC Avant Garde" w:cs="Arial"/>
        </w:rPr>
        <w:t>Televisa</w:t>
      </w:r>
      <w:r w:rsidR="00566B41" w:rsidRPr="001C10FE">
        <w:rPr>
          <w:rFonts w:ascii="ITC Avant Garde" w:hAnsi="ITC Avant Garde" w:cs="Arial"/>
        </w:rPr>
        <w:t xml:space="preserve"> y </w:t>
      </w:r>
      <w:r w:rsidR="00A9330F" w:rsidRPr="001C10FE">
        <w:rPr>
          <w:rFonts w:ascii="ITC Avant Garde" w:hAnsi="ITC Avant Garde" w:cs="Arial"/>
        </w:rPr>
        <w:t xml:space="preserve">las empresas </w:t>
      </w:r>
      <w:r w:rsidR="000F48B3" w:rsidRPr="001C10FE">
        <w:rPr>
          <w:rFonts w:ascii="ITC Avant Garde" w:eastAsia="Times New Roman" w:hAnsi="ITC Avant Garde"/>
          <w:lang w:val="es-ES" w:eastAsia="es-ES"/>
        </w:rPr>
        <w:t xml:space="preserve">GTM y Pegaso </w:t>
      </w:r>
      <w:r w:rsidRPr="001C10FE">
        <w:rPr>
          <w:rFonts w:ascii="ITC Avant Garde" w:hAnsi="ITC Avant Garde" w:cs="Arial"/>
        </w:rPr>
        <w:t xml:space="preserve">formalicen los términos, condiciones y tarifas de interconexión que se ordenan a través de la presente Resolución y a tal efecto suscriban </w:t>
      </w:r>
      <w:r w:rsidR="00A4268F" w:rsidRPr="001C10FE">
        <w:rPr>
          <w:rFonts w:ascii="ITC Avant Garde" w:hAnsi="ITC Avant Garde" w:cs="Arial"/>
        </w:rPr>
        <w:t>los convenios correspondientes</w:t>
      </w:r>
      <w:r w:rsidRPr="001C10FE">
        <w:rPr>
          <w:rFonts w:ascii="ITC Avant Garde" w:hAnsi="ITC Avant Garde" w:cs="Arial"/>
        </w:rPr>
        <w:t>. En tal sentido, dichos concesionarios, conjunta o separadamente, deberán inscribir el convenio de interconexión en el Registro Público de Telecomunicaciones, de conformidad con lo dispuesto por los artículos 128 y 177</w:t>
      </w:r>
      <w:r w:rsidR="00A4268F" w:rsidRPr="001C10FE">
        <w:rPr>
          <w:rFonts w:ascii="ITC Avant Garde" w:hAnsi="ITC Avant Garde" w:cs="Arial"/>
        </w:rPr>
        <w:t>,</w:t>
      </w:r>
      <w:r w:rsidRPr="001C10FE">
        <w:rPr>
          <w:rFonts w:ascii="ITC Avant Garde" w:hAnsi="ITC Avant Garde" w:cs="Arial"/>
        </w:rPr>
        <w:t xml:space="preserve"> fracción VII de la </w:t>
      </w:r>
      <w:proofErr w:type="spellStart"/>
      <w:r w:rsidRPr="001C10FE">
        <w:rPr>
          <w:rFonts w:ascii="ITC Avant Garde" w:hAnsi="ITC Avant Garde" w:cs="Arial"/>
        </w:rPr>
        <w:t>LFTyR</w:t>
      </w:r>
      <w:proofErr w:type="spellEnd"/>
      <w:r w:rsidRPr="001C10FE">
        <w:rPr>
          <w:rFonts w:ascii="ITC Avant Garde" w:hAnsi="ITC Avant Garde" w:cs="Arial"/>
        </w:rPr>
        <w:t>.</w:t>
      </w:r>
    </w:p>
    <w:p w14:paraId="2AA26208" w14:textId="77777777" w:rsidR="00866C94" w:rsidRDefault="00B15D4E" w:rsidP="00866C94">
      <w:pPr>
        <w:spacing w:before="240"/>
        <w:jc w:val="both"/>
        <w:rPr>
          <w:rFonts w:ascii="ITC Avant Garde" w:hAnsi="ITC Avant Garde" w:cs="Arial"/>
        </w:rPr>
      </w:pPr>
      <w:r w:rsidRPr="001C10FE">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w:t>
      </w:r>
      <w:r w:rsidR="00CF6E47" w:rsidRPr="001C10FE">
        <w:rPr>
          <w:rFonts w:ascii="ITC Avant Garde" w:hAnsi="ITC Avant Garde" w:cs="Arial"/>
        </w:rPr>
        <w:t xml:space="preserve"> 131, inciso b,</w:t>
      </w:r>
      <w:r w:rsidRPr="001C10FE">
        <w:rPr>
          <w:rFonts w:ascii="ITC Avant Garde" w:hAnsi="ITC Avant Garde" w:cs="Arial"/>
        </w:rPr>
        <w:t xml:space="preserve"> 176, 177 fracción VII,</w:t>
      </w:r>
      <w:r w:rsidR="00CF6E47" w:rsidRPr="001C10FE">
        <w:rPr>
          <w:rFonts w:ascii="ITC Avant Garde" w:hAnsi="ITC Avant Garde" w:cs="Arial"/>
        </w:rPr>
        <w:t xml:space="preserve"> 178,</w:t>
      </w:r>
      <w:r w:rsidRPr="001C10FE">
        <w:rPr>
          <w:rFonts w:ascii="ITC Avant Garde" w:hAnsi="ITC Avant Garde" w:cs="Arial"/>
        </w:rPr>
        <w:t xml:space="preserve"> 312 y 313 de la Ley Federal de Telecomunicaciones y Radiodifusión; 32,</w:t>
      </w:r>
      <w:r w:rsidR="00BB682C" w:rsidRPr="001C10FE">
        <w:rPr>
          <w:rFonts w:ascii="ITC Avant Garde" w:hAnsi="ITC Avant Garde" w:cs="Arial"/>
        </w:rPr>
        <w:t xml:space="preserve"> 35, fracción I, 36, 38, 39</w:t>
      </w:r>
      <w:r w:rsidR="00633E3E" w:rsidRPr="001C10FE">
        <w:rPr>
          <w:rFonts w:ascii="ITC Avant Garde" w:hAnsi="ITC Avant Garde" w:cs="Arial"/>
        </w:rPr>
        <w:t>, 45</w:t>
      </w:r>
      <w:r w:rsidR="00BB682C" w:rsidRPr="001C10FE">
        <w:rPr>
          <w:rFonts w:ascii="ITC Avant Garde" w:hAnsi="ITC Avant Garde" w:cs="Arial"/>
        </w:rPr>
        <w:t xml:space="preserve"> </w:t>
      </w:r>
      <w:r w:rsidRPr="001C10FE">
        <w:rPr>
          <w:rFonts w:ascii="ITC Avant Garde" w:hAnsi="ITC Avant Garde" w:cs="Arial"/>
        </w:rPr>
        <w:t>y 57 fracción I de la Ley Federal de Procedimiento A</w:t>
      </w:r>
      <w:r w:rsidR="00BB682C" w:rsidRPr="001C10FE">
        <w:rPr>
          <w:rFonts w:ascii="ITC Avant Garde" w:hAnsi="ITC Avant Garde" w:cs="Arial"/>
        </w:rPr>
        <w:t>dministrativo; 72, 73, 197, 203</w:t>
      </w:r>
      <w:r w:rsidR="006F0557" w:rsidRPr="001C10FE">
        <w:rPr>
          <w:rFonts w:ascii="ITC Avant Garde" w:hAnsi="ITC Avant Garde" w:cs="Arial"/>
        </w:rPr>
        <w:t>, 210-A</w:t>
      </w:r>
      <w:r w:rsidR="00BB682C" w:rsidRPr="001C10FE">
        <w:rPr>
          <w:rFonts w:ascii="ITC Avant Garde" w:hAnsi="ITC Avant Garde" w:cs="Arial"/>
        </w:rPr>
        <w:t xml:space="preserve"> </w:t>
      </w:r>
      <w:r w:rsidRPr="001C10FE">
        <w:rPr>
          <w:rFonts w:ascii="ITC Avant Garde" w:hAnsi="ITC Avant Garde" w:cs="Arial"/>
        </w:rPr>
        <w:t>y 218 del Código Federal de Procedimientos Civiles; y 4 fracción I y 6, fracción XXXVII</w:t>
      </w:r>
      <w:r w:rsidR="00393F03" w:rsidRPr="001C10FE">
        <w:rPr>
          <w:rFonts w:ascii="ITC Avant Garde" w:hAnsi="ITC Avant Garde" w:cs="Arial"/>
        </w:rPr>
        <w:t>I</w:t>
      </w:r>
      <w:r w:rsidRPr="001C10FE">
        <w:rPr>
          <w:rFonts w:ascii="ITC Avant Garde" w:hAnsi="ITC Avant Garde" w:cs="Arial"/>
        </w:rPr>
        <w:t xml:space="preserve"> del Estatuto Orgánico del Instituto Federal de Telecomunicaciones, el Pleno del Instituto Federal de Telecomunicaciones emite los siguientes:</w:t>
      </w:r>
    </w:p>
    <w:p w14:paraId="7D1BB39E" w14:textId="77777777" w:rsidR="00866C94" w:rsidRPr="00866C94" w:rsidRDefault="00AC04A2" w:rsidP="00866C94">
      <w:pPr>
        <w:pStyle w:val="Ttulo2"/>
        <w:keepLines/>
        <w:spacing w:before="40" w:after="240" w:line="276" w:lineRule="auto"/>
        <w:jc w:val="center"/>
        <w:rPr>
          <w:rFonts w:ascii="ITC Avant Garde" w:eastAsiaTheme="majorEastAsia" w:hAnsi="ITC Avant Garde" w:cstheme="majorBidi"/>
          <w:color w:val="000000" w:themeColor="text1"/>
          <w:szCs w:val="22"/>
        </w:rPr>
      </w:pPr>
      <w:r w:rsidRPr="00866C94">
        <w:rPr>
          <w:rFonts w:ascii="ITC Avant Garde" w:eastAsiaTheme="majorEastAsia" w:hAnsi="ITC Avant Garde" w:cstheme="majorBidi"/>
          <w:color w:val="000000" w:themeColor="text1"/>
          <w:szCs w:val="22"/>
        </w:rPr>
        <w:t>RESOLUTIVOS</w:t>
      </w:r>
    </w:p>
    <w:p w14:paraId="16832D6D" w14:textId="32979AD5" w:rsidR="00866C94" w:rsidRDefault="00393F03" w:rsidP="00866C94">
      <w:pPr>
        <w:spacing w:before="240"/>
        <w:jc w:val="both"/>
        <w:rPr>
          <w:rFonts w:ascii="ITC Avant Garde" w:hAnsi="ITC Avant Garde"/>
          <w:bCs/>
          <w:lang w:val="es-ES" w:eastAsia="es-ES"/>
        </w:rPr>
      </w:pPr>
      <w:r w:rsidRPr="001C10FE">
        <w:rPr>
          <w:rFonts w:ascii="ITC Avant Garde" w:hAnsi="ITC Avant Garde" w:cs="Arial"/>
          <w:b/>
        </w:rPr>
        <w:t xml:space="preserve">PRIMERO.- </w:t>
      </w:r>
      <w:r w:rsidRPr="001C10FE">
        <w:rPr>
          <w:rFonts w:ascii="ITC Avant Garde" w:hAnsi="ITC Avant Garde" w:cs="Arial"/>
        </w:rPr>
        <w:t xml:space="preserve">La tarifa de interconexión que </w:t>
      </w:r>
      <w:r w:rsidR="007E3AAD" w:rsidRPr="001C10FE">
        <w:rPr>
          <w:rFonts w:ascii="ITC Avant Garde" w:hAnsi="ITC Avant Garde" w:cs="Arial"/>
        </w:rPr>
        <w:t xml:space="preserve">Cablevisión Red, S.A. de C.V., Cablevisión, S.A. de C.V., </w:t>
      </w:r>
      <w:proofErr w:type="spellStart"/>
      <w:r w:rsidR="007E3AAD" w:rsidRPr="001C10FE">
        <w:rPr>
          <w:rFonts w:ascii="ITC Avant Garde" w:hAnsi="ITC Avant Garde" w:cs="Arial"/>
        </w:rPr>
        <w:t>Operbes</w:t>
      </w:r>
      <w:proofErr w:type="spellEnd"/>
      <w:r w:rsidR="007E3AAD" w:rsidRPr="001C10FE">
        <w:rPr>
          <w:rFonts w:ascii="ITC Avant Garde" w:hAnsi="ITC Avant Garde" w:cs="Arial"/>
        </w:rPr>
        <w:t xml:space="preserve">, S.A. de C.V., Bestphone, S.A. de C.V., Cable y Comunicación de Campeche, S.A. de C.V., Cablemás Telecomunicaciones, S.A. de C.V., Tele Azteca, S.A. de C.V., TV Cable de Oriente, S.A. de C.V. y México Red de Telecomunicaciones, S. de R.L. de C.V., </w:t>
      </w:r>
      <w:r w:rsidRPr="001C10FE">
        <w:rPr>
          <w:rFonts w:ascii="ITC Avant Garde" w:hAnsi="ITC Avant Garde"/>
          <w:lang w:val="es-ES" w:eastAsia="es-ES"/>
        </w:rPr>
        <w:t xml:space="preserve">deberán pagar a </w:t>
      </w:r>
      <w:r w:rsidRPr="001C10FE">
        <w:rPr>
          <w:rFonts w:ascii="ITC Avant Garde" w:hAnsi="ITC Avant Garde"/>
          <w:bCs/>
          <w:lang w:val="es-ES" w:eastAsia="es-ES"/>
        </w:rPr>
        <w:t xml:space="preserve">Pegaso PCS, S.A. de C.V. por servicios de terminación del </w:t>
      </w:r>
      <w:r w:rsidRPr="001C10FE">
        <w:rPr>
          <w:rFonts w:ascii="ITC Avant Garde" w:hAnsi="ITC Avant Garde"/>
          <w:bCs/>
          <w:lang w:val="es-ES" w:eastAsia="es-ES"/>
        </w:rPr>
        <w:lastRenderedPageBreak/>
        <w:t>Servicio Local en usuarios móviles bajo la modalidad “El que llama paga”, será la siguiente:</w:t>
      </w:r>
    </w:p>
    <w:p w14:paraId="5E066F1B" w14:textId="77777777" w:rsidR="00866C94" w:rsidRDefault="00393F03" w:rsidP="00866C94">
      <w:pPr>
        <w:numPr>
          <w:ilvl w:val="0"/>
          <w:numId w:val="37"/>
        </w:numPr>
        <w:spacing w:before="240"/>
        <w:jc w:val="both"/>
        <w:rPr>
          <w:rFonts w:ascii="ITC Avant Garde" w:eastAsia="Times New Roman" w:hAnsi="ITC Avant Garde" w:cs="Arial"/>
          <w:b/>
          <w:szCs w:val="24"/>
          <w:lang w:eastAsia="es-ES"/>
        </w:rPr>
      </w:pPr>
      <w:r w:rsidRPr="001C10FE">
        <w:rPr>
          <w:rFonts w:ascii="ITC Avant Garde" w:eastAsia="Times New Roman" w:hAnsi="ITC Avant Garde" w:cs="Arial"/>
          <w:b/>
          <w:szCs w:val="24"/>
          <w:lang w:eastAsia="es-ES"/>
        </w:rPr>
        <w:t>Del 1 de enero al 31 de diciembre de 2017, $0.1906 pesos M.N. por minuto de interconexión.</w:t>
      </w:r>
    </w:p>
    <w:p w14:paraId="246FE53E" w14:textId="77777777" w:rsidR="00866C94" w:rsidRDefault="00393F03" w:rsidP="00866C94">
      <w:pPr>
        <w:spacing w:before="240"/>
        <w:jc w:val="both"/>
        <w:rPr>
          <w:rFonts w:ascii="ITC Avant Garde" w:eastAsia="Times New Roman" w:hAnsi="ITC Avant Garde"/>
          <w:lang w:eastAsia="es-ES"/>
        </w:rPr>
      </w:pPr>
      <w:r w:rsidRPr="001C10FE">
        <w:rPr>
          <w:rFonts w:ascii="ITC Avant Garde" w:eastAsia="Times New Roman" w:hAnsi="ITC Avant Garde"/>
          <w:lang w:eastAsia="es-ES"/>
        </w:rPr>
        <w:t>La tarifa anterior ya incluye el costo correspondiente a los puertos necesarios para la interconexión.</w:t>
      </w:r>
    </w:p>
    <w:p w14:paraId="62801710" w14:textId="2AC6B73A" w:rsidR="00866C94" w:rsidRDefault="00AA7553" w:rsidP="00866C94">
      <w:pPr>
        <w:spacing w:before="240"/>
        <w:jc w:val="both"/>
        <w:rPr>
          <w:rFonts w:ascii="ITC Avant Garde" w:eastAsia="Times New Roman" w:hAnsi="ITC Avant Garde"/>
          <w:b/>
          <w:bCs/>
          <w:lang w:eastAsia="es-ES"/>
        </w:rPr>
      </w:pPr>
      <w:r w:rsidRPr="001C10FE">
        <w:rPr>
          <w:rFonts w:ascii="ITC Avant Garde" w:hAnsi="ITC Avant Garde" w:cs="Arial"/>
          <w:b/>
        </w:rPr>
        <w:t>SEGUNDO</w:t>
      </w:r>
      <w:r w:rsidR="00AA76E1" w:rsidRPr="001C10FE">
        <w:rPr>
          <w:rFonts w:ascii="ITC Avant Garde" w:hAnsi="ITC Avant Garde" w:cs="Arial"/>
          <w:b/>
        </w:rPr>
        <w:t xml:space="preserve">.- </w:t>
      </w:r>
      <w:r w:rsidR="00AA76E1" w:rsidRPr="001C10FE">
        <w:rPr>
          <w:rFonts w:ascii="ITC Avant Garde" w:hAnsi="ITC Avant Garde" w:cs="Arial"/>
        </w:rPr>
        <w:t xml:space="preserve">La tarifa de interconexión que </w:t>
      </w:r>
      <w:r w:rsidR="00B55309" w:rsidRPr="001C10FE">
        <w:rPr>
          <w:rFonts w:ascii="ITC Avant Garde" w:hAnsi="ITC Avant Garde" w:cs="Arial"/>
        </w:rPr>
        <w:t xml:space="preserve">Grupo de Telecomunicaciones Mexicanas, S.A. de C.V. y las empresas </w:t>
      </w:r>
      <w:r w:rsidR="007E3AAD" w:rsidRPr="001C10FE">
        <w:rPr>
          <w:rFonts w:ascii="ITC Avant Garde" w:hAnsi="ITC Avant Garde" w:cs="Arial"/>
        </w:rPr>
        <w:t xml:space="preserve">Cablevisión Red, S.A. de C.V., Cablevisión, S.A. de C.V., </w:t>
      </w:r>
      <w:proofErr w:type="spellStart"/>
      <w:r w:rsidR="007E3AAD" w:rsidRPr="001C10FE">
        <w:rPr>
          <w:rFonts w:ascii="ITC Avant Garde" w:hAnsi="ITC Avant Garde" w:cs="Arial"/>
        </w:rPr>
        <w:t>Operbes</w:t>
      </w:r>
      <w:proofErr w:type="spellEnd"/>
      <w:r w:rsidR="007E3AAD" w:rsidRPr="001C10FE">
        <w:rPr>
          <w:rFonts w:ascii="ITC Avant Garde" w:hAnsi="ITC Avant Garde" w:cs="Arial"/>
        </w:rPr>
        <w:t>, S.A. de C.V., Bestphone, S.A. de C.V., Cable y Comunicación de Campeche, S.A. de C.V., Cablemás Telecomunicaciones, S.A. de C.V., Tele Azteca, S.A. de C.V., TV Cable de Oriente, S.A. de C.V.</w:t>
      </w:r>
      <w:r w:rsidR="00B55309" w:rsidRPr="001C10FE">
        <w:rPr>
          <w:rFonts w:ascii="ITC Avant Garde" w:hAnsi="ITC Avant Garde" w:cs="Arial"/>
        </w:rPr>
        <w:t xml:space="preserve"> y </w:t>
      </w:r>
      <w:r w:rsidR="007E3AAD" w:rsidRPr="001C10FE">
        <w:rPr>
          <w:rFonts w:ascii="ITC Avant Garde" w:hAnsi="ITC Avant Garde" w:cs="Arial"/>
        </w:rPr>
        <w:t>México Red de Telecomunicaciones, S. de R.L. de C.V.</w:t>
      </w:r>
      <w:r w:rsidR="00AA76E1" w:rsidRPr="001C10FE">
        <w:rPr>
          <w:rFonts w:ascii="ITC Avant Garde" w:hAnsi="ITC Avant Garde" w:cs="Helvetica"/>
          <w:lang w:eastAsia="es-MX"/>
        </w:rPr>
        <w:t>,</w:t>
      </w:r>
      <w:r w:rsidR="00AA76E1" w:rsidRPr="001C10FE">
        <w:rPr>
          <w:rFonts w:ascii="ITC Avant Garde" w:hAnsi="ITC Avant Garde" w:cs="Arial"/>
        </w:rPr>
        <w:t xml:space="preserve"> deberán pagarse de forma recíproca</w:t>
      </w:r>
      <w:r w:rsidRPr="001C10FE">
        <w:rPr>
          <w:rFonts w:ascii="ITC Avant Garde" w:hAnsi="ITC Avant Garde" w:cs="Arial"/>
        </w:rPr>
        <w:t xml:space="preserve">, así como la que Pegaso PCS, S.A. de C.V. deberá pagar a </w:t>
      </w:r>
      <w:r w:rsidR="007E3AAD" w:rsidRPr="001C10FE">
        <w:rPr>
          <w:rFonts w:ascii="ITC Avant Garde" w:hAnsi="ITC Avant Garde" w:cs="Arial"/>
        </w:rPr>
        <w:t xml:space="preserve">Cablevisión Red, S.A. de C.V., Cablevisión, S.A. de C.V., </w:t>
      </w:r>
      <w:proofErr w:type="spellStart"/>
      <w:r w:rsidR="007E3AAD" w:rsidRPr="001C10FE">
        <w:rPr>
          <w:rFonts w:ascii="ITC Avant Garde" w:hAnsi="ITC Avant Garde" w:cs="Arial"/>
        </w:rPr>
        <w:t>Operbes</w:t>
      </w:r>
      <w:proofErr w:type="spellEnd"/>
      <w:r w:rsidR="007E3AAD" w:rsidRPr="001C10FE">
        <w:rPr>
          <w:rFonts w:ascii="ITC Avant Garde" w:hAnsi="ITC Avant Garde" w:cs="Arial"/>
        </w:rPr>
        <w:t xml:space="preserve">, S.A. de C.V., Bestphone, S.A. de C.V., Cable y Comunicación de Campeche, S.A. de C.V., Cablemás Telecomunicaciones, S.A. de C.V., Tele Azteca, S.A. de C.V., TV Cable de Oriente, S.A. de C.V. y México Red de Telecomunicaciones, S. de R.L. de C.V., </w:t>
      </w:r>
      <w:r w:rsidR="00AA76E1" w:rsidRPr="001C10FE">
        <w:rPr>
          <w:rFonts w:ascii="ITC Avant Garde" w:hAnsi="ITC Avant Garde" w:cs="Helvetica"/>
          <w:lang w:eastAsia="es-MX"/>
        </w:rPr>
        <w:t>por los s</w:t>
      </w:r>
      <w:r w:rsidR="00AA76E1" w:rsidRPr="001C10FE">
        <w:rPr>
          <w:rFonts w:ascii="ITC Avant Garde" w:hAnsi="ITC Avant Garde" w:cs="Arial"/>
        </w:rPr>
        <w:t>ervicios de terminación del Servicio Local en usuarios fijos, será la siguiente:</w:t>
      </w:r>
    </w:p>
    <w:p w14:paraId="45403733" w14:textId="77777777" w:rsidR="00866C94" w:rsidRDefault="00AA76E1" w:rsidP="00866C94">
      <w:pPr>
        <w:numPr>
          <w:ilvl w:val="0"/>
          <w:numId w:val="37"/>
        </w:numPr>
        <w:spacing w:before="240"/>
        <w:jc w:val="both"/>
        <w:rPr>
          <w:rFonts w:ascii="ITC Avant Garde" w:eastAsia="Times New Roman" w:hAnsi="ITC Avant Garde" w:cs="Arial"/>
          <w:b/>
          <w:szCs w:val="24"/>
          <w:lang w:eastAsia="es-ES"/>
        </w:rPr>
      </w:pPr>
      <w:r w:rsidRPr="001C10FE">
        <w:rPr>
          <w:rFonts w:ascii="ITC Avant Garde" w:eastAsia="Times New Roman" w:hAnsi="ITC Avant Garde" w:cs="Arial"/>
          <w:b/>
          <w:szCs w:val="24"/>
          <w:lang w:eastAsia="es-ES"/>
        </w:rPr>
        <w:t>Del 1 de enero al 31 de diciembre de 2017, $0.003094 pesos M.N. por minuto de interconexión.</w:t>
      </w:r>
    </w:p>
    <w:p w14:paraId="4C10DD7C" w14:textId="77777777" w:rsidR="00866C94" w:rsidRDefault="00AA76E1" w:rsidP="00866C94">
      <w:pPr>
        <w:pStyle w:val="Prrafodelista"/>
        <w:spacing w:before="240" w:after="200" w:line="276" w:lineRule="auto"/>
        <w:ind w:left="0"/>
        <w:rPr>
          <w:rFonts w:ascii="ITC Avant Garde" w:hAnsi="ITC Avant Garde" w:cs="Arial"/>
        </w:rPr>
      </w:pPr>
      <w:r w:rsidRPr="001C10FE">
        <w:rPr>
          <w:rFonts w:ascii="ITC Avant Garde" w:hAnsi="ITC Avant Garde" w:cs="Arial"/>
        </w:rPr>
        <w:t>La tarifa anterior ya incluye el costo correspondiente a los puertos necesarios para la interconexión.</w:t>
      </w:r>
    </w:p>
    <w:p w14:paraId="31DDF3E9" w14:textId="77777777" w:rsidR="00866C94" w:rsidRDefault="00AA7553" w:rsidP="00866C94">
      <w:pPr>
        <w:spacing w:before="240"/>
        <w:jc w:val="both"/>
        <w:rPr>
          <w:rFonts w:ascii="ITC Avant Garde" w:hAnsi="ITC Avant Garde"/>
          <w:lang w:val="es-ES" w:eastAsia="es-MX"/>
        </w:rPr>
      </w:pPr>
      <w:r w:rsidRPr="001C10FE">
        <w:rPr>
          <w:rFonts w:ascii="ITC Avant Garde" w:hAnsi="ITC Avant Garde" w:cs="Arial"/>
          <w:b/>
        </w:rPr>
        <w:t>TERCERO</w:t>
      </w:r>
      <w:r w:rsidR="00AA76E1" w:rsidRPr="001C10FE">
        <w:rPr>
          <w:rFonts w:ascii="ITC Avant Garde" w:hAnsi="ITC Avant Garde" w:cs="Arial"/>
          <w:b/>
        </w:rPr>
        <w:t xml:space="preserve">.- </w:t>
      </w:r>
      <w:r w:rsidR="00140646" w:rsidRPr="001C10FE">
        <w:rPr>
          <w:rFonts w:ascii="ITC Avant Garde" w:hAnsi="ITC Avant Garde"/>
        </w:rPr>
        <w:t>Las contraprestaciones a las que se refieren los resolutivos PRIMERO y SEGUNDO se calcularán sumando la duración de todas las llamadas completadas en el período de facturación correspondiente, medidas en segundos, y multiplicando los minutos equivalentes a dicha suma, por la tarifa correspondiente.</w:t>
      </w:r>
    </w:p>
    <w:p w14:paraId="435B75BA" w14:textId="3E0DC8D2" w:rsidR="00866C94" w:rsidRDefault="00C90153" w:rsidP="00866C94">
      <w:pPr>
        <w:spacing w:before="240"/>
        <w:jc w:val="both"/>
        <w:rPr>
          <w:rFonts w:ascii="ITC Avant Garde" w:hAnsi="ITC Avant Garde" w:cs="Arial"/>
        </w:rPr>
      </w:pPr>
      <w:r w:rsidRPr="001C10FE">
        <w:rPr>
          <w:rFonts w:ascii="ITC Avant Garde" w:hAnsi="ITC Avant Garde" w:cs="Arial"/>
          <w:b/>
        </w:rPr>
        <w:t>CUARTO</w:t>
      </w:r>
      <w:r w:rsidR="00540350" w:rsidRPr="001C10FE">
        <w:rPr>
          <w:rFonts w:ascii="ITC Avant Garde" w:hAnsi="ITC Avant Garde" w:cs="Arial"/>
          <w:b/>
        </w:rPr>
        <w:t>.-</w:t>
      </w:r>
      <w:r w:rsidR="00540350" w:rsidRPr="001C10FE">
        <w:rPr>
          <w:rFonts w:ascii="ITC Avant Garde" w:hAnsi="ITC Avant Garde"/>
        </w:rPr>
        <w:t xml:space="preserve"> </w:t>
      </w:r>
      <w:r w:rsidR="00280F43" w:rsidRPr="001C10FE">
        <w:rPr>
          <w:rFonts w:ascii="ITC Avant Garde" w:hAnsi="ITC Avant Garde"/>
        </w:rPr>
        <w:t xml:space="preserve"> </w:t>
      </w:r>
      <w:r w:rsidR="00280F43" w:rsidRPr="001C10FE">
        <w:rPr>
          <w:rFonts w:ascii="ITC Avant Garde" w:hAnsi="ITC Avant Garde" w:cs="Arial"/>
        </w:rPr>
        <w:t xml:space="preserve">A partir del 1 de enero de 2017, </w:t>
      </w:r>
      <w:r w:rsidR="00540350" w:rsidRPr="001C10FE">
        <w:rPr>
          <w:rFonts w:ascii="ITC Avant Garde" w:hAnsi="ITC Avant Garde" w:cs="Helvetica"/>
          <w:lang w:eastAsia="es-MX"/>
        </w:rPr>
        <w:t>Grupo de Telecomunicaciones Mexicanas, S.A. de C.V</w:t>
      </w:r>
      <w:r w:rsidRPr="001C10FE">
        <w:rPr>
          <w:rFonts w:ascii="ITC Avant Garde" w:hAnsi="ITC Avant Garde" w:cs="Helvetica"/>
          <w:lang w:eastAsia="es-MX"/>
        </w:rPr>
        <w:t xml:space="preserve">. y </w:t>
      </w:r>
      <w:r w:rsidRPr="001C10FE">
        <w:rPr>
          <w:rFonts w:ascii="ITC Avant Garde" w:hAnsi="ITC Avant Garde" w:cs="Arial"/>
        </w:rPr>
        <w:t>Pegaso PCS, S.A. de C.V.,</w:t>
      </w:r>
      <w:r w:rsidR="00540350" w:rsidRPr="001C10FE">
        <w:rPr>
          <w:rFonts w:ascii="ITC Avant Garde" w:hAnsi="ITC Avant Garde"/>
        </w:rPr>
        <w:t xml:space="preserve"> deberán </w:t>
      </w:r>
      <w:r w:rsidR="00280F43" w:rsidRPr="001C10FE">
        <w:rPr>
          <w:rFonts w:ascii="ITC Avant Garde" w:hAnsi="ITC Avant Garde"/>
        </w:rPr>
        <w:t>interconectar sus redes con l</w:t>
      </w:r>
      <w:r w:rsidRPr="001C10FE">
        <w:rPr>
          <w:rFonts w:ascii="ITC Avant Garde" w:hAnsi="ITC Avant Garde"/>
        </w:rPr>
        <w:t>a</w:t>
      </w:r>
      <w:r w:rsidR="00280F43" w:rsidRPr="001C10FE">
        <w:rPr>
          <w:rFonts w:ascii="ITC Avant Garde" w:hAnsi="ITC Avant Garde"/>
        </w:rPr>
        <w:t>s redes de</w:t>
      </w:r>
      <w:r w:rsidR="00540350" w:rsidRPr="001C10FE">
        <w:rPr>
          <w:rFonts w:ascii="ITC Avant Garde" w:hAnsi="ITC Avant Garde"/>
        </w:rPr>
        <w:t xml:space="preserve"> </w:t>
      </w:r>
      <w:r w:rsidR="00584C43" w:rsidRPr="001C10FE">
        <w:rPr>
          <w:rFonts w:ascii="ITC Avant Garde" w:hAnsi="ITC Avant Garde" w:cs="Arial"/>
        </w:rPr>
        <w:t xml:space="preserve">Cablevisión Red, S.A. de C.V., Cablevisión, S.A. de C.V., </w:t>
      </w:r>
      <w:proofErr w:type="spellStart"/>
      <w:r w:rsidR="00584C43" w:rsidRPr="001C10FE">
        <w:rPr>
          <w:rFonts w:ascii="ITC Avant Garde" w:hAnsi="ITC Avant Garde" w:cs="Arial"/>
        </w:rPr>
        <w:t>Operbes</w:t>
      </w:r>
      <w:proofErr w:type="spellEnd"/>
      <w:r w:rsidR="00584C43" w:rsidRPr="001C10FE">
        <w:rPr>
          <w:rFonts w:ascii="ITC Avant Garde" w:hAnsi="ITC Avant Garde" w:cs="Arial"/>
        </w:rPr>
        <w:t xml:space="preserve">, S.A. de C.V., Bestphone, S.A. de C.V., Cable y Comunicación de Campeche, S.A. de C.V., Cablemás Telecomunicaciones, S.A. de C.V., Tele Azteca, S.A. de C.V., TV Cable de Oriente, S.A. de C.V. y México Red de Telecomunicaciones, S. de R.L. de C.V., </w:t>
      </w:r>
      <w:r w:rsidR="00280F43" w:rsidRPr="001C10FE">
        <w:rPr>
          <w:rFonts w:ascii="ITC Avant Garde" w:hAnsi="ITC Avant Garde" w:cs="Arial"/>
        </w:rPr>
        <w:t>mediante el protocolo de señalización SIP (</w:t>
      </w:r>
      <w:proofErr w:type="spellStart"/>
      <w:r w:rsidR="00280F43" w:rsidRPr="001C10FE">
        <w:rPr>
          <w:rFonts w:ascii="ITC Avant Garde" w:hAnsi="ITC Avant Garde" w:cs="Arial"/>
        </w:rPr>
        <w:t>Session</w:t>
      </w:r>
      <w:proofErr w:type="spellEnd"/>
      <w:r w:rsidR="00280F43" w:rsidRPr="001C10FE">
        <w:rPr>
          <w:rFonts w:ascii="ITC Avant Garde" w:hAnsi="ITC Avant Garde" w:cs="Arial"/>
        </w:rPr>
        <w:t xml:space="preserve"> </w:t>
      </w:r>
      <w:proofErr w:type="spellStart"/>
      <w:r w:rsidR="00280F43" w:rsidRPr="001C10FE">
        <w:rPr>
          <w:rFonts w:ascii="ITC Avant Garde" w:hAnsi="ITC Avant Garde" w:cs="Arial"/>
        </w:rPr>
        <w:t>Initiation</w:t>
      </w:r>
      <w:proofErr w:type="spellEnd"/>
      <w:r w:rsidR="00280F43" w:rsidRPr="001C10FE">
        <w:rPr>
          <w:rFonts w:ascii="ITC Avant Garde" w:hAnsi="ITC Avant Garde" w:cs="Arial"/>
        </w:rPr>
        <w:t xml:space="preserve"> </w:t>
      </w:r>
      <w:proofErr w:type="spellStart"/>
      <w:r w:rsidR="00280F43" w:rsidRPr="001C10FE">
        <w:rPr>
          <w:rFonts w:ascii="ITC Avant Garde" w:hAnsi="ITC Avant Garde" w:cs="Arial"/>
        </w:rPr>
        <w:t>Protocol</w:t>
      </w:r>
      <w:proofErr w:type="spellEnd"/>
      <w:r w:rsidR="00280F43" w:rsidRPr="001C10FE">
        <w:rPr>
          <w:rFonts w:ascii="ITC Avant Garde" w:hAnsi="ITC Avant Garde" w:cs="Arial"/>
        </w:rPr>
        <w:t>) observando lo establecido en las disposiciones administrativas aplicables.</w:t>
      </w:r>
    </w:p>
    <w:p w14:paraId="6192F8DB" w14:textId="77777777" w:rsidR="00866C94" w:rsidRDefault="00540350" w:rsidP="00866C94">
      <w:pPr>
        <w:spacing w:before="240"/>
        <w:jc w:val="both"/>
        <w:rPr>
          <w:rFonts w:ascii="ITC Avant Garde" w:hAnsi="ITC Avant Garde" w:cs="Arial"/>
        </w:rPr>
      </w:pPr>
      <w:r w:rsidRPr="001C10FE">
        <w:rPr>
          <w:rFonts w:ascii="ITC Avant Garde" w:hAnsi="ITC Avant Garde"/>
        </w:rPr>
        <w:lastRenderedPageBreak/>
        <w:t xml:space="preserve">Para tal efecto, y en caso de que </w:t>
      </w:r>
      <w:r w:rsidR="00584C43" w:rsidRPr="001C10FE">
        <w:rPr>
          <w:rFonts w:ascii="ITC Avant Garde" w:hAnsi="ITC Avant Garde" w:cs="Arial"/>
        </w:rPr>
        <w:t xml:space="preserve">Cablevisión Red, S.A. de C.V., Cablevisión, S.A. de C.V., </w:t>
      </w:r>
      <w:proofErr w:type="spellStart"/>
      <w:r w:rsidR="00584C43" w:rsidRPr="001C10FE">
        <w:rPr>
          <w:rFonts w:ascii="ITC Avant Garde" w:hAnsi="ITC Avant Garde" w:cs="Arial"/>
        </w:rPr>
        <w:t>Operbes</w:t>
      </w:r>
      <w:proofErr w:type="spellEnd"/>
      <w:r w:rsidR="00584C43" w:rsidRPr="001C10FE">
        <w:rPr>
          <w:rFonts w:ascii="ITC Avant Garde" w:hAnsi="ITC Avant Garde" w:cs="Arial"/>
        </w:rPr>
        <w:t>, S.A. de C.V., Bestphone, S.A. de C.V., Cable y Comunicación de Campeche, S.A. de C.V., Cablemás Telecomunicaciones, S.A. de C.V., Tele Azteca, S.A. de C.V., TV Cable de Oriente, S.A. de C.V. y México Red de Telecomunicaciones, S. de R.L. de C.V.</w:t>
      </w:r>
      <w:r w:rsidR="001327CC" w:rsidRPr="001C10FE">
        <w:rPr>
          <w:rFonts w:ascii="ITC Avant Garde" w:hAnsi="ITC Avant Garde" w:cs="Arial"/>
        </w:rPr>
        <w:t>,</w:t>
      </w:r>
      <w:r w:rsidR="00054146" w:rsidRPr="001C10FE">
        <w:rPr>
          <w:rFonts w:ascii="ITC Avant Garde" w:hAnsi="ITC Avant Garde"/>
        </w:rPr>
        <w:t xml:space="preserve"> </w:t>
      </w:r>
      <w:r w:rsidRPr="001C10FE">
        <w:rPr>
          <w:rFonts w:ascii="ITC Avant Garde" w:hAnsi="ITC Avant Garde"/>
        </w:rPr>
        <w:t>elija</w:t>
      </w:r>
      <w:r w:rsidR="00054146" w:rsidRPr="001C10FE">
        <w:rPr>
          <w:rFonts w:ascii="ITC Avant Garde" w:hAnsi="ITC Avant Garde"/>
        </w:rPr>
        <w:t>n</w:t>
      </w:r>
      <w:r w:rsidRPr="001C10FE">
        <w:rPr>
          <w:rFonts w:ascii="ITC Avant Garde" w:hAnsi="ITC Avant Garde"/>
        </w:rPr>
        <w:t xml:space="preserve"> cursar  tráfico hacia las redes de</w:t>
      </w:r>
      <w:r w:rsidR="00C90153" w:rsidRPr="001C10FE">
        <w:rPr>
          <w:rFonts w:ascii="ITC Avant Garde" w:hAnsi="ITC Avant Garde"/>
        </w:rPr>
        <w:t xml:space="preserve"> </w:t>
      </w:r>
      <w:r w:rsidR="00C90153" w:rsidRPr="001C10FE">
        <w:rPr>
          <w:rFonts w:ascii="ITC Avant Garde" w:hAnsi="ITC Avant Garde" w:cs="Helvetica"/>
          <w:lang w:eastAsia="es-MX"/>
        </w:rPr>
        <w:t xml:space="preserve">Grupo de Telecomunicaciones Mexicanas, S.A. de C.V. y </w:t>
      </w:r>
      <w:r w:rsidR="00C90153" w:rsidRPr="001C10FE">
        <w:rPr>
          <w:rFonts w:ascii="ITC Avant Garde" w:hAnsi="ITC Avant Garde" w:cs="Arial"/>
        </w:rPr>
        <w:t>Pegaso PCS, S.A. de C.V.</w:t>
      </w:r>
      <w:r w:rsidRPr="001C10FE">
        <w:rPr>
          <w:rFonts w:ascii="ITC Avant Garde" w:hAnsi="ITC Avant Garde"/>
        </w:rPr>
        <w:t xml:space="preserve">, bajo el protocolo de señalización SIP </w:t>
      </w:r>
      <w:r w:rsidR="00544759" w:rsidRPr="001C10FE">
        <w:rPr>
          <w:rFonts w:ascii="ITC Avant Garde" w:hAnsi="ITC Avant Garde"/>
        </w:rPr>
        <w:t>mediante interconexión directa,</w:t>
      </w:r>
      <w:r w:rsidRPr="001C10FE">
        <w:rPr>
          <w:rFonts w:ascii="ITC Avant Garde" w:hAnsi="ITC Avant Garde"/>
        </w:rPr>
        <w:t xml:space="preserve"> deberán sufragar el costo del enlace de interconexión hasta el punto de interconexión de dicha empresa.</w:t>
      </w:r>
    </w:p>
    <w:p w14:paraId="6CAAF703" w14:textId="77777777" w:rsidR="00866C94" w:rsidRDefault="00C90153" w:rsidP="00866C94">
      <w:pPr>
        <w:spacing w:before="240"/>
        <w:ind w:right="20"/>
        <w:jc w:val="both"/>
        <w:rPr>
          <w:rFonts w:ascii="ITC Avant Garde" w:hAnsi="ITC Avant Garde" w:cs="Arial"/>
        </w:rPr>
      </w:pPr>
      <w:r w:rsidRPr="001C10FE">
        <w:rPr>
          <w:rFonts w:ascii="ITC Avant Garde" w:hAnsi="ITC Avant Garde" w:cs="Arial"/>
          <w:b/>
        </w:rPr>
        <w:t>Q</w:t>
      </w:r>
      <w:r w:rsidR="00A22082" w:rsidRPr="001C10FE">
        <w:rPr>
          <w:rFonts w:ascii="ITC Avant Garde" w:hAnsi="ITC Avant Garde" w:cs="Arial"/>
          <w:b/>
        </w:rPr>
        <w:t>U</w:t>
      </w:r>
      <w:r w:rsidRPr="001C10FE">
        <w:rPr>
          <w:rFonts w:ascii="ITC Avant Garde" w:hAnsi="ITC Avant Garde" w:cs="Arial"/>
          <w:b/>
        </w:rPr>
        <w:t>INTO</w:t>
      </w:r>
      <w:r w:rsidR="00AB66F6" w:rsidRPr="001C10FE">
        <w:rPr>
          <w:rFonts w:ascii="ITC Avant Garde" w:hAnsi="ITC Avant Garde" w:cs="Arial"/>
          <w:b/>
        </w:rPr>
        <w:t xml:space="preserve">.- </w:t>
      </w:r>
      <w:r w:rsidR="0042597A" w:rsidRPr="001C10FE">
        <w:rPr>
          <w:rFonts w:ascii="ITC Avant Garde" w:hAnsi="ITC Avant Garde" w:cs="Arial"/>
        </w:rPr>
        <w:t>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la</w:t>
      </w:r>
      <w:r w:rsidRPr="001C10FE">
        <w:rPr>
          <w:rFonts w:ascii="ITC Avant Garde" w:hAnsi="ITC Avant Garde" w:cs="Arial"/>
        </w:rPr>
        <w:t>s</w:t>
      </w:r>
      <w:r w:rsidR="0042597A" w:rsidRPr="001C10FE">
        <w:rPr>
          <w:rFonts w:ascii="ITC Avant Garde" w:hAnsi="ITC Avant Garde" w:cs="Arial"/>
        </w:rPr>
        <w:t xml:space="preserve"> empresa</w:t>
      </w:r>
      <w:r w:rsidRPr="001C10FE">
        <w:rPr>
          <w:rFonts w:ascii="ITC Avant Garde" w:hAnsi="ITC Avant Garde" w:cs="Arial"/>
        </w:rPr>
        <w:t>s</w:t>
      </w:r>
      <w:r w:rsidR="0042597A" w:rsidRPr="001C10FE">
        <w:rPr>
          <w:rFonts w:ascii="ITC Avant Garde" w:hAnsi="ITC Avant Garde" w:cs="Arial"/>
        </w:rPr>
        <w:t xml:space="preserve"> </w:t>
      </w:r>
      <w:r w:rsidR="00584C43" w:rsidRPr="001C10FE">
        <w:rPr>
          <w:rFonts w:ascii="ITC Avant Garde" w:hAnsi="ITC Avant Garde" w:cs="Arial"/>
        </w:rPr>
        <w:t xml:space="preserve">Cablevisión Red, S.A. de C.V., Cablevisión, S.A. de C.V., </w:t>
      </w:r>
      <w:proofErr w:type="spellStart"/>
      <w:r w:rsidR="00584C43" w:rsidRPr="001C10FE">
        <w:rPr>
          <w:rFonts w:ascii="ITC Avant Garde" w:hAnsi="ITC Avant Garde" w:cs="Arial"/>
        </w:rPr>
        <w:t>Operbes</w:t>
      </w:r>
      <w:proofErr w:type="spellEnd"/>
      <w:r w:rsidR="00584C43" w:rsidRPr="001C10FE">
        <w:rPr>
          <w:rFonts w:ascii="ITC Avant Garde" w:hAnsi="ITC Avant Garde" w:cs="Arial"/>
        </w:rPr>
        <w:t xml:space="preserve">, S.A. de C.V., Bestphone, S.A. de C.V., Cable y Comunicación de Campeche, S.A. de C.V., Cablemás Telecomunicaciones, S.A. de C.V., Tele Azteca, S.A. de C.V., TV Cable de Oriente, S.A. de C.V., México Red de Telecomunicaciones, S. de R.L. de C.V. </w:t>
      </w:r>
      <w:r w:rsidR="009423F5" w:rsidRPr="001C10FE">
        <w:rPr>
          <w:rFonts w:ascii="ITC Avant Garde" w:hAnsi="ITC Avant Garde" w:cs="Arial"/>
        </w:rPr>
        <w:t>y las empresas</w:t>
      </w:r>
      <w:r w:rsidR="0042597A" w:rsidRPr="001C10FE">
        <w:rPr>
          <w:rFonts w:ascii="ITC Avant Garde" w:hAnsi="ITC Avant Garde" w:cs="Arial"/>
        </w:rPr>
        <w:t xml:space="preserve"> </w:t>
      </w:r>
      <w:r w:rsidR="009423F5" w:rsidRPr="001C10FE">
        <w:rPr>
          <w:rFonts w:ascii="ITC Avant Garde" w:hAnsi="ITC Avant Garde" w:cs="Helvetica"/>
          <w:lang w:eastAsia="es-MX"/>
        </w:rPr>
        <w:t xml:space="preserve">Grupo de Telecomunicaciones Mexicanas, S.A. de C.V. </w:t>
      </w:r>
      <w:r w:rsidR="000F48B3" w:rsidRPr="001C10FE">
        <w:rPr>
          <w:rFonts w:ascii="ITC Avant Garde" w:hAnsi="ITC Avant Garde" w:cs="Arial"/>
        </w:rPr>
        <w:t>y Pegaso PCS</w:t>
      </w:r>
      <w:r w:rsidR="00147AF2" w:rsidRPr="001C10FE">
        <w:rPr>
          <w:rFonts w:ascii="ITC Avant Garde" w:hAnsi="ITC Avant Garde" w:cs="Arial"/>
        </w:rPr>
        <w:t>, S.A. de C.V.</w:t>
      </w:r>
      <w:r w:rsidR="0042597A" w:rsidRPr="001C10FE">
        <w:rPr>
          <w:rFonts w:ascii="ITC Avant Garde" w:hAnsi="ITC Avant Garde" w:cs="Helvetica"/>
          <w:lang w:eastAsia="es-MX"/>
        </w:rPr>
        <w:t xml:space="preserve">, </w:t>
      </w:r>
      <w:r w:rsidR="0042597A" w:rsidRPr="001C10FE">
        <w:rPr>
          <w:rFonts w:ascii="ITC Avant Garde" w:hAnsi="ITC Avant Garde" w:cs="Arial"/>
        </w:rPr>
        <w:t xml:space="preserve">deberán </w:t>
      </w:r>
      <w:r w:rsidR="0042597A" w:rsidRPr="001C10FE">
        <w:rPr>
          <w:rFonts w:ascii="ITC Avant Garde" w:eastAsia="Times New Roman" w:hAnsi="ITC Avant Garde" w:cs="Arial"/>
        </w:rPr>
        <w:t xml:space="preserve">suscribir </w:t>
      </w:r>
      <w:r w:rsidR="0042597A" w:rsidRPr="001C10FE">
        <w:rPr>
          <w:rFonts w:ascii="ITC Avant Garde" w:hAnsi="ITC Avant Garde" w:cs="Arial"/>
        </w:rPr>
        <w:t>los convenios de interconexión de sus redes públicas de telecomunicaciones conforme a los términos y condiciones determinados en el Resolutivo PRIMERO</w:t>
      </w:r>
      <w:r w:rsidRPr="001C10FE">
        <w:rPr>
          <w:rFonts w:ascii="ITC Avant Garde" w:hAnsi="ITC Avant Garde" w:cs="Arial"/>
        </w:rPr>
        <w:t xml:space="preserve">, </w:t>
      </w:r>
      <w:r w:rsidR="009423F5" w:rsidRPr="001C10FE">
        <w:rPr>
          <w:rFonts w:ascii="ITC Avant Garde" w:hAnsi="ITC Avant Garde" w:cs="Arial"/>
        </w:rPr>
        <w:t>SEGUNDO</w:t>
      </w:r>
      <w:r w:rsidRPr="001C10FE">
        <w:rPr>
          <w:rFonts w:ascii="ITC Avant Garde" w:hAnsi="ITC Avant Garde" w:cs="Arial"/>
        </w:rPr>
        <w:t>, TERCERO y CUARTO</w:t>
      </w:r>
      <w:r w:rsidR="0042597A" w:rsidRPr="001C10FE">
        <w:rPr>
          <w:rFonts w:ascii="ITC Avant Garde" w:hAnsi="ITC Avant Garde" w:cs="Arial"/>
        </w:rPr>
        <w:t xml:space="preserve"> de la presente Resolución. Celebrado </w:t>
      </w:r>
      <w:r w:rsidR="00584C43" w:rsidRPr="001C10FE">
        <w:rPr>
          <w:rFonts w:ascii="ITC Avant Garde" w:hAnsi="ITC Avant Garde" w:cs="Arial"/>
        </w:rPr>
        <w:t xml:space="preserve">los </w:t>
      </w:r>
      <w:r w:rsidR="0042597A" w:rsidRPr="001C10FE">
        <w:rPr>
          <w:rFonts w:ascii="ITC Avant Garde" w:hAnsi="ITC Avant Garde" w:cs="Arial"/>
        </w:rPr>
        <w:t>convenio</w:t>
      </w:r>
      <w:r w:rsidR="00584C43" w:rsidRPr="001C10FE">
        <w:rPr>
          <w:rFonts w:ascii="ITC Avant Garde" w:hAnsi="ITC Avant Garde" w:cs="Arial"/>
        </w:rPr>
        <w:t>s</w:t>
      </w:r>
      <w:r w:rsidR="0042597A" w:rsidRPr="001C10FE">
        <w:rPr>
          <w:rFonts w:ascii="ITC Avant Garde" w:hAnsi="ITC Avant Garde" w:cs="Arial"/>
        </w:rPr>
        <w:t xml:space="preserve"> correspondiente</w:t>
      </w:r>
      <w:r w:rsidR="00584C43" w:rsidRPr="001C10FE">
        <w:rPr>
          <w:rFonts w:ascii="ITC Avant Garde" w:hAnsi="ITC Avant Garde" w:cs="Arial"/>
        </w:rPr>
        <w:t>s</w:t>
      </w:r>
      <w:r w:rsidR="0042597A" w:rsidRPr="001C10FE">
        <w:rPr>
          <w:rFonts w:ascii="ITC Avant Garde" w:hAnsi="ITC Avant Garde" w:cs="Arial"/>
        </w:rPr>
        <w:t>,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3D25F8B9" w14:textId="77777777" w:rsidR="00866C94" w:rsidRDefault="00C90153" w:rsidP="00866C94">
      <w:pPr>
        <w:spacing w:before="240"/>
        <w:jc w:val="both"/>
        <w:rPr>
          <w:rFonts w:ascii="ITC Avant Garde" w:hAnsi="ITC Avant Garde"/>
          <w:shd w:val="clear" w:color="auto" w:fill="FFFFFF"/>
        </w:rPr>
      </w:pPr>
      <w:r w:rsidRPr="001C10FE">
        <w:rPr>
          <w:rFonts w:ascii="ITC Avant Garde" w:eastAsia="Times New Roman" w:hAnsi="ITC Avant Garde"/>
          <w:b/>
          <w:bCs/>
          <w:lang w:eastAsia="es-ES"/>
        </w:rPr>
        <w:t>SEXTO</w:t>
      </w:r>
      <w:r w:rsidR="00AB66F6" w:rsidRPr="001C10FE">
        <w:rPr>
          <w:rFonts w:ascii="ITC Avant Garde" w:eastAsia="Times New Roman" w:hAnsi="ITC Avant Garde"/>
          <w:b/>
          <w:bCs/>
          <w:lang w:eastAsia="es-ES"/>
        </w:rPr>
        <w:t>.-</w:t>
      </w:r>
      <w:r w:rsidR="00AB66F6" w:rsidRPr="001C10FE">
        <w:rPr>
          <w:rFonts w:ascii="ITC Avant Garde" w:hAnsi="ITC Avant Garde"/>
        </w:rPr>
        <w:t xml:space="preserve"> </w:t>
      </w:r>
      <w:r w:rsidR="000B7FC8" w:rsidRPr="001C10FE">
        <w:rPr>
          <w:rFonts w:ascii="ITC Avant Garde" w:hAnsi="ITC Avant Garde"/>
          <w:shd w:val="clear" w:color="auto" w:fill="FFFFFF"/>
        </w:rPr>
        <w:t xml:space="preserve">En cumplimiento a lo dispuesto en </w:t>
      </w:r>
      <w:r w:rsidR="00D41493" w:rsidRPr="001C10FE">
        <w:rPr>
          <w:rFonts w:ascii="ITC Avant Garde" w:hAnsi="ITC Avant Garde"/>
          <w:shd w:val="clear" w:color="auto" w:fill="FFFFFF"/>
        </w:rPr>
        <w:t xml:space="preserve">el artículo 3, fracción XV de la Ley Federal de Procedimiento Administrativo, en relación con </w:t>
      </w:r>
      <w:r w:rsidR="000B7FC8" w:rsidRPr="001C10FE">
        <w:rPr>
          <w:rFonts w:ascii="ITC Avant Garde" w:hAnsi="ITC Avant Garde"/>
          <w:shd w:val="clear" w:color="auto" w:fill="FFFFFF"/>
        </w:rPr>
        <w:t>los artículos 312 y 313 de la Ley Federal de Telecomunicaciones y Radiodifusión, se hace del conocimiento de</w:t>
      </w:r>
      <w:r w:rsidR="00BD363F" w:rsidRPr="001C10FE">
        <w:rPr>
          <w:rFonts w:ascii="ITC Avant Garde" w:hAnsi="ITC Avant Garde"/>
          <w:shd w:val="clear" w:color="auto" w:fill="FFFFFF"/>
        </w:rPr>
        <w:t xml:space="preserve"> la</w:t>
      </w:r>
      <w:r w:rsidR="00EC0F49" w:rsidRPr="001C10FE">
        <w:rPr>
          <w:rFonts w:ascii="ITC Avant Garde" w:hAnsi="ITC Avant Garde"/>
          <w:shd w:val="clear" w:color="auto" w:fill="FFFFFF"/>
        </w:rPr>
        <w:t>s</w:t>
      </w:r>
      <w:r w:rsidR="00BD363F" w:rsidRPr="001C10FE">
        <w:rPr>
          <w:rFonts w:ascii="ITC Avant Garde" w:hAnsi="ITC Avant Garde"/>
          <w:shd w:val="clear" w:color="auto" w:fill="FFFFFF"/>
        </w:rPr>
        <w:t xml:space="preserve"> empresa</w:t>
      </w:r>
      <w:r w:rsidR="00EC0F49" w:rsidRPr="001C10FE">
        <w:rPr>
          <w:rFonts w:ascii="ITC Avant Garde" w:hAnsi="ITC Avant Garde"/>
          <w:shd w:val="clear" w:color="auto" w:fill="FFFFFF"/>
        </w:rPr>
        <w:t>s</w:t>
      </w:r>
      <w:r w:rsidR="00BD363F" w:rsidRPr="001C10FE">
        <w:rPr>
          <w:rFonts w:ascii="ITC Avant Garde" w:hAnsi="ITC Avant Garde"/>
          <w:shd w:val="clear" w:color="auto" w:fill="FFFFFF"/>
        </w:rPr>
        <w:t xml:space="preserve"> </w:t>
      </w:r>
      <w:r w:rsidR="00584C43" w:rsidRPr="001C10FE">
        <w:rPr>
          <w:rFonts w:ascii="ITC Avant Garde" w:hAnsi="ITC Avant Garde" w:cs="Arial"/>
        </w:rPr>
        <w:t xml:space="preserve">Cablevisión Red, S.A. de C.V., Cablevisión, S.A. de C.V., </w:t>
      </w:r>
      <w:proofErr w:type="spellStart"/>
      <w:r w:rsidR="00584C43" w:rsidRPr="001C10FE">
        <w:rPr>
          <w:rFonts w:ascii="ITC Avant Garde" w:hAnsi="ITC Avant Garde" w:cs="Arial"/>
        </w:rPr>
        <w:t>Operbes</w:t>
      </w:r>
      <w:proofErr w:type="spellEnd"/>
      <w:r w:rsidR="00584C43" w:rsidRPr="001C10FE">
        <w:rPr>
          <w:rFonts w:ascii="ITC Avant Garde" w:hAnsi="ITC Avant Garde" w:cs="Arial"/>
        </w:rPr>
        <w:t>, S.A. de C.V., Bestphone, S.A. de C.V., Cable y Comunicación de Campeche, S.A. de C.V., Cablemás Telecomunicaciones, S.A. de C.V., Tele Azteca, S.A. de C.V., TV Cable de Oriente, S.A. de C.V., México Red de Telecomunicaciones, S. de R.L. de C.V.</w:t>
      </w:r>
      <w:r w:rsidR="00054146" w:rsidRPr="001C10FE">
        <w:rPr>
          <w:rFonts w:ascii="ITC Avant Garde" w:hAnsi="ITC Avant Garde" w:cs="Arial"/>
        </w:rPr>
        <w:t xml:space="preserve">, </w:t>
      </w:r>
      <w:r w:rsidR="008A692F" w:rsidRPr="001C10FE">
        <w:rPr>
          <w:rFonts w:ascii="ITC Avant Garde" w:hAnsi="ITC Avant Garde" w:cs="Helvetica"/>
          <w:lang w:eastAsia="es-MX"/>
        </w:rPr>
        <w:t>Grupo de Telecomunicaciones Mexicanas, S.A. de C.V.</w:t>
      </w:r>
      <w:r w:rsidR="000F48B3" w:rsidRPr="001C10FE">
        <w:rPr>
          <w:rFonts w:ascii="ITC Avant Garde" w:hAnsi="ITC Avant Garde" w:cs="Arial"/>
        </w:rPr>
        <w:t xml:space="preserve"> y Pegaso PCS</w:t>
      </w:r>
      <w:r w:rsidR="00147AF2" w:rsidRPr="001C10FE">
        <w:rPr>
          <w:rFonts w:ascii="ITC Avant Garde" w:hAnsi="ITC Avant Garde" w:cs="Arial"/>
        </w:rPr>
        <w:t>, S.A. de C.V.</w:t>
      </w:r>
      <w:r w:rsidR="00CF047B" w:rsidRPr="001C10FE">
        <w:rPr>
          <w:rFonts w:ascii="ITC Avant Garde" w:eastAsia="Times New Roman" w:hAnsi="ITC Avant Garde"/>
          <w:bCs/>
          <w:lang w:val="es-ES" w:eastAsia="es-ES"/>
        </w:rPr>
        <w:t>,</w:t>
      </w:r>
      <w:r w:rsidR="00CF047B" w:rsidRPr="001C10FE">
        <w:rPr>
          <w:rFonts w:ascii="ITC Avant Garde" w:hAnsi="ITC Avant Garde"/>
        </w:rPr>
        <w:t xml:space="preserve"> </w:t>
      </w:r>
      <w:r w:rsidR="000B7FC8" w:rsidRPr="001C10FE">
        <w:rPr>
          <w:rFonts w:ascii="ITC Avant Garde" w:hAnsi="ITC Avant Garde"/>
          <w:shd w:val="clear" w:color="auto" w:fill="FFFFFF"/>
        </w:rPr>
        <w:t>que la presente Resolución constituye un acto administrativo definitivo y</w:t>
      </w:r>
      <w:r w:rsidR="00054146" w:rsidRPr="001C10FE">
        <w:rPr>
          <w:rFonts w:ascii="ITC Avant Garde" w:hAnsi="ITC Avant Garde"/>
          <w:shd w:val="clear" w:color="auto" w:fill="FFFFFF"/>
        </w:rPr>
        <w:t xml:space="preserve"> por lo tanto, procede </w:t>
      </w:r>
      <w:r w:rsidR="000B7FC8" w:rsidRPr="001C10FE">
        <w:rPr>
          <w:rFonts w:ascii="ITC Avant Garde" w:hAnsi="ITC Avant Garde"/>
          <w:shd w:val="clear" w:color="auto" w:fill="FFFFFF"/>
        </w:rPr>
        <w:t xml:space="preserve">ante los Juzgados de Distrito Especializados en Materia de Competencia Económica, Radiodifusión y Telecomunicaciones, con residencia en </w:t>
      </w:r>
      <w:r w:rsidR="00A9330F" w:rsidRPr="001C10FE">
        <w:rPr>
          <w:rFonts w:ascii="ITC Avant Garde" w:hAnsi="ITC Avant Garde"/>
          <w:shd w:val="clear" w:color="auto" w:fill="FFFFFF"/>
        </w:rPr>
        <w:t>la Ciudad de México</w:t>
      </w:r>
      <w:r w:rsidR="000B7FC8" w:rsidRPr="001C10FE">
        <w:rPr>
          <w:rFonts w:ascii="ITC Avant Garde" w:hAnsi="ITC Avant Garde"/>
          <w:shd w:val="clear" w:color="auto" w:fill="FFFFFF"/>
        </w:rPr>
        <w:t xml:space="preserve"> y Jurisdicción territorial en toda la República, el juicio de amparo indirecto dentro del plazo de quince</w:t>
      </w:r>
      <w:r w:rsidR="00D41493" w:rsidRPr="001C10FE">
        <w:rPr>
          <w:rFonts w:ascii="ITC Avant Garde" w:hAnsi="ITC Avant Garde"/>
          <w:shd w:val="clear" w:color="auto" w:fill="FFFFFF"/>
        </w:rPr>
        <w:t xml:space="preserve"> (15)</w:t>
      </w:r>
      <w:r w:rsidR="000B7FC8" w:rsidRPr="001C10FE">
        <w:rPr>
          <w:rFonts w:ascii="ITC Avant Garde" w:hAnsi="ITC Avant Garde"/>
          <w:shd w:val="clear" w:color="auto" w:fill="FFFFFF"/>
        </w:rPr>
        <w:t xml:space="preserve"> días hábiles contado a partir de que surta efectos la notificación de la </w:t>
      </w:r>
      <w:r w:rsidR="000B7FC8" w:rsidRPr="001C10FE">
        <w:rPr>
          <w:rFonts w:ascii="ITC Avant Garde" w:hAnsi="ITC Avant Garde"/>
          <w:shd w:val="clear" w:color="auto" w:fill="FFFFFF"/>
        </w:rPr>
        <w:lastRenderedPageBreak/>
        <w:t>presente Resolución, en términos del artículo 17 de la Ley de Amparo, Reglamentaria de los artículos 103 y 107 de la Constitución Política de los Estados Unidos Mexicanos.</w:t>
      </w:r>
    </w:p>
    <w:p w14:paraId="1254B3B9" w14:textId="77777777" w:rsidR="00866C94" w:rsidRDefault="00C90153" w:rsidP="00866C94">
      <w:pPr>
        <w:spacing w:before="240"/>
        <w:ind w:right="20"/>
        <w:jc w:val="both"/>
        <w:rPr>
          <w:rFonts w:ascii="ITC Avant Garde" w:eastAsia="Times New Roman" w:hAnsi="ITC Avant Garde" w:cs="Arial"/>
        </w:rPr>
      </w:pPr>
      <w:r w:rsidRPr="001C10FE">
        <w:rPr>
          <w:rFonts w:ascii="ITC Avant Garde" w:hAnsi="ITC Avant Garde" w:cs="Arial"/>
          <w:b/>
        </w:rPr>
        <w:t>SÉPTIMO</w:t>
      </w:r>
      <w:r w:rsidR="00FB3FFB" w:rsidRPr="001C10FE">
        <w:rPr>
          <w:rFonts w:ascii="ITC Avant Garde" w:hAnsi="ITC Avant Garde" w:cs="Arial"/>
        </w:rPr>
        <w:t xml:space="preserve">.- </w:t>
      </w:r>
      <w:r w:rsidR="00E57C5A" w:rsidRPr="001C10FE">
        <w:rPr>
          <w:rFonts w:ascii="ITC Avant Garde" w:hAnsi="ITC Avant Garde" w:cs="Arial"/>
        </w:rPr>
        <w:t xml:space="preserve">Notifíquese personalmente a los representantes legales de </w:t>
      </w:r>
      <w:r w:rsidR="00584C43" w:rsidRPr="001C10FE">
        <w:rPr>
          <w:rFonts w:ascii="ITC Avant Garde" w:hAnsi="ITC Avant Garde" w:cs="Arial"/>
        </w:rPr>
        <w:t xml:space="preserve">Cablevisión Red, S.A. de C.V., Cablevisión, S.A. de C.V., </w:t>
      </w:r>
      <w:proofErr w:type="spellStart"/>
      <w:r w:rsidR="00584C43" w:rsidRPr="001C10FE">
        <w:rPr>
          <w:rFonts w:ascii="ITC Avant Garde" w:hAnsi="ITC Avant Garde" w:cs="Arial"/>
        </w:rPr>
        <w:t>Operbes</w:t>
      </w:r>
      <w:proofErr w:type="spellEnd"/>
      <w:r w:rsidR="00584C43" w:rsidRPr="001C10FE">
        <w:rPr>
          <w:rFonts w:ascii="ITC Avant Garde" w:hAnsi="ITC Avant Garde" w:cs="Arial"/>
        </w:rPr>
        <w:t>, S.A. de C.V., Bestphone, S.A. de C.V., Cable y Comunicación de Campeche, S.A. de C.V., Cablemás Telecomunicaciones, S.A. de C.V., Tele Azteca, S.A. de C.V., TV Cable de Oriente, S.A. de C.V., México Red de Telecomunicaciones, S. de R.L. de C.V.</w:t>
      </w:r>
      <w:r w:rsidR="00054146" w:rsidRPr="001C10FE">
        <w:rPr>
          <w:rFonts w:ascii="ITC Avant Garde" w:hAnsi="ITC Avant Garde" w:cs="Arial"/>
        </w:rPr>
        <w:t xml:space="preserve">, </w:t>
      </w:r>
      <w:r w:rsidR="004F2104" w:rsidRPr="001C10FE">
        <w:rPr>
          <w:rFonts w:ascii="ITC Avant Garde" w:hAnsi="ITC Avant Garde" w:cs="Arial"/>
        </w:rPr>
        <w:t>así como de la</w:t>
      </w:r>
      <w:r w:rsidR="00FD2918" w:rsidRPr="001C10FE">
        <w:rPr>
          <w:rFonts w:ascii="ITC Avant Garde" w:hAnsi="ITC Avant Garde" w:cs="Arial"/>
        </w:rPr>
        <w:t>s</w:t>
      </w:r>
      <w:r w:rsidR="004F2104" w:rsidRPr="001C10FE">
        <w:rPr>
          <w:rFonts w:ascii="ITC Avant Garde" w:hAnsi="ITC Avant Garde" w:cs="Arial"/>
        </w:rPr>
        <w:t xml:space="preserve"> empresa</w:t>
      </w:r>
      <w:r w:rsidR="00FD2918" w:rsidRPr="001C10FE">
        <w:rPr>
          <w:rFonts w:ascii="ITC Avant Garde" w:hAnsi="ITC Avant Garde" w:cs="Arial"/>
        </w:rPr>
        <w:t>s</w:t>
      </w:r>
      <w:r w:rsidR="004F2104" w:rsidRPr="001C10FE">
        <w:rPr>
          <w:rFonts w:ascii="ITC Avant Garde" w:hAnsi="ITC Avant Garde" w:cs="Arial"/>
        </w:rPr>
        <w:t xml:space="preserve"> </w:t>
      </w:r>
      <w:r w:rsidR="008A692F" w:rsidRPr="001C10FE">
        <w:rPr>
          <w:rFonts w:ascii="ITC Avant Garde" w:hAnsi="ITC Avant Garde" w:cs="Arial"/>
        </w:rPr>
        <w:t>Grupo de Telecomunicaciones Mexicanas, S.A. de C.V</w:t>
      </w:r>
      <w:r w:rsidR="008A692F" w:rsidRPr="001C10FE">
        <w:rPr>
          <w:rFonts w:ascii="ITC Avant Garde" w:hAnsi="ITC Avant Garde" w:cs="Helvetica"/>
          <w:lang w:eastAsia="es-MX"/>
        </w:rPr>
        <w:t xml:space="preserve">. </w:t>
      </w:r>
      <w:r w:rsidR="000F48B3" w:rsidRPr="001C10FE">
        <w:rPr>
          <w:rFonts w:ascii="ITC Avant Garde" w:hAnsi="ITC Avant Garde" w:cs="Arial"/>
        </w:rPr>
        <w:t>y Pegaso PCS</w:t>
      </w:r>
      <w:r w:rsidR="00EC0F49" w:rsidRPr="001C10FE">
        <w:rPr>
          <w:rFonts w:ascii="ITC Avant Garde" w:hAnsi="ITC Avant Garde" w:cs="Arial"/>
        </w:rPr>
        <w:t>, S.A. de C.V.</w:t>
      </w:r>
      <w:r w:rsidR="00CF047B" w:rsidRPr="001C10FE">
        <w:rPr>
          <w:rFonts w:ascii="ITC Avant Garde" w:eastAsia="Times New Roman" w:hAnsi="ITC Avant Garde"/>
          <w:bCs/>
          <w:lang w:val="es-ES" w:eastAsia="es-ES"/>
        </w:rPr>
        <w:t>,</w:t>
      </w:r>
      <w:r w:rsidR="00CF047B" w:rsidRPr="001C10FE">
        <w:rPr>
          <w:rFonts w:ascii="ITC Avant Garde" w:hAnsi="ITC Avant Garde"/>
        </w:rPr>
        <w:t xml:space="preserve"> </w:t>
      </w:r>
      <w:r w:rsidR="00E57C5A" w:rsidRPr="001C10FE">
        <w:rPr>
          <w:rFonts w:ascii="ITC Avant Garde" w:hAnsi="ITC Avant Garde" w:cs="Arial"/>
          <w:bCs/>
        </w:rPr>
        <w:t>el</w:t>
      </w:r>
      <w:r w:rsidR="00E57C5A" w:rsidRPr="001C10FE">
        <w:rPr>
          <w:rFonts w:ascii="ITC Avant Garde" w:hAnsi="ITC Avant Garde" w:cs="Arial"/>
        </w:rPr>
        <w:t xml:space="preserve"> contenido de la presente Resolución, en términos de lo establecido en el artículo 129 fracción VIII de la Ley Federal de Telecomunicaciones y Radiodifusión.</w:t>
      </w:r>
    </w:p>
    <w:p w14:paraId="6E8ECAF5" w14:textId="74C3B070" w:rsidR="00866C94" w:rsidRDefault="006F38F1" w:rsidP="00866C94">
      <w:pPr>
        <w:pStyle w:val="Prrafodelista"/>
        <w:spacing w:before="240" w:after="200"/>
        <w:ind w:left="0"/>
        <w:rPr>
          <w:rFonts w:ascii="ITC Avant Garde" w:hAnsi="ITC Avant Garde"/>
          <w:sz w:val="13"/>
          <w:szCs w:val="13"/>
          <w:lang w:val="es-ES_tradnl"/>
        </w:rPr>
      </w:pPr>
      <w:r w:rsidRPr="006F38F1">
        <w:rPr>
          <w:rFonts w:ascii="ITC Avant Garde" w:hAnsi="ITC Avant Garde"/>
          <w:sz w:val="13"/>
          <w:szCs w:val="13"/>
          <w:lang w:val="es-ES_tradnl"/>
        </w:rPr>
        <w:t>La presente Resolución fue aprobada por el Pleno del Instituto Federal de Telecomunicaciones en su XLIII Sesión Ordinaria celebrada el 30 de noviembre de 2016, en lo general por unanimidad de votos de los Comisionados Gabriel Oswaldo Contreras Saldívar, Ernesto Estrada González, Adriana Sofía Labardini Inzunza, María Elena Estavillo Flores, Mario Germán Fromow Rangel, Adolfo Cuevas Teja y Javier Juárez Mojica.</w:t>
      </w:r>
    </w:p>
    <w:p w14:paraId="49AFD8E7" w14:textId="77777777" w:rsidR="00866C94" w:rsidRDefault="006F38F1" w:rsidP="00866C94">
      <w:pPr>
        <w:pStyle w:val="Prrafodelista"/>
        <w:spacing w:before="240" w:after="200"/>
        <w:ind w:left="0"/>
        <w:rPr>
          <w:rFonts w:ascii="ITC Avant Garde" w:hAnsi="ITC Avant Garde"/>
          <w:sz w:val="13"/>
          <w:szCs w:val="13"/>
          <w:lang w:val="es-ES_tradnl"/>
        </w:rPr>
      </w:pPr>
      <w:r w:rsidRPr="006F38F1">
        <w:rPr>
          <w:rFonts w:ascii="ITC Avant Garde" w:hAnsi="ITC Avant Garde"/>
          <w:sz w:val="13"/>
          <w:szCs w:val="13"/>
          <w:lang w:val="es-ES_tradnl"/>
        </w:rPr>
        <w:t>En lo particular, la Comisionada María Elena Estavillo Flores manifestó voto concurrente en el Resolutivo Primero, por no coincidir con la mención de la modalidad “El que llama paga”.</w:t>
      </w:r>
    </w:p>
    <w:p w14:paraId="5ECE1DCD" w14:textId="77777777" w:rsidR="00866C94" w:rsidRDefault="006F38F1" w:rsidP="00866C94">
      <w:pPr>
        <w:pStyle w:val="Prrafodelista"/>
        <w:spacing w:before="240" w:after="200"/>
        <w:ind w:left="0"/>
        <w:rPr>
          <w:rFonts w:ascii="ITC Avant Garde" w:hAnsi="ITC Avant Garde"/>
          <w:sz w:val="13"/>
          <w:szCs w:val="13"/>
          <w:lang w:val="es-ES_tradnl"/>
        </w:rPr>
      </w:pPr>
      <w:r w:rsidRPr="006F38F1">
        <w:rPr>
          <w:rFonts w:ascii="ITC Avant Garde" w:hAnsi="ITC Avant Garde"/>
          <w:sz w:val="13"/>
          <w:szCs w:val="13"/>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P/IFT/301116/688.</w:t>
      </w:r>
    </w:p>
    <w:p w14:paraId="22D5C296" w14:textId="7A20FE71" w:rsidR="006F38F1" w:rsidRPr="006F38F1" w:rsidRDefault="006F38F1" w:rsidP="00866C94">
      <w:pPr>
        <w:pStyle w:val="Prrafodelista"/>
        <w:spacing w:before="240" w:after="200"/>
        <w:ind w:left="0"/>
        <w:rPr>
          <w:rFonts w:ascii="ITC Avant Garde" w:hAnsi="ITC Avant Garde"/>
          <w:sz w:val="13"/>
          <w:szCs w:val="13"/>
          <w:lang w:val="es-ES_tradnl"/>
        </w:rPr>
      </w:pPr>
      <w:r w:rsidRPr="006F38F1">
        <w:rPr>
          <w:rFonts w:ascii="ITC Avant Garde" w:hAnsi="ITC Avant Garde"/>
          <w:sz w:val="13"/>
          <w:szCs w:val="13"/>
          <w:lang w:val="es-ES_tradnl"/>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6F38F1" w:rsidRPr="006F38F1" w:rsidSect="001C10FE">
      <w:headerReference w:type="even" r:id="rId12"/>
      <w:footerReference w:type="default" r:id="rId13"/>
      <w:headerReference w:type="first" r:id="rId14"/>
      <w:pgSz w:w="12240" w:h="15840"/>
      <w:pgMar w:top="1985" w:right="1361" w:bottom="124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E27D5" w14:textId="77777777" w:rsidR="00393F03" w:rsidRDefault="00393F03" w:rsidP="00072BC8">
      <w:pPr>
        <w:spacing w:after="0" w:line="240" w:lineRule="auto"/>
      </w:pPr>
      <w:r>
        <w:separator/>
      </w:r>
    </w:p>
  </w:endnote>
  <w:endnote w:type="continuationSeparator" w:id="0">
    <w:p w14:paraId="4481E7A0" w14:textId="77777777" w:rsidR="00393F03" w:rsidRDefault="00393F03"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601424"/>
      <w:docPartObj>
        <w:docPartGallery w:val="Page Numbers (Bottom of Page)"/>
        <w:docPartUnique/>
      </w:docPartObj>
    </w:sdtPr>
    <w:sdtEndPr/>
    <w:sdtContent>
      <w:p w14:paraId="334A1941" w14:textId="314BB94D" w:rsidR="00393F03" w:rsidRPr="00866C94" w:rsidRDefault="001C10FE" w:rsidP="00866C94">
        <w:pPr>
          <w:pStyle w:val="Piedepgina"/>
          <w:jc w:val="right"/>
        </w:pPr>
        <w:r>
          <w:fldChar w:fldCharType="begin"/>
        </w:r>
        <w:r>
          <w:instrText>PAGE   \* MERGEFORMAT</w:instrText>
        </w:r>
        <w:r>
          <w:fldChar w:fldCharType="separate"/>
        </w:r>
        <w:r w:rsidR="00866C94" w:rsidRPr="00866C94">
          <w:rPr>
            <w:noProof/>
            <w:lang w:val="es-ES"/>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10A1D" w14:textId="77777777" w:rsidR="00393F03" w:rsidRDefault="00393F03" w:rsidP="00072BC8">
      <w:pPr>
        <w:spacing w:after="0" w:line="240" w:lineRule="auto"/>
      </w:pPr>
      <w:r>
        <w:separator/>
      </w:r>
    </w:p>
  </w:footnote>
  <w:footnote w:type="continuationSeparator" w:id="0">
    <w:p w14:paraId="74FF9BEC" w14:textId="77777777" w:rsidR="00393F03" w:rsidRDefault="00393F03" w:rsidP="00072BC8">
      <w:pPr>
        <w:spacing w:after="0" w:line="240" w:lineRule="auto"/>
      </w:pPr>
      <w:r>
        <w:continuationSeparator/>
      </w:r>
    </w:p>
  </w:footnote>
  <w:footnote w:id="1">
    <w:p w14:paraId="07DAD83E" w14:textId="77777777" w:rsidR="00393F03" w:rsidRPr="007A31A5" w:rsidRDefault="00393F03" w:rsidP="007A1007">
      <w:pPr>
        <w:pStyle w:val="Textonotapie"/>
        <w:jc w:val="both"/>
        <w:rPr>
          <w:rFonts w:ascii="ITC Avant Garde" w:hAnsi="ITC Avant Garde"/>
          <w:sz w:val="16"/>
          <w:szCs w:val="16"/>
        </w:rPr>
      </w:pPr>
      <w:r w:rsidRPr="007A31A5">
        <w:rPr>
          <w:rStyle w:val="Refdenotaalpie"/>
          <w:rFonts w:ascii="ITC Avant Garde" w:hAnsi="ITC Avant Garde"/>
          <w:sz w:val="16"/>
          <w:szCs w:val="16"/>
        </w:rPr>
        <w:footnoteRef/>
      </w:r>
      <w:r w:rsidRPr="007A31A5">
        <w:rPr>
          <w:rFonts w:ascii="ITC Avant Garde" w:hAnsi="ITC Avant Garde"/>
          <w:sz w:val="16"/>
          <w:szCs w:val="16"/>
        </w:rPr>
        <w:t xml:space="preserve"> Resolución por la que el Pleno de la Comisión Federal de Telecomunicaciones expide el Plan Técnico Fundamental de Interconexión e Interoperabilidad, publicada en el Diario oficial de la Federación el 10 de febrero de 2009.</w:t>
      </w:r>
    </w:p>
  </w:footnote>
  <w:footnote w:id="2">
    <w:p w14:paraId="0F04364D" w14:textId="77777777" w:rsidR="00393F03" w:rsidRPr="00C44EA4" w:rsidRDefault="00393F03" w:rsidP="00994085">
      <w:pPr>
        <w:pStyle w:val="Textonotapie"/>
        <w:jc w:val="both"/>
        <w:rPr>
          <w:rFonts w:ascii="ITC Avant Garde" w:hAnsi="ITC Avant Garde"/>
          <w:sz w:val="18"/>
          <w:szCs w:val="18"/>
          <w:lang w:val="es-MX"/>
        </w:rPr>
      </w:pPr>
      <w:r w:rsidRPr="00C44EA4">
        <w:rPr>
          <w:rStyle w:val="Refdenotaalpie"/>
          <w:rFonts w:ascii="ITC Avant Garde" w:hAnsi="ITC Avant Garde"/>
          <w:sz w:val="18"/>
          <w:szCs w:val="18"/>
        </w:rPr>
        <w:footnoteRef/>
      </w:r>
      <w:r w:rsidRPr="00C44EA4">
        <w:rPr>
          <w:rFonts w:ascii="ITC Avant Garde" w:hAnsi="ITC Avant Garde"/>
          <w:sz w:val="18"/>
          <w:szCs w:val="18"/>
        </w:rPr>
        <w:t xml:space="preserve"> </w:t>
      </w:r>
      <w:hyperlink r:id="rId1" w:tgtFrame="_popup" w:history="1">
        <w:r w:rsidRPr="00C44EA4">
          <w:rPr>
            <w:rFonts w:ascii="ITC Avant Garde" w:hAnsi="ITC Avant Garde" w:cs="Arial"/>
            <w:sz w:val="18"/>
            <w:szCs w:val="18"/>
            <w:u w:val="single"/>
            <w:lang w:eastAsia="es-MX"/>
          </w:rPr>
          <w:t>CONTRADICCIÓN DE TESIS 246/2011.</w:t>
        </w:r>
      </w:hyperlink>
      <w:r w:rsidRPr="00C44EA4">
        <w:rPr>
          <w:rFonts w:ascii="ITC Avant Garde" w:hAnsi="ITC Avant Garde" w:cs="Arial"/>
          <w:sz w:val="18"/>
          <w:szCs w:val="18"/>
          <w:lang w:eastAsia="es-MX"/>
        </w:rPr>
        <w:t xml:space="preserve"> Entre las sustentadas por el Tercer Tribunal Colegiado en Materia Civil del Tercer Circuito y el Primer Tribunal Colegiado del Décimo Segundo Circuito. 30 de noviembre de 2011. La votación se dividió en dos partes: mayoría de cuatro votos por lo que se refiere a la competencia. Disidente: José Ramón Cossío Díaz. Unanimidad de cinco votos en cuanto al fondo. Ponente: Guillermo I. Ortiz </w:t>
      </w:r>
      <w:proofErr w:type="spellStart"/>
      <w:r w:rsidRPr="00C44EA4">
        <w:rPr>
          <w:rFonts w:ascii="ITC Avant Garde" w:hAnsi="ITC Avant Garde" w:cs="Arial"/>
          <w:sz w:val="18"/>
          <w:szCs w:val="18"/>
          <w:lang w:eastAsia="es-MX"/>
        </w:rPr>
        <w:t>Mayagoitia</w:t>
      </w:r>
      <w:proofErr w:type="spellEnd"/>
      <w:r w:rsidRPr="00C44EA4">
        <w:rPr>
          <w:rFonts w:ascii="ITC Avant Garde" w:hAnsi="ITC Avant Garde" w:cs="Arial"/>
          <w:sz w:val="18"/>
          <w:szCs w:val="18"/>
          <w:lang w:eastAsia="es-MX"/>
        </w:rPr>
        <w:t>. Secretario: Óscar Vázquez Moreno.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82C36" w14:textId="77777777" w:rsidR="00393F03" w:rsidRDefault="00866C94">
    <w:pPr>
      <w:pStyle w:val="Encabezado"/>
    </w:pPr>
    <w:r>
      <w:rPr>
        <w:noProof/>
        <w:lang w:eastAsia="es-MX"/>
      </w:rPr>
      <w:pict w14:anchorId="35D52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B1A7D" w14:textId="77777777" w:rsidR="00393F03" w:rsidRDefault="00866C94">
    <w:pPr>
      <w:pStyle w:val="Encabezado"/>
    </w:pPr>
    <w:r>
      <w:rPr>
        <w:noProof/>
        <w:lang w:eastAsia="es-MX"/>
      </w:rPr>
      <w:pict w14:anchorId="4D118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6923AA"/>
    <w:multiLevelType w:val="hybridMultilevel"/>
    <w:tmpl w:val="44E8C89E"/>
    <w:lvl w:ilvl="0" w:tplc="B956A0A0">
      <w:start w:val="1"/>
      <w:numFmt w:val="lowerRoman"/>
      <w:lvlText w:val="%1."/>
      <w:lvlJc w:val="right"/>
      <w:pPr>
        <w:ind w:left="720" w:hanging="360"/>
      </w:pPr>
      <w:rPr>
        <w:b w:val="0"/>
        <w:lang w:val="es-MX"/>
      </w:rPr>
    </w:lvl>
    <w:lvl w:ilvl="1" w:tplc="A87AD21C">
      <w:start w:val="1"/>
      <w:numFmt w:val="upperLetter"/>
      <w:lvlText w:val="%2."/>
      <w:lvlJc w:val="left"/>
      <w:pPr>
        <w:ind w:left="1140" w:hanging="60"/>
      </w:pPr>
      <w:rPr>
        <w:rFonts w:hint="default"/>
      </w:rPr>
    </w:lvl>
    <w:lvl w:ilvl="2" w:tplc="F678EAEC">
      <w:start w:val="1"/>
      <w:numFmt w:val="decimal"/>
      <w:lvlText w:val="%3."/>
      <w:lvlJc w:val="left"/>
      <w:pPr>
        <w:ind w:left="2055" w:hanging="75"/>
      </w:pPr>
      <w:rPr>
        <w:rFonts w:eastAsia="Times New Roman"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0F7F25"/>
    <w:multiLevelType w:val="multilevel"/>
    <w:tmpl w:val="12DE14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31672D"/>
    <w:multiLevelType w:val="multilevel"/>
    <w:tmpl w:val="49FE056A"/>
    <w:lvl w:ilvl="0">
      <w:start w:val="1"/>
      <w:numFmt w:val="lowerRoman"/>
      <w:lvlText w:val="%1."/>
      <w:lvlJc w:val="right"/>
      <w:pPr>
        <w:ind w:left="360" w:hanging="360"/>
      </w:pPr>
      <w:rPr>
        <w:rFonts w:hint="default"/>
        <w:b/>
        <w:lang w:val="es-MX"/>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F64DA2"/>
    <w:multiLevelType w:val="hybridMultilevel"/>
    <w:tmpl w:val="F6A23076"/>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7" w15:restartNumberingAfterBreak="0">
    <w:nsid w:val="0F501EB4"/>
    <w:multiLevelType w:val="hybridMultilevel"/>
    <w:tmpl w:val="3CA03656"/>
    <w:lvl w:ilvl="0" w:tplc="B666EA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1A6F4C"/>
    <w:multiLevelType w:val="hybridMultilevel"/>
    <w:tmpl w:val="C52CA642"/>
    <w:lvl w:ilvl="0" w:tplc="B190524A">
      <w:start w:val="1"/>
      <w:numFmt w:val="lowerRoman"/>
      <w:lvlText w:val="%1."/>
      <w:lvlJc w:val="right"/>
      <w:pPr>
        <w:ind w:left="720" w:hanging="360"/>
      </w:pPr>
      <w:rPr>
        <w:b w:val="0"/>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1B4E9E"/>
    <w:multiLevelType w:val="hybridMultilevel"/>
    <w:tmpl w:val="BE0675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10D5D"/>
    <w:multiLevelType w:val="hybridMultilevel"/>
    <w:tmpl w:val="98F2F3A2"/>
    <w:lvl w:ilvl="0" w:tplc="54D018E0">
      <w:start w:val="1"/>
      <w:numFmt w:val="upperRoman"/>
      <w:lvlText w:val="%1."/>
      <w:lvlJc w:val="left"/>
      <w:pPr>
        <w:ind w:left="1080" w:hanging="72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2A54AF"/>
    <w:multiLevelType w:val="hybridMultilevel"/>
    <w:tmpl w:val="FEB02A6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8431E5"/>
    <w:multiLevelType w:val="hybridMultilevel"/>
    <w:tmpl w:val="5164BECC"/>
    <w:lvl w:ilvl="0" w:tplc="1942765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5" w15:restartNumberingAfterBreak="0">
    <w:nsid w:val="1E2061D1"/>
    <w:multiLevelType w:val="hybridMultilevel"/>
    <w:tmpl w:val="56CEB20E"/>
    <w:lvl w:ilvl="0" w:tplc="75FA6340">
      <w:start w:val="1"/>
      <w:numFmt w:val="bullet"/>
      <w:lvlText w:val="»"/>
      <w:lvlJc w:val="left"/>
      <w:pPr>
        <w:ind w:left="1429" w:hanging="360"/>
      </w:pPr>
      <w:rPr>
        <w:rFonts w:ascii="Segoe UI Symbol" w:hAnsi="Segoe UI 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1F0E147C"/>
    <w:multiLevelType w:val="hybridMultilevel"/>
    <w:tmpl w:val="3D22C01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B4303C"/>
    <w:multiLevelType w:val="hybridMultilevel"/>
    <w:tmpl w:val="0686A51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D90B11"/>
    <w:multiLevelType w:val="multilevel"/>
    <w:tmpl w:val="21B6B02C"/>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20" w15:restartNumberingAfterBreak="0">
    <w:nsid w:val="2D1C386E"/>
    <w:multiLevelType w:val="hybridMultilevel"/>
    <w:tmpl w:val="F2509FE8"/>
    <w:lvl w:ilvl="0" w:tplc="B666EA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F4F890A8">
      <w:start w:val="1"/>
      <w:numFmt w:val="decimal"/>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D8D2AAB"/>
    <w:multiLevelType w:val="hybridMultilevel"/>
    <w:tmpl w:val="C52CA642"/>
    <w:lvl w:ilvl="0" w:tplc="B190524A">
      <w:start w:val="1"/>
      <w:numFmt w:val="lowerRoman"/>
      <w:lvlText w:val="%1."/>
      <w:lvlJc w:val="right"/>
      <w:pPr>
        <w:ind w:left="720" w:hanging="360"/>
      </w:pPr>
      <w:rPr>
        <w:b w:val="0"/>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E2A4BF8"/>
    <w:multiLevelType w:val="hybridMultilevel"/>
    <w:tmpl w:val="FE5A4A0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4" w15:restartNumberingAfterBreak="0">
    <w:nsid w:val="2FE80AD2"/>
    <w:multiLevelType w:val="hybridMultilevel"/>
    <w:tmpl w:val="5E9E5710"/>
    <w:lvl w:ilvl="0" w:tplc="E2D4A2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900672"/>
    <w:multiLevelType w:val="multilevel"/>
    <w:tmpl w:val="EC04D5B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7992CE9"/>
    <w:multiLevelType w:val="hybridMultilevel"/>
    <w:tmpl w:val="DF92A604"/>
    <w:lvl w:ilvl="0" w:tplc="8EB06D18">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0B1122B"/>
    <w:multiLevelType w:val="multilevel"/>
    <w:tmpl w:val="1CEAC386"/>
    <w:lvl w:ilvl="0">
      <w:start w:val="1"/>
      <w:numFmt w:val="lowerRoman"/>
      <w:lvlText w:val="%1."/>
      <w:lvlJc w:val="right"/>
      <w:pPr>
        <w:ind w:left="360" w:hanging="360"/>
      </w:pPr>
      <w:rPr>
        <w:rFonts w:hint="default"/>
        <w:b/>
        <w:lang w:val="es-MX"/>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1A1116D"/>
    <w:multiLevelType w:val="hybridMultilevel"/>
    <w:tmpl w:val="A23668D8"/>
    <w:lvl w:ilvl="0" w:tplc="E2D4A2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26B3744"/>
    <w:multiLevelType w:val="hybridMultilevel"/>
    <w:tmpl w:val="6BE0031A"/>
    <w:lvl w:ilvl="0" w:tplc="080A0015">
      <w:start w:val="1"/>
      <w:numFmt w:val="upperLetter"/>
      <w:lvlText w:val="%1."/>
      <w:lvlJc w:val="left"/>
      <w:pPr>
        <w:ind w:left="720" w:hanging="360"/>
      </w:p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8885844"/>
    <w:multiLevelType w:val="hybridMultilevel"/>
    <w:tmpl w:val="FDF42298"/>
    <w:lvl w:ilvl="0" w:tplc="E5C2D7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8FE0A13"/>
    <w:multiLevelType w:val="hybridMultilevel"/>
    <w:tmpl w:val="BC964556"/>
    <w:lvl w:ilvl="0" w:tplc="E13AEF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FD574B7"/>
    <w:multiLevelType w:val="hybridMultilevel"/>
    <w:tmpl w:val="F1A4AC26"/>
    <w:lvl w:ilvl="0" w:tplc="CBAABB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57547B65"/>
    <w:multiLevelType w:val="hybridMultilevel"/>
    <w:tmpl w:val="85126EA0"/>
    <w:lvl w:ilvl="0" w:tplc="E2D4A2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4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05226B"/>
    <w:multiLevelType w:val="hybridMultilevel"/>
    <w:tmpl w:val="B462A1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1EC5D35"/>
    <w:multiLevelType w:val="hybridMultilevel"/>
    <w:tmpl w:val="15D6241E"/>
    <w:lvl w:ilvl="0" w:tplc="AE9AD3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5471AAA"/>
    <w:multiLevelType w:val="hybridMultilevel"/>
    <w:tmpl w:val="CC7C5290"/>
    <w:lvl w:ilvl="0" w:tplc="B956A0A0">
      <w:start w:val="1"/>
      <w:numFmt w:val="lowerRoman"/>
      <w:lvlText w:val="%1."/>
      <w:lvlJc w:val="right"/>
      <w:pPr>
        <w:ind w:left="720" w:hanging="360"/>
      </w:pPr>
      <w:rPr>
        <w:b w:val="0"/>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491E56"/>
    <w:multiLevelType w:val="hybridMultilevel"/>
    <w:tmpl w:val="69822ED8"/>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7FB5F61"/>
    <w:multiLevelType w:val="hybridMultilevel"/>
    <w:tmpl w:val="FF805CE2"/>
    <w:lvl w:ilvl="0" w:tplc="0A188804">
      <w:start w:val="1"/>
      <w:numFmt w:val="upperLetter"/>
      <w:lvlText w:val="%1."/>
      <w:lvlJc w:val="left"/>
      <w:pPr>
        <w:ind w:left="720" w:hanging="360"/>
      </w:pPr>
      <w:rPr>
        <w:rFonts w:hint="default"/>
        <w:b/>
      </w:rPr>
    </w:lvl>
    <w:lvl w:ilvl="1" w:tplc="0A188804">
      <w:start w:val="1"/>
      <w:numFmt w:val="upp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EE47B51"/>
    <w:multiLevelType w:val="hybridMultilevel"/>
    <w:tmpl w:val="1126340E"/>
    <w:lvl w:ilvl="0" w:tplc="56C6816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1" w15:restartNumberingAfterBreak="0">
    <w:nsid w:val="79A3272C"/>
    <w:multiLevelType w:val="hybridMultilevel"/>
    <w:tmpl w:val="CC7C5290"/>
    <w:lvl w:ilvl="0" w:tplc="B956A0A0">
      <w:start w:val="1"/>
      <w:numFmt w:val="lowerRoman"/>
      <w:lvlText w:val="%1."/>
      <w:lvlJc w:val="right"/>
      <w:pPr>
        <w:ind w:left="720" w:hanging="360"/>
      </w:pPr>
      <w:rPr>
        <w:b w:val="0"/>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B45676E"/>
    <w:multiLevelType w:val="hybridMultilevel"/>
    <w:tmpl w:val="1126340E"/>
    <w:lvl w:ilvl="0" w:tplc="56C6816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7B525081"/>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D9C22B9"/>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55" w15:restartNumberingAfterBreak="0">
    <w:nsid w:val="7FD55746"/>
    <w:multiLevelType w:val="hybridMultilevel"/>
    <w:tmpl w:val="E648F5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40"/>
  </w:num>
  <w:num w:numId="2">
    <w:abstractNumId w:val="23"/>
  </w:num>
  <w:num w:numId="3">
    <w:abstractNumId w:val="42"/>
  </w:num>
  <w:num w:numId="4">
    <w:abstractNumId w:val="0"/>
  </w:num>
  <w:num w:numId="5">
    <w:abstractNumId w:val="1"/>
  </w:num>
  <w:num w:numId="6">
    <w:abstractNumId w:val="33"/>
  </w:num>
  <w:num w:numId="7">
    <w:abstractNumId w:val="27"/>
  </w:num>
  <w:num w:numId="8">
    <w:abstractNumId w:val="39"/>
  </w:num>
  <w:num w:numId="9">
    <w:abstractNumId w:val="14"/>
  </w:num>
  <w:num w:numId="10">
    <w:abstractNumId w:val="30"/>
  </w:num>
  <w:num w:numId="11">
    <w:abstractNumId w:val="11"/>
  </w:num>
  <w:num w:numId="12">
    <w:abstractNumId w:val="43"/>
  </w:num>
  <w:num w:numId="13">
    <w:abstractNumId w:val="46"/>
  </w:num>
  <w:num w:numId="14">
    <w:abstractNumId w:val="32"/>
  </w:num>
  <w:num w:numId="15">
    <w:abstractNumId w:val="17"/>
  </w:num>
  <w:num w:numId="16">
    <w:abstractNumId w:val="29"/>
  </w:num>
  <w:num w:numId="17">
    <w:abstractNumId w:val="28"/>
  </w:num>
  <w:num w:numId="18">
    <w:abstractNumId w:val="50"/>
  </w:num>
  <w:num w:numId="19">
    <w:abstractNumId w:val="53"/>
  </w:num>
  <w:num w:numId="20">
    <w:abstractNumId w:val="48"/>
  </w:num>
  <w:num w:numId="21">
    <w:abstractNumId w:val="18"/>
  </w:num>
  <w:num w:numId="22">
    <w:abstractNumId w:val="13"/>
  </w:num>
  <w:num w:numId="23">
    <w:abstractNumId w:val="10"/>
  </w:num>
  <w:num w:numId="24">
    <w:abstractNumId w:val="37"/>
  </w:num>
  <w:num w:numId="25">
    <w:abstractNumId w:val="36"/>
  </w:num>
  <w:num w:numId="26">
    <w:abstractNumId w:val="26"/>
  </w:num>
  <w:num w:numId="27">
    <w:abstractNumId w:val="15"/>
  </w:num>
  <w:num w:numId="28">
    <w:abstractNumId w:val="12"/>
  </w:num>
  <w:num w:numId="29">
    <w:abstractNumId w:val="38"/>
  </w:num>
  <w:num w:numId="30">
    <w:abstractNumId w:val="31"/>
  </w:num>
  <w:num w:numId="31">
    <w:abstractNumId w:val="5"/>
  </w:num>
  <w:num w:numId="32">
    <w:abstractNumId w:val="21"/>
  </w:num>
  <w:num w:numId="33">
    <w:abstractNumId w:val="45"/>
  </w:num>
  <w:num w:numId="34">
    <w:abstractNumId w:val="35"/>
  </w:num>
  <w:num w:numId="35">
    <w:abstractNumId w:val="4"/>
  </w:num>
  <w:num w:numId="36">
    <w:abstractNumId w:val="22"/>
  </w:num>
  <w:num w:numId="37">
    <w:abstractNumId w:val="47"/>
  </w:num>
  <w:num w:numId="38">
    <w:abstractNumId w:val="9"/>
  </w:num>
  <w:num w:numId="39">
    <w:abstractNumId w:val="54"/>
  </w:num>
  <w:num w:numId="40">
    <w:abstractNumId w:val="3"/>
  </w:num>
  <w:num w:numId="41">
    <w:abstractNumId w:val="16"/>
  </w:num>
  <w:num w:numId="42">
    <w:abstractNumId w:val="6"/>
  </w:num>
  <w:num w:numId="43">
    <w:abstractNumId w:val="19"/>
  </w:num>
  <w:num w:numId="44">
    <w:abstractNumId w:val="55"/>
  </w:num>
  <w:num w:numId="45">
    <w:abstractNumId w:val="44"/>
  </w:num>
  <w:num w:numId="46">
    <w:abstractNumId w:val="34"/>
  </w:num>
  <w:num w:numId="47">
    <w:abstractNumId w:val="8"/>
  </w:num>
  <w:num w:numId="48">
    <w:abstractNumId w:val="41"/>
  </w:num>
  <w:num w:numId="49">
    <w:abstractNumId w:val="24"/>
  </w:num>
  <w:num w:numId="50">
    <w:abstractNumId w:val="51"/>
  </w:num>
  <w:num w:numId="51">
    <w:abstractNumId w:val="25"/>
  </w:num>
  <w:num w:numId="52">
    <w:abstractNumId w:val="2"/>
  </w:num>
  <w:num w:numId="53">
    <w:abstractNumId w:val="49"/>
  </w:num>
  <w:num w:numId="54">
    <w:abstractNumId w:val="52"/>
  </w:num>
  <w:num w:numId="55">
    <w:abstractNumId w:val="7"/>
  </w:num>
  <w:num w:numId="56">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36B5"/>
    <w:rsid w:val="00004CF8"/>
    <w:rsid w:val="00005A46"/>
    <w:rsid w:val="00011447"/>
    <w:rsid w:val="00011561"/>
    <w:rsid w:val="00011680"/>
    <w:rsid w:val="000154B0"/>
    <w:rsid w:val="00017BAA"/>
    <w:rsid w:val="00020418"/>
    <w:rsid w:val="000205C9"/>
    <w:rsid w:val="00021BAD"/>
    <w:rsid w:val="00021C46"/>
    <w:rsid w:val="00022177"/>
    <w:rsid w:val="00023013"/>
    <w:rsid w:val="0002445D"/>
    <w:rsid w:val="00024781"/>
    <w:rsid w:val="000247C4"/>
    <w:rsid w:val="00025E0A"/>
    <w:rsid w:val="000322B0"/>
    <w:rsid w:val="000336F8"/>
    <w:rsid w:val="00033BE9"/>
    <w:rsid w:val="0003511F"/>
    <w:rsid w:val="000358CA"/>
    <w:rsid w:val="000377C2"/>
    <w:rsid w:val="000377CB"/>
    <w:rsid w:val="00037AD4"/>
    <w:rsid w:val="000414D2"/>
    <w:rsid w:val="00041B8A"/>
    <w:rsid w:val="00042E7E"/>
    <w:rsid w:val="00043036"/>
    <w:rsid w:val="00044BB8"/>
    <w:rsid w:val="000477FB"/>
    <w:rsid w:val="00047986"/>
    <w:rsid w:val="00047DA4"/>
    <w:rsid w:val="00052044"/>
    <w:rsid w:val="0005360A"/>
    <w:rsid w:val="00054146"/>
    <w:rsid w:val="00054805"/>
    <w:rsid w:val="000553A7"/>
    <w:rsid w:val="0005576C"/>
    <w:rsid w:val="00057A2A"/>
    <w:rsid w:val="00060D36"/>
    <w:rsid w:val="00063820"/>
    <w:rsid w:val="000638CF"/>
    <w:rsid w:val="00063F9C"/>
    <w:rsid w:val="00066871"/>
    <w:rsid w:val="00067018"/>
    <w:rsid w:val="00071002"/>
    <w:rsid w:val="000718F8"/>
    <w:rsid w:val="000720EE"/>
    <w:rsid w:val="00072BC8"/>
    <w:rsid w:val="00072ED0"/>
    <w:rsid w:val="00073DDC"/>
    <w:rsid w:val="00074558"/>
    <w:rsid w:val="0007607F"/>
    <w:rsid w:val="0007621B"/>
    <w:rsid w:val="00076577"/>
    <w:rsid w:val="00081068"/>
    <w:rsid w:val="00081503"/>
    <w:rsid w:val="00081B80"/>
    <w:rsid w:val="00081CFB"/>
    <w:rsid w:val="00083396"/>
    <w:rsid w:val="00083ECA"/>
    <w:rsid w:val="00084B29"/>
    <w:rsid w:val="00084EE6"/>
    <w:rsid w:val="00085ED0"/>
    <w:rsid w:val="00087CAE"/>
    <w:rsid w:val="00087E0C"/>
    <w:rsid w:val="00090096"/>
    <w:rsid w:val="000901D2"/>
    <w:rsid w:val="00091012"/>
    <w:rsid w:val="00092A24"/>
    <w:rsid w:val="000937E4"/>
    <w:rsid w:val="00094E76"/>
    <w:rsid w:val="00096D65"/>
    <w:rsid w:val="00096FE1"/>
    <w:rsid w:val="00097822"/>
    <w:rsid w:val="000978F0"/>
    <w:rsid w:val="00097FCE"/>
    <w:rsid w:val="000A03B1"/>
    <w:rsid w:val="000A05E5"/>
    <w:rsid w:val="000A0E6D"/>
    <w:rsid w:val="000A166C"/>
    <w:rsid w:val="000A2091"/>
    <w:rsid w:val="000A22EB"/>
    <w:rsid w:val="000A2AF8"/>
    <w:rsid w:val="000A4589"/>
    <w:rsid w:val="000A50DB"/>
    <w:rsid w:val="000A5E4A"/>
    <w:rsid w:val="000A77B9"/>
    <w:rsid w:val="000A7B72"/>
    <w:rsid w:val="000A7D62"/>
    <w:rsid w:val="000B0DC1"/>
    <w:rsid w:val="000B1981"/>
    <w:rsid w:val="000B334C"/>
    <w:rsid w:val="000B35DB"/>
    <w:rsid w:val="000B3735"/>
    <w:rsid w:val="000B4852"/>
    <w:rsid w:val="000B48AE"/>
    <w:rsid w:val="000B6473"/>
    <w:rsid w:val="000B6B31"/>
    <w:rsid w:val="000B6B78"/>
    <w:rsid w:val="000B7FC8"/>
    <w:rsid w:val="000C19AB"/>
    <w:rsid w:val="000C1F38"/>
    <w:rsid w:val="000C27E7"/>
    <w:rsid w:val="000C2CF4"/>
    <w:rsid w:val="000C324D"/>
    <w:rsid w:val="000C3F9A"/>
    <w:rsid w:val="000C4877"/>
    <w:rsid w:val="000C4A6B"/>
    <w:rsid w:val="000C4D79"/>
    <w:rsid w:val="000C539F"/>
    <w:rsid w:val="000C5456"/>
    <w:rsid w:val="000C6697"/>
    <w:rsid w:val="000C6FC6"/>
    <w:rsid w:val="000C79DF"/>
    <w:rsid w:val="000D04CA"/>
    <w:rsid w:val="000D063B"/>
    <w:rsid w:val="000D0953"/>
    <w:rsid w:val="000D140A"/>
    <w:rsid w:val="000D1A16"/>
    <w:rsid w:val="000D1C22"/>
    <w:rsid w:val="000D30C6"/>
    <w:rsid w:val="000D4A3A"/>
    <w:rsid w:val="000D579A"/>
    <w:rsid w:val="000D6A88"/>
    <w:rsid w:val="000D6F52"/>
    <w:rsid w:val="000E13B9"/>
    <w:rsid w:val="000E2BD4"/>
    <w:rsid w:val="000E305E"/>
    <w:rsid w:val="000E4C0A"/>
    <w:rsid w:val="000E6467"/>
    <w:rsid w:val="000E661E"/>
    <w:rsid w:val="000E6A28"/>
    <w:rsid w:val="000E6DA8"/>
    <w:rsid w:val="000E6F53"/>
    <w:rsid w:val="000F144E"/>
    <w:rsid w:val="000F1509"/>
    <w:rsid w:val="000F21AB"/>
    <w:rsid w:val="000F2B01"/>
    <w:rsid w:val="000F3AAC"/>
    <w:rsid w:val="000F4101"/>
    <w:rsid w:val="000F48B3"/>
    <w:rsid w:val="000F5BEC"/>
    <w:rsid w:val="00101EDA"/>
    <w:rsid w:val="00102C7D"/>
    <w:rsid w:val="001034E2"/>
    <w:rsid w:val="00104C74"/>
    <w:rsid w:val="0010524D"/>
    <w:rsid w:val="001059F0"/>
    <w:rsid w:val="00106523"/>
    <w:rsid w:val="00107A7F"/>
    <w:rsid w:val="001100CF"/>
    <w:rsid w:val="0011030F"/>
    <w:rsid w:val="00111434"/>
    <w:rsid w:val="001120B4"/>
    <w:rsid w:val="00112824"/>
    <w:rsid w:val="0011309A"/>
    <w:rsid w:val="00113106"/>
    <w:rsid w:val="00113E2E"/>
    <w:rsid w:val="00113F5F"/>
    <w:rsid w:val="00116976"/>
    <w:rsid w:val="00116D89"/>
    <w:rsid w:val="001175D7"/>
    <w:rsid w:val="001207ED"/>
    <w:rsid w:val="00120922"/>
    <w:rsid w:val="00120E4C"/>
    <w:rsid w:val="00121E8F"/>
    <w:rsid w:val="001226C1"/>
    <w:rsid w:val="0012304B"/>
    <w:rsid w:val="00124A7C"/>
    <w:rsid w:val="00125061"/>
    <w:rsid w:val="00125F77"/>
    <w:rsid w:val="001272DB"/>
    <w:rsid w:val="00127EB9"/>
    <w:rsid w:val="001305D6"/>
    <w:rsid w:val="001318C4"/>
    <w:rsid w:val="001327CC"/>
    <w:rsid w:val="00132D70"/>
    <w:rsid w:val="001335BC"/>
    <w:rsid w:val="00133CDF"/>
    <w:rsid w:val="00134023"/>
    <w:rsid w:val="0013466E"/>
    <w:rsid w:val="0013473E"/>
    <w:rsid w:val="00140646"/>
    <w:rsid w:val="00140E59"/>
    <w:rsid w:val="0014228B"/>
    <w:rsid w:val="0014251D"/>
    <w:rsid w:val="00144A30"/>
    <w:rsid w:val="00144D4A"/>
    <w:rsid w:val="00147AF2"/>
    <w:rsid w:val="00147E33"/>
    <w:rsid w:val="00150A05"/>
    <w:rsid w:val="001514AC"/>
    <w:rsid w:val="00153C43"/>
    <w:rsid w:val="00153C44"/>
    <w:rsid w:val="00153FA4"/>
    <w:rsid w:val="00154F47"/>
    <w:rsid w:val="001566D4"/>
    <w:rsid w:val="0015727F"/>
    <w:rsid w:val="00157344"/>
    <w:rsid w:val="00157BBE"/>
    <w:rsid w:val="0016055A"/>
    <w:rsid w:val="00160FBA"/>
    <w:rsid w:val="0016331C"/>
    <w:rsid w:val="00163E8A"/>
    <w:rsid w:val="001659E6"/>
    <w:rsid w:val="00165C00"/>
    <w:rsid w:val="00166B05"/>
    <w:rsid w:val="00170029"/>
    <w:rsid w:val="001709BB"/>
    <w:rsid w:val="00172834"/>
    <w:rsid w:val="001755FC"/>
    <w:rsid w:val="00175EFA"/>
    <w:rsid w:val="00175F83"/>
    <w:rsid w:val="00176C9C"/>
    <w:rsid w:val="00176F5F"/>
    <w:rsid w:val="00180852"/>
    <w:rsid w:val="00180DC3"/>
    <w:rsid w:val="00180E35"/>
    <w:rsid w:val="00180E62"/>
    <w:rsid w:val="001813C5"/>
    <w:rsid w:val="001816B7"/>
    <w:rsid w:val="001818E5"/>
    <w:rsid w:val="001829CE"/>
    <w:rsid w:val="001840B6"/>
    <w:rsid w:val="00185213"/>
    <w:rsid w:val="00186CD7"/>
    <w:rsid w:val="001927D9"/>
    <w:rsid w:val="00192850"/>
    <w:rsid w:val="0019438F"/>
    <w:rsid w:val="0019449A"/>
    <w:rsid w:val="00195DC5"/>
    <w:rsid w:val="001960F0"/>
    <w:rsid w:val="0019628E"/>
    <w:rsid w:val="00196509"/>
    <w:rsid w:val="0019711D"/>
    <w:rsid w:val="00197EA5"/>
    <w:rsid w:val="001A3875"/>
    <w:rsid w:val="001A48DD"/>
    <w:rsid w:val="001A4C2D"/>
    <w:rsid w:val="001A604E"/>
    <w:rsid w:val="001A694E"/>
    <w:rsid w:val="001A7B3A"/>
    <w:rsid w:val="001A7F98"/>
    <w:rsid w:val="001B130F"/>
    <w:rsid w:val="001B28ED"/>
    <w:rsid w:val="001B33C4"/>
    <w:rsid w:val="001B395D"/>
    <w:rsid w:val="001B48C1"/>
    <w:rsid w:val="001B58A1"/>
    <w:rsid w:val="001B5FD7"/>
    <w:rsid w:val="001B6768"/>
    <w:rsid w:val="001B67EF"/>
    <w:rsid w:val="001C020F"/>
    <w:rsid w:val="001C10FE"/>
    <w:rsid w:val="001C5A3B"/>
    <w:rsid w:val="001C5A91"/>
    <w:rsid w:val="001C6470"/>
    <w:rsid w:val="001C756D"/>
    <w:rsid w:val="001C77DD"/>
    <w:rsid w:val="001D0589"/>
    <w:rsid w:val="001D0D90"/>
    <w:rsid w:val="001D169C"/>
    <w:rsid w:val="001D2FA2"/>
    <w:rsid w:val="001D5838"/>
    <w:rsid w:val="001E0251"/>
    <w:rsid w:val="001E1D9E"/>
    <w:rsid w:val="001E22C2"/>
    <w:rsid w:val="001E3033"/>
    <w:rsid w:val="001E3BB1"/>
    <w:rsid w:val="001E3E45"/>
    <w:rsid w:val="001E7E17"/>
    <w:rsid w:val="001F0A33"/>
    <w:rsid w:val="001F0BB0"/>
    <w:rsid w:val="001F113D"/>
    <w:rsid w:val="001F2D22"/>
    <w:rsid w:val="001F2F07"/>
    <w:rsid w:val="001F325B"/>
    <w:rsid w:val="001F3BC9"/>
    <w:rsid w:val="001F45DE"/>
    <w:rsid w:val="001F6834"/>
    <w:rsid w:val="001F75D3"/>
    <w:rsid w:val="002007A5"/>
    <w:rsid w:val="00200D1A"/>
    <w:rsid w:val="00201211"/>
    <w:rsid w:val="002012FB"/>
    <w:rsid w:val="002032A7"/>
    <w:rsid w:val="00204F43"/>
    <w:rsid w:val="0020508C"/>
    <w:rsid w:val="00206B24"/>
    <w:rsid w:val="00207BF8"/>
    <w:rsid w:val="00207FD9"/>
    <w:rsid w:val="0021053A"/>
    <w:rsid w:val="00210F73"/>
    <w:rsid w:val="00211091"/>
    <w:rsid w:val="002114BF"/>
    <w:rsid w:val="00214D9A"/>
    <w:rsid w:val="00215C44"/>
    <w:rsid w:val="00217CF8"/>
    <w:rsid w:val="00220B22"/>
    <w:rsid w:val="0022183B"/>
    <w:rsid w:val="00223B93"/>
    <w:rsid w:val="0022460D"/>
    <w:rsid w:val="0022730A"/>
    <w:rsid w:val="00231937"/>
    <w:rsid w:val="002325C3"/>
    <w:rsid w:val="0023288D"/>
    <w:rsid w:val="00233F5F"/>
    <w:rsid w:val="0023674E"/>
    <w:rsid w:val="00236930"/>
    <w:rsid w:val="0023752B"/>
    <w:rsid w:val="00237FC1"/>
    <w:rsid w:val="00240818"/>
    <w:rsid w:val="00242910"/>
    <w:rsid w:val="00242E29"/>
    <w:rsid w:val="0024309D"/>
    <w:rsid w:val="00243B12"/>
    <w:rsid w:val="00243B5A"/>
    <w:rsid w:val="00244F4B"/>
    <w:rsid w:val="0024629F"/>
    <w:rsid w:val="0024694D"/>
    <w:rsid w:val="00246EFF"/>
    <w:rsid w:val="0024728A"/>
    <w:rsid w:val="0024736F"/>
    <w:rsid w:val="00250617"/>
    <w:rsid w:val="0025109B"/>
    <w:rsid w:val="0025284C"/>
    <w:rsid w:val="002530DF"/>
    <w:rsid w:val="00253CD6"/>
    <w:rsid w:val="00253E94"/>
    <w:rsid w:val="00254946"/>
    <w:rsid w:val="002626DD"/>
    <w:rsid w:val="00263859"/>
    <w:rsid w:val="00263B78"/>
    <w:rsid w:val="002659C5"/>
    <w:rsid w:val="00266493"/>
    <w:rsid w:val="002679D7"/>
    <w:rsid w:val="00270595"/>
    <w:rsid w:val="0027109A"/>
    <w:rsid w:val="002725B6"/>
    <w:rsid w:val="00272721"/>
    <w:rsid w:val="00272B28"/>
    <w:rsid w:val="00273212"/>
    <w:rsid w:val="00274FF4"/>
    <w:rsid w:val="00275284"/>
    <w:rsid w:val="00275EE5"/>
    <w:rsid w:val="002803B3"/>
    <w:rsid w:val="00280F43"/>
    <w:rsid w:val="00281965"/>
    <w:rsid w:val="00281A83"/>
    <w:rsid w:val="00282030"/>
    <w:rsid w:val="00282DC3"/>
    <w:rsid w:val="0028363B"/>
    <w:rsid w:val="00285020"/>
    <w:rsid w:val="002876F7"/>
    <w:rsid w:val="0029172A"/>
    <w:rsid w:val="0029198D"/>
    <w:rsid w:val="00291D55"/>
    <w:rsid w:val="002920C0"/>
    <w:rsid w:val="002928F6"/>
    <w:rsid w:val="00292B77"/>
    <w:rsid w:val="00293D63"/>
    <w:rsid w:val="00294CD4"/>
    <w:rsid w:val="002960C7"/>
    <w:rsid w:val="002974D0"/>
    <w:rsid w:val="0029760C"/>
    <w:rsid w:val="002A00D3"/>
    <w:rsid w:val="002A3189"/>
    <w:rsid w:val="002A489F"/>
    <w:rsid w:val="002A495A"/>
    <w:rsid w:val="002A4EAD"/>
    <w:rsid w:val="002A5006"/>
    <w:rsid w:val="002A7A43"/>
    <w:rsid w:val="002B0E97"/>
    <w:rsid w:val="002B20B2"/>
    <w:rsid w:val="002B2F19"/>
    <w:rsid w:val="002B32CE"/>
    <w:rsid w:val="002B3B55"/>
    <w:rsid w:val="002B4382"/>
    <w:rsid w:val="002B4E40"/>
    <w:rsid w:val="002B538E"/>
    <w:rsid w:val="002B543F"/>
    <w:rsid w:val="002B711E"/>
    <w:rsid w:val="002C05D5"/>
    <w:rsid w:val="002C12B0"/>
    <w:rsid w:val="002C171F"/>
    <w:rsid w:val="002C21CB"/>
    <w:rsid w:val="002C2BC0"/>
    <w:rsid w:val="002C2FF8"/>
    <w:rsid w:val="002C50F4"/>
    <w:rsid w:val="002D19E5"/>
    <w:rsid w:val="002D1D4B"/>
    <w:rsid w:val="002D2EF5"/>
    <w:rsid w:val="002D4C98"/>
    <w:rsid w:val="002D6EE1"/>
    <w:rsid w:val="002D6EFB"/>
    <w:rsid w:val="002D7427"/>
    <w:rsid w:val="002D76CA"/>
    <w:rsid w:val="002D7FBC"/>
    <w:rsid w:val="002E015C"/>
    <w:rsid w:val="002E0CFE"/>
    <w:rsid w:val="002E1682"/>
    <w:rsid w:val="002E370B"/>
    <w:rsid w:val="002E45CC"/>
    <w:rsid w:val="002E50E7"/>
    <w:rsid w:val="002E6B97"/>
    <w:rsid w:val="002E71F1"/>
    <w:rsid w:val="002E7677"/>
    <w:rsid w:val="002F009A"/>
    <w:rsid w:val="002F01FB"/>
    <w:rsid w:val="002F0895"/>
    <w:rsid w:val="002F1D3A"/>
    <w:rsid w:val="002F22DC"/>
    <w:rsid w:val="002F3127"/>
    <w:rsid w:val="002F3BC8"/>
    <w:rsid w:val="002F5A11"/>
    <w:rsid w:val="002F738E"/>
    <w:rsid w:val="003008EF"/>
    <w:rsid w:val="00302363"/>
    <w:rsid w:val="003031D9"/>
    <w:rsid w:val="003042B7"/>
    <w:rsid w:val="00305B3A"/>
    <w:rsid w:val="00306567"/>
    <w:rsid w:val="003073EE"/>
    <w:rsid w:val="00307639"/>
    <w:rsid w:val="00307F97"/>
    <w:rsid w:val="00310933"/>
    <w:rsid w:val="00311A21"/>
    <w:rsid w:val="0031277B"/>
    <w:rsid w:val="00313E5E"/>
    <w:rsid w:val="003152E2"/>
    <w:rsid w:val="00315919"/>
    <w:rsid w:val="00316CA2"/>
    <w:rsid w:val="003175D7"/>
    <w:rsid w:val="00320359"/>
    <w:rsid w:val="00321C60"/>
    <w:rsid w:val="00321CAA"/>
    <w:rsid w:val="00322371"/>
    <w:rsid w:val="0032280B"/>
    <w:rsid w:val="00323B87"/>
    <w:rsid w:val="00330A35"/>
    <w:rsid w:val="00331467"/>
    <w:rsid w:val="00332C00"/>
    <w:rsid w:val="0033340C"/>
    <w:rsid w:val="00334A78"/>
    <w:rsid w:val="00336DC1"/>
    <w:rsid w:val="00336E00"/>
    <w:rsid w:val="00340126"/>
    <w:rsid w:val="003407A1"/>
    <w:rsid w:val="00343316"/>
    <w:rsid w:val="003471D2"/>
    <w:rsid w:val="00351B83"/>
    <w:rsid w:val="00352302"/>
    <w:rsid w:val="00353A56"/>
    <w:rsid w:val="0035405F"/>
    <w:rsid w:val="00356263"/>
    <w:rsid w:val="003577A5"/>
    <w:rsid w:val="00357952"/>
    <w:rsid w:val="00360A82"/>
    <w:rsid w:val="00360FFA"/>
    <w:rsid w:val="00361031"/>
    <w:rsid w:val="00361168"/>
    <w:rsid w:val="00361CDC"/>
    <w:rsid w:val="00363208"/>
    <w:rsid w:val="00364E92"/>
    <w:rsid w:val="00365A3C"/>
    <w:rsid w:val="00367B4C"/>
    <w:rsid w:val="00370258"/>
    <w:rsid w:val="00370542"/>
    <w:rsid w:val="00370F9A"/>
    <w:rsid w:val="003719BA"/>
    <w:rsid w:val="00373118"/>
    <w:rsid w:val="00373D57"/>
    <w:rsid w:val="00374E10"/>
    <w:rsid w:val="003758CC"/>
    <w:rsid w:val="00376BF1"/>
    <w:rsid w:val="00383334"/>
    <w:rsid w:val="0038359B"/>
    <w:rsid w:val="00384051"/>
    <w:rsid w:val="00385515"/>
    <w:rsid w:val="00385C0C"/>
    <w:rsid w:val="00390026"/>
    <w:rsid w:val="00390CDA"/>
    <w:rsid w:val="0039193D"/>
    <w:rsid w:val="003930A5"/>
    <w:rsid w:val="003939FF"/>
    <w:rsid w:val="00393F03"/>
    <w:rsid w:val="00394255"/>
    <w:rsid w:val="0039446C"/>
    <w:rsid w:val="00394A6D"/>
    <w:rsid w:val="003A0616"/>
    <w:rsid w:val="003A1489"/>
    <w:rsid w:val="003A1BA9"/>
    <w:rsid w:val="003A1D21"/>
    <w:rsid w:val="003A2FA7"/>
    <w:rsid w:val="003A3125"/>
    <w:rsid w:val="003A3264"/>
    <w:rsid w:val="003A3C8A"/>
    <w:rsid w:val="003A49C5"/>
    <w:rsid w:val="003A5479"/>
    <w:rsid w:val="003A5C87"/>
    <w:rsid w:val="003A7B99"/>
    <w:rsid w:val="003A7FE8"/>
    <w:rsid w:val="003B083D"/>
    <w:rsid w:val="003B0DCD"/>
    <w:rsid w:val="003B2065"/>
    <w:rsid w:val="003B3180"/>
    <w:rsid w:val="003B3FCD"/>
    <w:rsid w:val="003B4523"/>
    <w:rsid w:val="003B4F28"/>
    <w:rsid w:val="003C0823"/>
    <w:rsid w:val="003C0C79"/>
    <w:rsid w:val="003C27D5"/>
    <w:rsid w:val="003C657A"/>
    <w:rsid w:val="003C6814"/>
    <w:rsid w:val="003D2034"/>
    <w:rsid w:val="003D2097"/>
    <w:rsid w:val="003D6A22"/>
    <w:rsid w:val="003D719A"/>
    <w:rsid w:val="003E0155"/>
    <w:rsid w:val="003E0876"/>
    <w:rsid w:val="003E14D5"/>
    <w:rsid w:val="003E1C03"/>
    <w:rsid w:val="003E24B3"/>
    <w:rsid w:val="003E4698"/>
    <w:rsid w:val="003E53A0"/>
    <w:rsid w:val="003E6D85"/>
    <w:rsid w:val="003E75E6"/>
    <w:rsid w:val="003F03B2"/>
    <w:rsid w:val="003F358A"/>
    <w:rsid w:val="003F5ABC"/>
    <w:rsid w:val="003F5FCF"/>
    <w:rsid w:val="003F6162"/>
    <w:rsid w:val="003F627A"/>
    <w:rsid w:val="004007ED"/>
    <w:rsid w:val="00400F9A"/>
    <w:rsid w:val="0040181F"/>
    <w:rsid w:val="004027E1"/>
    <w:rsid w:val="004039FF"/>
    <w:rsid w:val="00405520"/>
    <w:rsid w:val="00405EAE"/>
    <w:rsid w:val="0040735F"/>
    <w:rsid w:val="00413744"/>
    <w:rsid w:val="00415AD6"/>
    <w:rsid w:val="0041760B"/>
    <w:rsid w:val="00417C54"/>
    <w:rsid w:val="00417E33"/>
    <w:rsid w:val="004203FE"/>
    <w:rsid w:val="004217E1"/>
    <w:rsid w:val="00422CBE"/>
    <w:rsid w:val="00424AC8"/>
    <w:rsid w:val="0042597A"/>
    <w:rsid w:val="00425C7A"/>
    <w:rsid w:val="00426594"/>
    <w:rsid w:val="004265EF"/>
    <w:rsid w:val="004314EB"/>
    <w:rsid w:val="0043174E"/>
    <w:rsid w:val="00432927"/>
    <w:rsid w:val="00434B05"/>
    <w:rsid w:val="00436827"/>
    <w:rsid w:val="00436B02"/>
    <w:rsid w:val="00437335"/>
    <w:rsid w:val="00437DD2"/>
    <w:rsid w:val="00440DF7"/>
    <w:rsid w:val="00442714"/>
    <w:rsid w:val="00443A5C"/>
    <w:rsid w:val="00446FCC"/>
    <w:rsid w:val="00450136"/>
    <w:rsid w:val="00450698"/>
    <w:rsid w:val="00450D28"/>
    <w:rsid w:val="00450F7F"/>
    <w:rsid w:val="00450FC0"/>
    <w:rsid w:val="004511A0"/>
    <w:rsid w:val="004534BA"/>
    <w:rsid w:val="00455896"/>
    <w:rsid w:val="00455C11"/>
    <w:rsid w:val="004565E5"/>
    <w:rsid w:val="0045681D"/>
    <w:rsid w:val="00456B0D"/>
    <w:rsid w:val="00457370"/>
    <w:rsid w:val="00457B8D"/>
    <w:rsid w:val="00457B8E"/>
    <w:rsid w:val="00460408"/>
    <w:rsid w:val="00460F82"/>
    <w:rsid w:val="004611DB"/>
    <w:rsid w:val="00461629"/>
    <w:rsid w:val="00461B5B"/>
    <w:rsid w:val="00461E94"/>
    <w:rsid w:val="00463743"/>
    <w:rsid w:val="00463A03"/>
    <w:rsid w:val="00466E9A"/>
    <w:rsid w:val="004709AF"/>
    <w:rsid w:val="00473F14"/>
    <w:rsid w:val="00481148"/>
    <w:rsid w:val="00482DF7"/>
    <w:rsid w:val="00483036"/>
    <w:rsid w:val="00483F69"/>
    <w:rsid w:val="00484CCD"/>
    <w:rsid w:val="00484F53"/>
    <w:rsid w:val="004861D7"/>
    <w:rsid w:val="00486326"/>
    <w:rsid w:val="004864D1"/>
    <w:rsid w:val="00487397"/>
    <w:rsid w:val="00490E8E"/>
    <w:rsid w:val="00491153"/>
    <w:rsid w:val="0049117E"/>
    <w:rsid w:val="00493B82"/>
    <w:rsid w:val="00495BA7"/>
    <w:rsid w:val="004970E3"/>
    <w:rsid w:val="0049721A"/>
    <w:rsid w:val="00497331"/>
    <w:rsid w:val="00497CA5"/>
    <w:rsid w:val="004A2786"/>
    <w:rsid w:val="004A3929"/>
    <w:rsid w:val="004A5DB0"/>
    <w:rsid w:val="004A7CB2"/>
    <w:rsid w:val="004B1184"/>
    <w:rsid w:val="004B18DB"/>
    <w:rsid w:val="004B2FDB"/>
    <w:rsid w:val="004B7269"/>
    <w:rsid w:val="004C04C8"/>
    <w:rsid w:val="004C290A"/>
    <w:rsid w:val="004C417D"/>
    <w:rsid w:val="004C4316"/>
    <w:rsid w:val="004C55C0"/>
    <w:rsid w:val="004C7D3F"/>
    <w:rsid w:val="004D049F"/>
    <w:rsid w:val="004D2F00"/>
    <w:rsid w:val="004D50DB"/>
    <w:rsid w:val="004E1A79"/>
    <w:rsid w:val="004E1AE6"/>
    <w:rsid w:val="004E20D1"/>
    <w:rsid w:val="004E22C5"/>
    <w:rsid w:val="004E25AD"/>
    <w:rsid w:val="004E2A0C"/>
    <w:rsid w:val="004E3E69"/>
    <w:rsid w:val="004E41F0"/>
    <w:rsid w:val="004E5E44"/>
    <w:rsid w:val="004E6845"/>
    <w:rsid w:val="004E7312"/>
    <w:rsid w:val="004F0C84"/>
    <w:rsid w:val="004F0C8C"/>
    <w:rsid w:val="004F2104"/>
    <w:rsid w:val="004F38AB"/>
    <w:rsid w:val="004F514E"/>
    <w:rsid w:val="004F6843"/>
    <w:rsid w:val="004F6B08"/>
    <w:rsid w:val="004F6CAF"/>
    <w:rsid w:val="0050010A"/>
    <w:rsid w:val="0050145B"/>
    <w:rsid w:val="00502854"/>
    <w:rsid w:val="005039AE"/>
    <w:rsid w:val="005039BF"/>
    <w:rsid w:val="00504FF0"/>
    <w:rsid w:val="00505044"/>
    <w:rsid w:val="00506425"/>
    <w:rsid w:val="00506798"/>
    <w:rsid w:val="005072CB"/>
    <w:rsid w:val="0051108D"/>
    <w:rsid w:val="005112D1"/>
    <w:rsid w:val="0051181D"/>
    <w:rsid w:val="00513122"/>
    <w:rsid w:val="00513DE1"/>
    <w:rsid w:val="0051432C"/>
    <w:rsid w:val="0051488F"/>
    <w:rsid w:val="00514BC0"/>
    <w:rsid w:val="0051534E"/>
    <w:rsid w:val="005158C1"/>
    <w:rsid w:val="005160CE"/>
    <w:rsid w:val="00516539"/>
    <w:rsid w:val="00516A2D"/>
    <w:rsid w:val="00516E36"/>
    <w:rsid w:val="00517FC6"/>
    <w:rsid w:val="00523C6E"/>
    <w:rsid w:val="00524632"/>
    <w:rsid w:val="00525655"/>
    <w:rsid w:val="00526469"/>
    <w:rsid w:val="00526B1D"/>
    <w:rsid w:val="005306E4"/>
    <w:rsid w:val="00531974"/>
    <w:rsid w:val="00532D4D"/>
    <w:rsid w:val="005339FC"/>
    <w:rsid w:val="00534DA1"/>
    <w:rsid w:val="00536328"/>
    <w:rsid w:val="00537A89"/>
    <w:rsid w:val="00537EAE"/>
    <w:rsid w:val="00540350"/>
    <w:rsid w:val="005406C4"/>
    <w:rsid w:val="00540B12"/>
    <w:rsid w:val="00543D44"/>
    <w:rsid w:val="00544759"/>
    <w:rsid w:val="0054490A"/>
    <w:rsid w:val="00546F8B"/>
    <w:rsid w:val="0054738F"/>
    <w:rsid w:val="005511F4"/>
    <w:rsid w:val="00556985"/>
    <w:rsid w:val="00557E14"/>
    <w:rsid w:val="005603B9"/>
    <w:rsid w:val="00561E24"/>
    <w:rsid w:val="00563BF8"/>
    <w:rsid w:val="00563F87"/>
    <w:rsid w:val="0056638E"/>
    <w:rsid w:val="0056671C"/>
    <w:rsid w:val="00566B41"/>
    <w:rsid w:val="00567BE7"/>
    <w:rsid w:val="00567FDE"/>
    <w:rsid w:val="00572386"/>
    <w:rsid w:val="00572734"/>
    <w:rsid w:val="005768B6"/>
    <w:rsid w:val="00577291"/>
    <w:rsid w:val="005811A6"/>
    <w:rsid w:val="005828A5"/>
    <w:rsid w:val="0058316E"/>
    <w:rsid w:val="0058478C"/>
    <w:rsid w:val="00584C43"/>
    <w:rsid w:val="00585428"/>
    <w:rsid w:val="00585B2F"/>
    <w:rsid w:val="00586C89"/>
    <w:rsid w:val="00587227"/>
    <w:rsid w:val="00591550"/>
    <w:rsid w:val="0059388A"/>
    <w:rsid w:val="00595011"/>
    <w:rsid w:val="00595BD1"/>
    <w:rsid w:val="00595F36"/>
    <w:rsid w:val="00596401"/>
    <w:rsid w:val="005976F5"/>
    <w:rsid w:val="00597908"/>
    <w:rsid w:val="00597A5A"/>
    <w:rsid w:val="005A115B"/>
    <w:rsid w:val="005A1679"/>
    <w:rsid w:val="005A349F"/>
    <w:rsid w:val="005A55FF"/>
    <w:rsid w:val="005A6024"/>
    <w:rsid w:val="005A6C99"/>
    <w:rsid w:val="005A7F63"/>
    <w:rsid w:val="005B081B"/>
    <w:rsid w:val="005B0A5C"/>
    <w:rsid w:val="005B0D97"/>
    <w:rsid w:val="005B17BE"/>
    <w:rsid w:val="005B1899"/>
    <w:rsid w:val="005B1A19"/>
    <w:rsid w:val="005B299D"/>
    <w:rsid w:val="005B41F5"/>
    <w:rsid w:val="005B4DE2"/>
    <w:rsid w:val="005B64BC"/>
    <w:rsid w:val="005B6987"/>
    <w:rsid w:val="005B7AEF"/>
    <w:rsid w:val="005C0CBF"/>
    <w:rsid w:val="005C0F63"/>
    <w:rsid w:val="005C1F9F"/>
    <w:rsid w:val="005C29DF"/>
    <w:rsid w:val="005C2DBE"/>
    <w:rsid w:val="005C4D9E"/>
    <w:rsid w:val="005C5AC8"/>
    <w:rsid w:val="005C74D3"/>
    <w:rsid w:val="005C75A1"/>
    <w:rsid w:val="005D0AEC"/>
    <w:rsid w:val="005D1666"/>
    <w:rsid w:val="005D27A5"/>
    <w:rsid w:val="005D2F54"/>
    <w:rsid w:val="005D6448"/>
    <w:rsid w:val="005D64CC"/>
    <w:rsid w:val="005D709D"/>
    <w:rsid w:val="005D723B"/>
    <w:rsid w:val="005D7585"/>
    <w:rsid w:val="005E2570"/>
    <w:rsid w:val="005E3257"/>
    <w:rsid w:val="005E3BAE"/>
    <w:rsid w:val="005E55D1"/>
    <w:rsid w:val="005E60AB"/>
    <w:rsid w:val="005E6BF9"/>
    <w:rsid w:val="005E6FA5"/>
    <w:rsid w:val="005F0C9F"/>
    <w:rsid w:val="005F0D4E"/>
    <w:rsid w:val="005F2C5B"/>
    <w:rsid w:val="005F2CE0"/>
    <w:rsid w:val="005F34C3"/>
    <w:rsid w:val="005F44DF"/>
    <w:rsid w:val="005F5681"/>
    <w:rsid w:val="005F57A2"/>
    <w:rsid w:val="005F641C"/>
    <w:rsid w:val="006019D4"/>
    <w:rsid w:val="00603633"/>
    <w:rsid w:val="00605423"/>
    <w:rsid w:val="00606231"/>
    <w:rsid w:val="00610A5A"/>
    <w:rsid w:val="00611981"/>
    <w:rsid w:val="00611B90"/>
    <w:rsid w:val="00612222"/>
    <w:rsid w:val="0061535D"/>
    <w:rsid w:val="00616101"/>
    <w:rsid w:val="00616EEA"/>
    <w:rsid w:val="00617D3E"/>
    <w:rsid w:val="00620F74"/>
    <w:rsid w:val="00621B17"/>
    <w:rsid w:val="006222EF"/>
    <w:rsid w:val="00623521"/>
    <w:rsid w:val="00625030"/>
    <w:rsid w:val="006259FF"/>
    <w:rsid w:val="00625D13"/>
    <w:rsid w:val="00627E48"/>
    <w:rsid w:val="00631D55"/>
    <w:rsid w:val="00633E3E"/>
    <w:rsid w:val="00634F7D"/>
    <w:rsid w:val="00635D82"/>
    <w:rsid w:val="00635D9B"/>
    <w:rsid w:val="00637AA1"/>
    <w:rsid w:val="00637C51"/>
    <w:rsid w:val="00637C82"/>
    <w:rsid w:val="0064081A"/>
    <w:rsid w:val="00640A10"/>
    <w:rsid w:val="00640D6D"/>
    <w:rsid w:val="00640D86"/>
    <w:rsid w:val="006417D8"/>
    <w:rsid w:val="00641BAE"/>
    <w:rsid w:val="00642729"/>
    <w:rsid w:val="00642DA1"/>
    <w:rsid w:val="006432EB"/>
    <w:rsid w:val="00644742"/>
    <w:rsid w:val="00644C80"/>
    <w:rsid w:val="00644D33"/>
    <w:rsid w:val="006451F4"/>
    <w:rsid w:val="00645733"/>
    <w:rsid w:val="00646BCE"/>
    <w:rsid w:val="00646E5B"/>
    <w:rsid w:val="00650A16"/>
    <w:rsid w:val="00650FBB"/>
    <w:rsid w:val="00653AA8"/>
    <w:rsid w:val="00654A1E"/>
    <w:rsid w:val="00654BF8"/>
    <w:rsid w:val="00654EC5"/>
    <w:rsid w:val="00655AD8"/>
    <w:rsid w:val="00656863"/>
    <w:rsid w:val="00656F26"/>
    <w:rsid w:val="006575ED"/>
    <w:rsid w:val="0065777D"/>
    <w:rsid w:val="006617FD"/>
    <w:rsid w:val="00663124"/>
    <w:rsid w:val="00663F7D"/>
    <w:rsid w:val="006659FA"/>
    <w:rsid w:val="00666A7A"/>
    <w:rsid w:val="0067092F"/>
    <w:rsid w:val="00673A58"/>
    <w:rsid w:val="00674CF8"/>
    <w:rsid w:val="00674E6D"/>
    <w:rsid w:val="00674FBD"/>
    <w:rsid w:val="00675562"/>
    <w:rsid w:val="00676A1B"/>
    <w:rsid w:val="00677524"/>
    <w:rsid w:val="00677A9B"/>
    <w:rsid w:val="006842B5"/>
    <w:rsid w:val="0068566E"/>
    <w:rsid w:val="006858B0"/>
    <w:rsid w:val="00685C8E"/>
    <w:rsid w:val="00685CA2"/>
    <w:rsid w:val="00685E34"/>
    <w:rsid w:val="00687B5F"/>
    <w:rsid w:val="00690651"/>
    <w:rsid w:val="00691B5A"/>
    <w:rsid w:val="00691DB5"/>
    <w:rsid w:val="006929EC"/>
    <w:rsid w:val="0069339A"/>
    <w:rsid w:val="0069391F"/>
    <w:rsid w:val="00693E3C"/>
    <w:rsid w:val="00696845"/>
    <w:rsid w:val="006A0F32"/>
    <w:rsid w:val="006A15A7"/>
    <w:rsid w:val="006A1B5A"/>
    <w:rsid w:val="006A2090"/>
    <w:rsid w:val="006A22AA"/>
    <w:rsid w:val="006A2A6B"/>
    <w:rsid w:val="006A2BE7"/>
    <w:rsid w:val="006A4442"/>
    <w:rsid w:val="006A4F2C"/>
    <w:rsid w:val="006A547D"/>
    <w:rsid w:val="006A6042"/>
    <w:rsid w:val="006A6728"/>
    <w:rsid w:val="006A718C"/>
    <w:rsid w:val="006B08A3"/>
    <w:rsid w:val="006B0F4A"/>
    <w:rsid w:val="006B307F"/>
    <w:rsid w:val="006B3148"/>
    <w:rsid w:val="006B4389"/>
    <w:rsid w:val="006B4C1E"/>
    <w:rsid w:val="006B5997"/>
    <w:rsid w:val="006B6E39"/>
    <w:rsid w:val="006B73CA"/>
    <w:rsid w:val="006B7BD9"/>
    <w:rsid w:val="006C00BD"/>
    <w:rsid w:val="006C0794"/>
    <w:rsid w:val="006C0CEE"/>
    <w:rsid w:val="006C1D5C"/>
    <w:rsid w:val="006C2424"/>
    <w:rsid w:val="006C2B06"/>
    <w:rsid w:val="006C3B66"/>
    <w:rsid w:val="006C64FC"/>
    <w:rsid w:val="006D0E26"/>
    <w:rsid w:val="006D1173"/>
    <w:rsid w:val="006D1644"/>
    <w:rsid w:val="006D22FE"/>
    <w:rsid w:val="006D4D62"/>
    <w:rsid w:val="006E1F9B"/>
    <w:rsid w:val="006E2215"/>
    <w:rsid w:val="006E59E7"/>
    <w:rsid w:val="006E5CDB"/>
    <w:rsid w:val="006E68D6"/>
    <w:rsid w:val="006E6FC6"/>
    <w:rsid w:val="006E70A6"/>
    <w:rsid w:val="006E7757"/>
    <w:rsid w:val="006E7DBD"/>
    <w:rsid w:val="006F00A8"/>
    <w:rsid w:val="006F0557"/>
    <w:rsid w:val="006F171E"/>
    <w:rsid w:val="006F38F1"/>
    <w:rsid w:val="006F3F35"/>
    <w:rsid w:val="006F62B6"/>
    <w:rsid w:val="006F7C21"/>
    <w:rsid w:val="006F7C9C"/>
    <w:rsid w:val="00700867"/>
    <w:rsid w:val="00703613"/>
    <w:rsid w:val="007047B1"/>
    <w:rsid w:val="00706775"/>
    <w:rsid w:val="00706B74"/>
    <w:rsid w:val="00706D65"/>
    <w:rsid w:val="00706E09"/>
    <w:rsid w:val="00707F30"/>
    <w:rsid w:val="007101A1"/>
    <w:rsid w:val="00710261"/>
    <w:rsid w:val="00711C32"/>
    <w:rsid w:val="00711FEF"/>
    <w:rsid w:val="00713703"/>
    <w:rsid w:val="0071420B"/>
    <w:rsid w:val="00714688"/>
    <w:rsid w:val="00714C16"/>
    <w:rsid w:val="00715548"/>
    <w:rsid w:val="00715551"/>
    <w:rsid w:val="007167AC"/>
    <w:rsid w:val="00720E65"/>
    <w:rsid w:val="00721E96"/>
    <w:rsid w:val="00723E35"/>
    <w:rsid w:val="00726A4D"/>
    <w:rsid w:val="007307D7"/>
    <w:rsid w:val="007314AB"/>
    <w:rsid w:val="00731B1C"/>
    <w:rsid w:val="007327DA"/>
    <w:rsid w:val="00734FC3"/>
    <w:rsid w:val="00737377"/>
    <w:rsid w:val="00740207"/>
    <w:rsid w:val="00741CD1"/>
    <w:rsid w:val="007422A3"/>
    <w:rsid w:val="00742557"/>
    <w:rsid w:val="00743530"/>
    <w:rsid w:val="0074370A"/>
    <w:rsid w:val="0074416D"/>
    <w:rsid w:val="0074542F"/>
    <w:rsid w:val="00753E5C"/>
    <w:rsid w:val="00754FD1"/>
    <w:rsid w:val="00755E7D"/>
    <w:rsid w:val="007600B0"/>
    <w:rsid w:val="0076144E"/>
    <w:rsid w:val="00761C83"/>
    <w:rsid w:val="00763662"/>
    <w:rsid w:val="00763D2A"/>
    <w:rsid w:val="00763E68"/>
    <w:rsid w:val="00764618"/>
    <w:rsid w:val="007660DB"/>
    <w:rsid w:val="00767156"/>
    <w:rsid w:val="007711CF"/>
    <w:rsid w:val="00773807"/>
    <w:rsid w:val="00773887"/>
    <w:rsid w:val="0077490B"/>
    <w:rsid w:val="007759EF"/>
    <w:rsid w:val="00775BE7"/>
    <w:rsid w:val="0077601E"/>
    <w:rsid w:val="007761CB"/>
    <w:rsid w:val="0077684D"/>
    <w:rsid w:val="00776CDC"/>
    <w:rsid w:val="00781F67"/>
    <w:rsid w:val="00782DA8"/>
    <w:rsid w:val="00785CB9"/>
    <w:rsid w:val="007868DC"/>
    <w:rsid w:val="007902F7"/>
    <w:rsid w:val="0079173B"/>
    <w:rsid w:val="00791BFC"/>
    <w:rsid w:val="00795AF2"/>
    <w:rsid w:val="007964DF"/>
    <w:rsid w:val="00796567"/>
    <w:rsid w:val="007965D4"/>
    <w:rsid w:val="007977EA"/>
    <w:rsid w:val="00797958"/>
    <w:rsid w:val="007A0F2F"/>
    <w:rsid w:val="007A1007"/>
    <w:rsid w:val="007A1127"/>
    <w:rsid w:val="007A2313"/>
    <w:rsid w:val="007A3017"/>
    <w:rsid w:val="007A43DC"/>
    <w:rsid w:val="007A6263"/>
    <w:rsid w:val="007B0516"/>
    <w:rsid w:val="007B1C84"/>
    <w:rsid w:val="007B2A2F"/>
    <w:rsid w:val="007B3CE5"/>
    <w:rsid w:val="007B613D"/>
    <w:rsid w:val="007C1FFB"/>
    <w:rsid w:val="007C3CBD"/>
    <w:rsid w:val="007C6685"/>
    <w:rsid w:val="007C6BCB"/>
    <w:rsid w:val="007C75AA"/>
    <w:rsid w:val="007D74D8"/>
    <w:rsid w:val="007E18DA"/>
    <w:rsid w:val="007E1DF9"/>
    <w:rsid w:val="007E2CA1"/>
    <w:rsid w:val="007E3008"/>
    <w:rsid w:val="007E3AAD"/>
    <w:rsid w:val="007E3AB4"/>
    <w:rsid w:val="007E5602"/>
    <w:rsid w:val="007E7616"/>
    <w:rsid w:val="007F0319"/>
    <w:rsid w:val="007F0357"/>
    <w:rsid w:val="007F0439"/>
    <w:rsid w:val="007F196A"/>
    <w:rsid w:val="007F1C14"/>
    <w:rsid w:val="007F3DB0"/>
    <w:rsid w:val="007F4187"/>
    <w:rsid w:val="007F4C22"/>
    <w:rsid w:val="00800247"/>
    <w:rsid w:val="00801C4D"/>
    <w:rsid w:val="00802115"/>
    <w:rsid w:val="00803153"/>
    <w:rsid w:val="008035E9"/>
    <w:rsid w:val="00804903"/>
    <w:rsid w:val="0080570C"/>
    <w:rsid w:val="008058D7"/>
    <w:rsid w:val="00810133"/>
    <w:rsid w:val="00811A42"/>
    <w:rsid w:val="00813158"/>
    <w:rsid w:val="00813237"/>
    <w:rsid w:val="00813895"/>
    <w:rsid w:val="00813A02"/>
    <w:rsid w:val="00813A32"/>
    <w:rsid w:val="0081546C"/>
    <w:rsid w:val="0081598F"/>
    <w:rsid w:val="00816AA6"/>
    <w:rsid w:val="00816EF4"/>
    <w:rsid w:val="00817E4F"/>
    <w:rsid w:val="008204F2"/>
    <w:rsid w:val="00820EDF"/>
    <w:rsid w:val="00821BC8"/>
    <w:rsid w:val="008223CA"/>
    <w:rsid w:val="00822E2C"/>
    <w:rsid w:val="00823338"/>
    <w:rsid w:val="00823B48"/>
    <w:rsid w:val="00826BE0"/>
    <w:rsid w:val="00830D19"/>
    <w:rsid w:val="0083159A"/>
    <w:rsid w:val="0083195E"/>
    <w:rsid w:val="00832075"/>
    <w:rsid w:val="008329A3"/>
    <w:rsid w:val="00832AC6"/>
    <w:rsid w:val="00832D83"/>
    <w:rsid w:val="00832DC1"/>
    <w:rsid w:val="00833062"/>
    <w:rsid w:val="00833151"/>
    <w:rsid w:val="0083381D"/>
    <w:rsid w:val="008339A0"/>
    <w:rsid w:val="00833CE7"/>
    <w:rsid w:val="00833F29"/>
    <w:rsid w:val="00834C7D"/>
    <w:rsid w:val="00835C5C"/>
    <w:rsid w:val="0083675D"/>
    <w:rsid w:val="00836952"/>
    <w:rsid w:val="008369D6"/>
    <w:rsid w:val="00840762"/>
    <w:rsid w:val="00842B3D"/>
    <w:rsid w:val="00845EAD"/>
    <w:rsid w:val="00846B32"/>
    <w:rsid w:val="0084706C"/>
    <w:rsid w:val="008505E6"/>
    <w:rsid w:val="008508B0"/>
    <w:rsid w:val="00850994"/>
    <w:rsid w:val="00850FE0"/>
    <w:rsid w:val="00851938"/>
    <w:rsid w:val="00852A02"/>
    <w:rsid w:val="00852C0D"/>
    <w:rsid w:val="00853486"/>
    <w:rsid w:val="0085430E"/>
    <w:rsid w:val="0085453B"/>
    <w:rsid w:val="008545B1"/>
    <w:rsid w:val="00854A2C"/>
    <w:rsid w:val="00854CC8"/>
    <w:rsid w:val="00855393"/>
    <w:rsid w:val="00857186"/>
    <w:rsid w:val="008604EC"/>
    <w:rsid w:val="008611AA"/>
    <w:rsid w:val="008628B4"/>
    <w:rsid w:val="00862C00"/>
    <w:rsid w:val="00864471"/>
    <w:rsid w:val="008648E7"/>
    <w:rsid w:val="00864B7D"/>
    <w:rsid w:val="00865478"/>
    <w:rsid w:val="00865A8A"/>
    <w:rsid w:val="00866C94"/>
    <w:rsid w:val="00867046"/>
    <w:rsid w:val="008670BE"/>
    <w:rsid w:val="008702DD"/>
    <w:rsid w:val="00870E1B"/>
    <w:rsid w:val="00871A3C"/>
    <w:rsid w:val="008721F2"/>
    <w:rsid w:val="00874CB7"/>
    <w:rsid w:val="00875483"/>
    <w:rsid w:val="008758C3"/>
    <w:rsid w:val="00880192"/>
    <w:rsid w:val="008814D3"/>
    <w:rsid w:val="00883BE7"/>
    <w:rsid w:val="0088423D"/>
    <w:rsid w:val="008871BE"/>
    <w:rsid w:val="008913A3"/>
    <w:rsid w:val="00892BAB"/>
    <w:rsid w:val="008946E0"/>
    <w:rsid w:val="00894F77"/>
    <w:rsid w:val="00895C16"/>
    <w:rsid w:val="00895E8C"/>
    <w:rsid w:val="00896366"/>
    <w:rsid w:val="00896630"/>
    <w:rsid w:val="008A0EDD"/>
    <w:rsid w:val="008A4232"/>
    <w:rsid w:val="008A4534"/>
    <w:rsid w:val="008A6035"/>
    <w:rsid w:val="008A692F"/>
    <w:rsid w:val="008A7010"/>
    <w:rsid w:val="008A73AD"/>
    <w:rsid w:val="008A7B3F"/>
    <w:rsid w:val="008B2FB1"/>
    <w:rsid w:val="008B315D"/>
    <w:rsid w:val="008B6100"/>
    <w:rsid w:val="008B695E"/>
    <w:rsid w:val="008B738D"/>
    <w:rsid w:val="008B7BAC"/>
    <w:rsid w:val="008C1596"/>
    <w:rsid w:val="008C1B43"/>
    <w:rsid w:val="008C2502"/>
    <w:rsid w:val="008C2685"/>
    <w:rsid w:val="008C26D2"/>
    <w:rsid w:val="008C4E1C"/>
    <w:rsid w:val="008C68F3"/>
    <w:rsid w:val="008D11E0"/>
    <w:rsid w:val="008D1631"/>
    <w:rsid w:val="008D231C"/>
    <w:rsid w:val="008D24CF"/>
    <w:rsid w:val="008D4203"/>
    <w:rsid w:val="008D5992"/>
    <w:rsid w:val="008D5CE9"/>
    <w:rsid w:val="008D6E50"/>
    <w:rsid w:val="008D7869"/>
    <w:rsid w:val="008E21D8"/>
    <w:rsid w:val="008E46F2"/>
    <w:rsid w:val="008E4ED1"/>
    <w:rsid w:val="008E5006"/>
    <w:rsid w:val="008E62BD"/>
    <w:rsid w:val="008E6966"/>
    <w:rsid w:val="008E6A60"/>
    <w:rsid w:val="008E6E32"/>
    <w:rsid w:val="008E7682"/>
    <w:rsid w:val="008E7A3D"/>
    <w:rsid w:val="008F0918"/>
    <w:rsid w:val="008F11E7"/>
    <w:rsid w:val="008F1F51"/>
    <w:rsid w:val="008F2F37"/>
    <w:rsid w:val="008F5D07"/>
    <w:rsid w:val="008F6587"/>
    <w:rsid w:val="008F72F3"/>
    <w:rsid w:val="008F738B"/>
    <w:rsid w:val="008F7C86"/>
    <w:rsid w:val="00904329"/>
    <w:rsid w:val="0090537E"/>
    <w:rsid w:val="009055AD"/>
    <w:rsid w:val="0090751F"/>
    <w:rsid w:val="00907A1C"/>
    <w:rsid w:val="0091307B"/>
    <w:rsid w:val="00914D23"/>
    <w:rsid w:val="0091520E"/>
    <w:rsid w:val="009159B6"/>
    <w:rsid w:val="0091646C"/>
    <w:rsid w:val="00916A7E"/>
    <w:rsid w:val="00916B56"/>
    <w:rsid w:val="00924723"/>
    <w:rsid w:val="00925F61"/>
    <w:rsid w:val="00927D9D"/>
    <w:rsid w:val="00930549"/>
    <w:rsid w:val="00930964"/>
    <w:rsid w:val="00932B60"/>
    <w:rsid w:val="00934DD7"/>
    <w:rsid w:val="009360BF"/>
    <w:rsid w:val="009367D6"/>
    <w:rsid w:val="009368CE"/>
    <w:rsid w:val="00937F0D"/>
    <w:rsid w:val="0094022B"/>
    <w:rsid w:val="00941F0F"/>
    <w:rsid w:val="009423F5"/>
    <w:rsid w:val="0094250B"/>
    <w:rsid w:val="0094254B"/>
    <w:rsid w:val="009448F5"/>
    <w:rsid w:val="00945D02"/>
    <w:rsid w:val="009464BB"/>
    <w:rsid w:val="00946933"/>
    <w:rsid w:val="00946B26"/>
    <w:rsid w:val="00946EA7"/>
    <w:rsid w:val="00951E69"/>
    <w:rsid w:val="009529C1"/>
    <w:rsid w:val="00952C3A"/>
    <w:rsid w:val="00953C12"/>
    <w:rsid w:val="00955533"/>
    <w:rsid w:val="0095568A"/>
    <w:rsid w:val="0095633D"/>
    <w:rsid w:val="009600EB"/>
    <w:rsid w:val="00962602"/>
    <w:rsid w:val="0096277B"/>
    <w:rsid w:val="0096296F"/>
    <w:rsid w:val="009635FF"/>
    <w:rsid w:val="00964F7C"/>
    <w:rsid w:val="009669DE"/>
    <w:rsid w:val="00967B10"/>
    <w:rsid w:val="00970D6A"/>
    <w:rsid w:val="00971E9B"/>
    <w:rsid w:val="00971FBE"/>
    <w:rsid w:val="00973367"/>
    <w:rsid w:val="00973D49"/>
    <w:rsid w:val="00977179"/>
    <w:rsid w:val="009804A7"/>
    <w:rsid w:val="00980CB5"/>
    <w:rsid w:val="0098189F"/>
    <w:rsid w:val="009820CF"/>
    <w:rsid w:val="009822B2"/>
    <w:rsid w:val="00982567"/>
    <w:rsid w:val="009829A7"/>
    <w:rsid w:val="00986149"/>
    <w:rsid w:val="009878FC"/>
    <w:rsid w:val="00990393"/>
    <w:rsid w:val="009932C8"/>
    <w:rsid w:val="009938F0"/>
    <w:rsid w:val="00993FF7"/>
    <w:rsid w:val="0099404A"/>
    <w:rsid w:val="00994085"/>
    <w:rsid w:val="009944EA"/>
    <w:rsid w:val="00997354"/>
    <w:rsid w:val="00997B08"/>
    <w:rsid w:val="009A1A86"/>
    <w:rsid w:val="009A4640"/>
    <w:rsid w:val="009A4751"/>
    <w:rsid w:val="009A52AC"/>
    <w:rsid w:val="009A658C"/>
    <w:rsid w:val="009B07DB"/>
    <w:rsid w:val="009B088D"/>
    <w:rsid w:val="009B0D32"/>
    <w:rsid w:val="009B2506"/>
    <w:rsid w:val="009B2DCD"/>
    <w:rsid w:val="009B4EBE"/>
    <w:rsid w:val="009B4EF5"/>
    <w:rsid w:val="009B5967"/>
    <w:rsid w:val="009B63A8"/>
    <w:rsid w:val="009B67B9"/>
    <w:rsid w:val="009B7E3F"/>
    <w:rsid w:val="009C17B4"/>
    <w:rsid w:val="009C281B"/>
    <w:rsid w:val="009C307B"/>
    <w:rsid w:val="009C3918"/>
    <w:rsid w:val="009C5835"/>
    <w:rsid w:val="009C797C"/>
    <w:rsid w:val="009D02B5"/>
    <w:rsid w:val="009D0466"/>
    <w:rsid w:val="009D0C9B"/>
    <w:rsid w:val="009D2077"/>
    <w:rsid w:val="009D2575"/>
    <w:rsid w:val="009D368F"/>
    <w:rsid w:val="009D3E31"/>
    <w:rsid w:val="009D438F"/>
    <w:rsid w:val="009D5A07"/>
    <w:rsid w:val="009D62C1"/>
    <w:rsid w:val="009D765C"/>
    <w:rsid w:val="009D78CF"/>
    <w:rsid w:val="009D7D03"/>
    <w:rsid w:val="009E36B0"/>
    <w:rsid w:val="009E4A70"/>
    <w:rsid w:val="009E5054"/>
    <w:rsid w:val="009E60FD"/>
    <w:rsid w:val="009E65BF"/>
    <w:rsid w:val="009E665D"/>
    <w:rsid w:val="009E6976"/>
    <w:rsid w:val="009E6A4B"/>
    <w:rsid w:val="009E766C"/>
    <w:rsid w:val="009F23FB"/>
    <w:rsid w:val="009F3709"/>
    <w:rsid w:val="009F3D3D"/>
    <w:rsid w:val="009F4067"/>
    <w:rsid w:val="009F49C0"/>
    <w:rsid w:val="009F5C5B"/>
    <w:rsid w:val="009F6E19"/>
    <w:rsid w:val="00A004AD"/>
    <w:rsid w:val="00A009D2"/>
    <w:rsid w:val="00A01830"/>
    <w:rsid w:val="00A026DF"/>
    <w:rsid w:val="00A04894"/>
    <w:rsid w:val="00A06D46"/>
    <w:rsid w:val="00A06D8A"/>
    <w:rsid w:val="00A06F44"/>
    <w:rsid w:val="00A0721E"/>
    <w:rsid w:val="00A074BC"/>
    <w:rsid w:val="00A116C5"/>
    <w:rsid w:val="00A12152"/>
    <w:rsid w:val="00A13DB3"/>
    <w:rsid w:val="00A144E9"/>
    <w:rsid w:val="00A14F40"/>
    <w:rsid w:val="00A1540A"/>
    <w:rsid w:val="00A17918"/>
    <w:rsid w:val="00A20403"/>
    <w:rsid w:val="00A22082"/>
    <w:rsid w:val="00A222F3"/>
    <w:rsid w:val="00A22B97"/>
    <w:rsid w:val="00A22DFC"/>
    <w:rsid w:val="00A22F88"/>
    <w:rsid w:val="00A2333F"/>
    <w:rsid w:val="00A2493D"/>
    <w:rsid w:val="00A258E3"/>
    <w:rsid w:val="00A25BED"/>
    <w:rsid w:val="00A26A82"/>
    <w:rsid w:val="00A3082A"/>
    <w:rsid w:val="00A30B0E"/>
    <w:rsid w:val="00A30C74"/>
    <w:rsid w:val="00A31178"/>
    <w:rsid w:val="00A31649"/>
    <w:rsid w:val="00A330A2"/>
    <w:rsid w:val="00A33134"/>
    <w:rsid w:val="00A36073"/>
    <w:rsid w:val="00A40995"/>
    <w:rsid w:val="00A41DA3"/>
    <w:rsid w:val="00A4209A"/>
    <w:rsid w:val="00A420D2"/>
    <w:rsid w:val="00A4268F"/>
    <w:rsid w:val="00A429B9"/>
    <w:rsid w:val="00A435A7"/>
    <w:rsid w:val="00A50269"/>
    <w:rsid w:val="00A52F83"/>
    <w:rsid w:val="00A5312F"/>
    <w:rsid w:val="00A54818"/>
    <w:rsid w:val="00A54F59"/>
    <w:rsid w:val="00A561C2"/>
    <w:rsid w:val="00A5629D"/>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80A38"/>
    <w:rsid w:val="00A8143F"/>
    <w:rsid w:val="00A815BD"/>
    <w:rsid w:val="00A8213D"/>
    <w:rsid w:val="00A8499D"/>
    <w:rsid w:val="00A84C0E"/>
    <w:rsid w:val="00A850C1"/>
    <w:rsid w:val="00A86A0C"/>
    <w:rsid w:val="00A86E00"/>
    <w:rsid w:val="00A917F9"/>
    <w:rsid w:val="00A91D02"/>
    <w:rsid w:val="00A91F6F"/>
    <w:rsid w:val="00A92E0D"/>
    <w:rsid w:val="00A9330F"/>
    <w:rsid w:val="00A94409"/>
    <w:rsid w:val="00A95021"/>
    <w:rsid w:val="00A95361"/>
    <w:rsid w:val="00AA1914"/>
    <w:rsid w:val="00AA2EAC"/>
    <w:rsid w:val="00AA32E3"/>
    <w:rsid w:val="00AA6A37"/>
    <w:rsid w:val="00AA7356"/>
    <w:rsid w:val="00AA7553"/>
    <w:rsid w:val="00AA76E1"/>
    <w:rsid w:val="00AB04AF"/>
    <w:rsid w:val="00AB229C"/>
    <w:rsid w:val="00AB36F9"/>
    <w:rsid w:val="00AB3AFA"/>
    <w:rsid w:val="00AB3E3E"/>
    <w:rsid w:val="00AB5806"/>
    <w:rsid w:val="00AB66F6"/>
    <w:rsid w:val="00AB79E4"/>
    <w:rsid w:val="00AB7BD4"/>
    <w:rsid w:val="00AC035E"/>
    <w:rsid w:val="00AC04A2"/>
    <w:rsid w:val="00AC0A46"/>
    <w:rsid w:val="00AC2B91"/>
    <w:rsid w:val="00AC30E6"/>
    <w:rsid w:val="00AC3E75"/>
    <w:rsid w:val="00AC5611"/>
    <w:rsid w:val="00AC7E9C"/>
    <w:rsid w:val="00AD0379"/>
    <w:rsid w:val="00AD10C8"/>
    <w:rsid w:val="00AD12AE"/>
    <w:rsid w:val="00AD1D7A"/>
    <w:rsid w:val="00AD2A27"/>
    <w:rsid w:val="00AD34A3"/>
    <w:rsid w:val="00AD34F1"/>
    <w:rsid w:val="00AD3D49"/>
    <w:rsid w:val="00AD3E0A"/>
    <w:rsid w:val="00AD4042"/>
    <w:rsid w:val="00AD4AC1"/>
    <w:rsid w:val="00AD4EFA"/>
    <w:rsid w:val="00AD54D6"/>
    <w:rsid w:val="00AD66A4"/>
    <w:rsid w:val="00AD7594"/>
    <w:rsid w:val="00AD76C4"/>
    <w:rsid w:val="00AE0144"/>
    <w:rsid w:val="00AE0EAB"/>
    <w:rsid w:val="00AE186B"/>
    <w:rsid w:val="00AE1A75"/>
    <w:rsid w:val="00AE38B4"/>
    <w:rsid w:val="00AE4963"/>
    <w:rsid w:val="00AE4ABE"/>
    <w:rsid w:val="00AE51E1"/>
    <w:rsid w:val="00AE6454"/>
    <w:rsid w:val="00AE6C5F"/>
    <w:rsid w:val="00AE7C3B"/>
    <w:rsid w:val="00AF0586"/>
    <w:rsid w:val="00AF07EB"/>
    <w:rsid w:val="00AF0992"/>
    <w:rsid w:val="00AF2474"/>
    <w:rsid w:val="00AF3DD9"/>
    <w:rsid w:val="00AF6655"/>
    <w:rsid w:val="00AF6D0E"/>
    <w:rsid w:val="00AF746D"/>
    <w:rsid w:val="00B00254"/>
    <w:rsid w:val="00B016AC"/>
    <w:rsid w:val="00B018AF"/>
    <w:rsid w:val="00B0266D"/>
    <w:rsid w:val="00B02F3D"/>
    <w:rsid w:val="00B04D8E"/>
    <w:rsid w:val="00B053F4"/>
    <w:rsid w:val="00B062C9"/>
    <w:rsid w:val="00B07EB4"/>
    <w:rsid w:val="00B11341"/>
    <w:rsid w:val="00B114A0"/>
    <w:rsid w:val="00B114F0"/>
    <w:rsid w:val="00B12060"/>
    <w:rsid w:val="00B1290B"/>
    <w:rsid w:val="00B12A4B"/>
    <w:rsid w:val="00B12A7B"/>
    <w:rsid w:val="00B1374F"/>
    <w:rsid w:val="00B137B8"/>
    <w:rsid w:val="00B14068"/>
    <w:rsid w:val="00B14B15"/>
    <w:rsid w:val="00B15112"/>
    <w:rsid w:val="00B15D4E"/>
    <w:rsid w:val="00B16173"/>
    <w:rsid w:val="00B2001D"/>
    <w:rsid w:val="00B20DEE"/>
    <w:rsid w:val="00B20E30"/>
    <w:rsid w:val="00B2152D"/>
    <w:rsid w:val="00B217FC"/>
    <w:rsid w:val="00B223C2"/>
    <w:rsid w:val="00B2338B"/>
    <w:rsid w:val="00B25AE9"/>
    <w:rsid w:val="00B307CF"/>
    <w:rsid w:val="00B30950"/>
    <w:rsid w:val="00B312F0"/>
    <w:rsid w:val="00B314BD"/>
    <w:rsid w:val="00B315EE"/>
    <w:rsid w:val="00B322C8"/>
    <w:rsid w:val="00B32EAF"/>
    <w:rsid w:val="00B333E6"/>
    <w:rsid w:val="00B34DDA"/>
    <w:rsid w:val="00B35558"/>
    <w:rsid w:val="00B35EE2"/>
    <w:rsid w:val="00B36640"/>
    <w:rsid w:val="00B36CC4"/>
    <w:rsid w:val="00B37432"/>
    <w:rsid w:val="00B41F21"/>
    <w:rsid w:val="00B433F1"/>
    <w:rsid w:val="00B442E0"/>
    <w:rsid w:val="00B44A7F"/>
    <w:rsid w:val="00B46059"/>
    <w:rsid w:val="00B4630D"/>
    <w:rsid w:val="00B46792"/>
    <w:rsid w:val="00B46CE7"/>
    <w:rsid w:val="00B50015"/>
    <w:rsid w:val="00B514ED"/>
    <w:rsid w:val="00B51844"/>
    <w:rsid w:val="00B51A8D"/>
    <w:rsid w:val="00B51FB7"/>
    <w:rsid w:val="00B53B55"/>
    <w:rsid w:val="00B5414A"/>
    <w:rsid w:val="00B54661"/>
    <w:rsid w:val="00B54F1C"/>
    <w:rsid w:val="00B55309"/>
    <w:rsid w:val="00B56ACF"/>
    <w:rsid w:val="00B5708B"/>
    <w:rsid w:val="00B6064D"/>
    <w:rsid w:val="00B60D6C"/>
    <w:rsid w:val="00B613FF"/>
    <w:rsid w:val="00B614D3"/>
    <w:rsid w:val="00B62254"/>
    <w:rsid w:val="00B62270"/>
    <w:rsid w:val="00B630FC"/>
    <w:rsid w:val="00B63ABD"/>
    <w:rsid w:val="00B66611"/>
    <w:rsid w:val="00B67744"/>
    <w:rsid w:val="00B67B15"/>
    <w:rsid w:val="00B703B6"/>
    <w:rsid w:val="00B7617B"/>
    <w:rsid w:val="00B761D6"/>
    <w:rsid w:val="00B763E3"/>
    <w:rsid w:val="00B817DE"/>
    <w:rsid w:val="00B81E13"/>
    <w:rsid w:val="00B8208C"/>
    <w:rsid w:val="00B821AF"/>
    <w:rsid w:val="00B825DE"/>
    <w:rsid w:val="00B85774"/>
    <w:rsid w:val="00B85E66"/>
    <w:rsid w:val="00B90B19"/>
    <w:rsid w:val="00B90D6E"/>
    <w:rsid w:val="00B93D94"/>
    <w:rsid w:val="00B93FC0"/>
    <w:rsid w:val="00B94070"/>
    <w:rsid w:val="00B9618E"/>
    <w:rsid w:val="00BA189C"/>
    <w:rsid w:val="00BA2BAF"/>
    <w:rsid w:val="00BA4E2B"/>
    <w:rsid w:val="00BA5A36"/>
    <w:rsid w:val="00BA6EDA"/>
    <w:rsid w:val="00BA70C1"/>
    <w:rsid w:val="00BA7508"/>
    <w:rsid w:val="00BA7770"/>
    <w:rsid w:val="00BA7CFF"/>
    <w:rsid w:val="00BA7E35"/>
    <w:rsid w:val="00BB02F6"/>
    <w:rsid w:val="00BB1103"/>
    <w:rsid w:val="00BB22C6"/>
    <w:rsid w:val="00BB3499"/>
    <w:rsid w:val="00BB504D"/>
    <w:rsid w:val="00BB682C"/>
    <w:rsid w:val="00BB71F5"/>
    <w:rsid w:val="00BC1C8E"/>
    <w:rsid w:val="00BC2308"/>
    <w:rsid w:val="00BC2D7F"/>
    <w:rsid w:val="00BC7CF9"/>
    <w:rsid w:val="00BD1D2E"/>
    <w:rsid w:val="00BD363F"/>
    <w:rsid w:val="00BD5AD0"/>
    <w:rsid w:val="00BD5DB7"/>
    <w:rsid w:val="00BD685D"/>
    <w:rsid w:val="00BD7677"/>
    <w:rsid w:val="00BE1367"/>
    <w:rsid w:val="00BE252E"/>
    <w:rsid w:val="00BE3A72"/>
    <w:rsid w:val="00BE3E7B"/>
    <w:rsid w:val="00BE4361"/>
    <w:rsid w:val="00BE65CB"/>
    <w:rsid w:val="00BE6F8B"/>
    <w:rsid w:val="00BE766F"/>
    <w:rsid w:val="00BE7E9A"/>
    <w:rsid w:val="00BF1CFD"/>
    <w:rsid w:val="00BF30D8"/>
    <w:rsid w:val="00BF55ED"/>
    <w:rsid w:val="00BF571E"/>
    <w:rsid w:val="00BF61D7"/>
    <w:rsid w:val="00BF6304"/>
    <w:rsid w:val="00BF65AD"/>
    <w:rsid w:val="00BF6785"/>
    <w:rsid w:val="00C00AAD"/>
    <w:rsid w:val="00C00B59"/>
    <w:rsid w:val="00C00B7C"/>
    <w:rsid w:val="00C05F42"/>
    <w:rsid w:val="00C061C1"/>
    <w:rsid w:val="00C0737E"/>
    <w:rsid w:val="00C07A78"/>
    <w:rsid w:val="00C10CEC"/>
    <w:rsid w:val="00C121DE"/>
    <w:rsid w:val="00C1387B"/>
    <w:rsid w:val="00C1573F"/>
    <w:rsid w:val="00C15D80"/>
    <w:rsid w:val="00C178A8"/>
    <w:rsid w:val="00C20169"/>
    <w:rsid w:val="00C21449"/>
    <w:rsid w:val="00C21551"/>
    <w:rsid w:val="00C2218E"/>
    <w:rsid w:val="00C222FF"/>
    <w:rsid w:val="00C23293"/>
    <w:rsid w:val="00C23577"/>
    <w:rsid w:val="00C23ADE"/>
    <w:rsid w:val="00C258BF"/>
    <w:rsid w:val="00C25F00"/>
    <w:rsid w:val="00C2605C"/>
    <w:rsid w:val="00C30463"/>
    <w:rsid w:val="00C30C97"/>
    <w:rsid w:val="00C32053"/>
    <w:rsid w:val="00C32B74"/>
    <w:rsid w:val="00C40381"/>
    <w:rsid w:val="00C42477"/>
    <w:rsid w:val="00C43215"/>
    <w:rsid w:val="00C4383C"/>
    <w:rsid w:val="00C43A66"/>
    <w:rsid w:val="00C524A0"/>
    <w:rsid w:val="00C5315B"/>
    <w:rsid w:val="00C54025"/>
    <w:rsid w:val="00C555D2"/>
    <w:rsid w:val="00C56B15"/>
    <w:rsid w:val="00C57D73"/>
    <w:rsid w:val="00C60547"/>
    <w:rsid w:val="00C62307"/>
    <w:rsid w:val="00C63840"/>
    <w:rsid w:val="00C638BC"/>
    <w:rsid w:val="00C639E3"/>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8065B"/>
    <w:rsid w:val="00C81437"/>
    <w:rsid w:val="00C81BDA"/>
    <w:rsid w:val="00C81E80"/>
    <w:rsid w:val="00C8323C"/>
    <w:rsid w:val="00C84779"/>
    <w:rsid w:val="00C848A2"/>
    <w:rsid w:val="00C84AAA"/>
    <w:rsid w:val="00C852BF"/>
    <w:rsid w:val="00C85B0E"/>
    <w:rsid w:val="00C90153"/>
    <w:rsid w:val="00C90752"/>
    <w:rsid w:val="00C90862"/>
    <w:rsid w:val="00C90E3A"/>
    <w:rsid w:val="00C92C0A"/>
    <w:rsid w:val="00C92EBC"/>
    <w:rsid w:val="00C93805"/>
    <w:rsid w:val="00C9549E"/>
    <w:rsid w:val="00C95652"/>
    <w:rsid w:val="00C95888"/>
    <w:rsid w:val="00CA02D1"/>
    <w:rsid w:val="00CA04CA"/>
    <w:rsid w:val="00CA1B60"/>
    <w:rsid w:val="00CA37F3"/>
    <w:rsid w:val="00CA490C"/>
    <w:rsid w:val="00CA4DFD"/>
    <w:rsid w:val="00CA60E6"/>
    <w:rsid w:val="00CB006D"/>
    <w:rsid w:val="00CB0DB6"/>
    <w:rsid w:val="00CB0DF8"/>
    <w:rsid w:val="00CB18EE"/>
    <w:rsid w:val="00CB2B6B"/>
    <w:rsid w:val="00CB2D9F"/>
    <w:rsid w:val="00CB3CC1"/>
    <w:rsid w:val="00CB43DC"/>
    <w:rsid w:val="00CB45C7"/>
    <w:rsid w:val="00CB523C"/>
    <w:rsid w:val="00CB672F"/>
    <w:rsid w:val="00CB6A3B"/>
    <w:rsid w:val="00CB76D2"/>
    <w:rsid w:val="00CC2D6E"/>
    <w:rsid w:val="00CC3F97"/>
    <w:rsid w:val="00CC4DB6"/>
    <w:rsid w:val="00CC4FAB"/>
    <w:rsid w:val="00CC6A85"/>
    <w:rsid w:val="00CC7A9E"/>
    <w:rsid w:val="00CD0EB4"/>
    <w:rsid w:val="00CD2A38"/>
    <w:rsid w:val="00CD330D"/>
    <w:rsid w:val="00CD3AF0"/>
    <w:rsid w:val="00CD46BA"/>
    <w:rsid w:val="00CD6E9F"/>
    <w:rsid w:val="00CD74E9"/>
    <w:rsid w:val="00CD7772"/>
    <w:rsid w:val="00CD7AAC"/>
    <w:rsid w:val="00CD7BAD"/>
    <w:rsid w:val="00CD7BFE"/>
    <w:rsid w:val="00CE0199"/>
    <w:rsid w:val="00CE05CA"/>
    <w:rsid w:val="00CE14FA"/>
    <w:rsid w:val="00CE1F04"/>
    <w:rsid w:val="00CE2304"/>
    <w:rsid w:val="00CE51BA"/>
    <w:rsid w:val="00CE712C"/>
    <w:rsid w:val="00CE788F"/>
    <w:rsid w:val="00CE7F90"/>
    <w:rsid w:val="00CF047B"/>
    <w:rsid w:val="00CF09B7"/>
    <w:rsid w:val="00CF35D8"/>
    <w:rsid w:val="00CF4A4A"/>
    <w:rsid w:val="00CF671E"/>
    <w:rsid w:val="00CF6E47"/>
    <w:rsid w:val="00D0096C"/>
    <w:rsid w:val="00D0142E"/>
    <w:rsid w:val="00D031CE"/>
    <w:rsid w:val="00D034D9"/>
    <w:rsid w:val="00D04925"/>
    <w:rsid w:val="00D060D6"/>
    <w:rsid w:val="00D1085A"/>
    <w:rsid w:val="00D11BBB"/>
    <w:rsid w:val="00D11FC5"/>
    <w:rsid w:val="00D130F5"/>
    <w:rsid w:val="00D135AB"/>
    <w:rsid w:val="00D143B1"/>
    <w:rsid w:val="00D15D72"/>
    <w:rsid w:val="00D15FF7"/>
    <w:rsid w:val="00D1754B"/>
    <w:rsid w:val="00D176DF"/>
    <w:rsid w:val="00D20C63"/>
    <w:rsid w:val="00D21775"/>
    <w:rsid w:val="00D2221B"/>
    <w:rsid w:val="00D223C4"/>
    <w:rsid w:val="00D225AB"/>
    <w:rsid w:val="00D2366D"/>
    <w:rsid w:val="00D2553A"/>
    <w:rsid w:val="00D25575"/>
    <w:rsid w:val="00D25CA6"/>
    <w:rsid w:val="00D26E54"/>
    <w:rsid w:val="00D3398C"/>
    <w:rsid w:val="00D370D2"/>
    <w:rsid w:val="00D37651"/>
    <w:rsid w:val="00D4008B"/>
    <w:rsid w:val="00D41493"/>
    <w:rsid w:val="00D43A25"/>
    <w:rsid w:val="00D4516C"/>
    <w:rsid w:val="00D452F9"/>
    <w:rsid w:val="00D46118"/>
    <w:rsid w:val="00D46C0A"/>
    <w:rsid w:val="00D46EBF"/>
    <w:rsid w:val="00D47C6F"/>
    <w:rsid w:val="00D50226"/>
    <w:rsid w:val="00D508A1"/>
    <w:rsid w:val="00D511D7"/>
    <w:rsid w:val="00D51478"/>
    <w:rsid w:val="00D52214"/>
    <w:rsid w:val="00D53241"/>
    <w:rsid w:val="00D53F28"/>
    <w:rsid w:val="00D548C1"/>
    <w:rsid w:val="00D551D1"/>
    <w:rsid w:val="00D600BA"/>
    <w:rsid w:val="00D607EA"/>
    <w:rsid w:val="00D62D38"/>
    <w:rsid w:val="00D637C7"/>
    <w:rsid w:val="00D662F4"/>
    <w:rsid w:val="00D67DF2"/>
    <w:rsid w:val="00D71664"/>
    <w:rsid w:val="00D73861"/>
    <w:rsid w:val="00D74F1B"/>
    <w:rsid w:val="00D75307"/>
    <w:rsid w:val="00D76F7A"/>
    <w:rsid w:val="00D77F2E"/>
    <w:rsid w:val="00D80268"/>
    <w:rsid w:val="00D80891"/>
    <w:rsid w:val="00D80B2F"/>
    <w:rsid w:val="00D8186B"/>
    <w:rsid w:val="00D85766"/>
    <w:rsid w:val="00D85CE3"/>
    <w:rsid w:val="00D862E4"/>
    <w:rsid w:val="00D8670A"/>
    <w:rsid w:val="00D94FDF"/>
    <w:rsid w:val="00D95B28"/>
    <w:rsid w:val="00D96107"/>
    <w:rsid w:val="00D97E2E"/>
    <w:rsid w:val="00D97EEC"/>
    <w:rsid w:val="00DA12E5"/>
    <w:rsid w:val="00DA1E5E"/>
    <w:rsid w:val="00DA20FD"/>
    <w:rsid w:val="00DA344F"/>
    <w:rsid w:val="00DA49D9"/>
    <w:rsid w:val="00DA4F05"/>
    <w:rsid w:val="00DA5AFE"/>
    <w:rsid w:val="00DB1610"/>
    <w:rsid w:val="00DB22C1"/>
    <w:rsid w:val="00DB3BAD"/>
    <w:rsid w:val="00DB57A5"/>
    <w:rsid w:val="00DB6943"/>
    <w:rsid w:val="00DC08AF"/>
    <w:rsid w:val="00DC0EAF"/>
    <w:rsid w:val="00DC3AD1"/>
    <w:rsid w:val="00DC4682"/>
    <w:rsid w:val="00DC4719"/>
    <w:rsid w:val="00DC5789"/>
    <w:rsid w:val="00DC5DF9"/>
    <w:rsid w:val="00DC71F4"/>
    <w:rsid w:val="00DC7F93"/>
    <w:rsid w:val="00DD1A4D"/>
    <w:rsid w:val="00DD24C3"/>
    <w:rsid w:val="00DD38BA"/>
    <w:rsid w:val="00DD42C1"/>
    <w:rsid w:val="00DD5863"/>
    <w:rsid w:val="00DD7F1E"/>
    <w:rsid w:val="00DE0260"/>
    <w:rsid w:val="00DE2956"/>
    <w:rsid w:val="00DE49FC"/>
    <w:rsid w:val="00DE4BFC"/>
    <w:rsid w:val="00DE6F07"/>
    <w:rsid w:val="00DE779B"/>
    <w:rsid w:val="00DF0EDB"/>
    <w:rsid w:val="00DF0FA4"/>
    <w:rsid w:val="00DF1595"/>
    <w:rsid w:val="00DF161C"/>
    <w:rsid w:val="00DF202B"/>
    <w:rsid w:val="00DF3952"/>
    <w:rsid w:val="00DF5226"/>
    <w:rsid w:val="00DF5BCF"/>
    <w:rsid w:val="00DF6664"/>
    <w:rsid w:val="00DF7444"/>
    <w:rsid w:val="00DF7E3B"/>
    <w:rsid w:val="00E011C0"/>
    <w:rsid w:val="00E02220"/>
    <w:rsid w:val="00E03E63"/>
    <w:rsid w:val="00E05FD7"/>
    <w:rsid w:val="00E06A0B"/>
    <w:rsid w:val="00E07E9F"/>
    <w:rsid w:val="00E11C12"/>
    <w:rsid w:val="00E126B4"/>
    <w:rsid w:val="00E12BAC"/>
    <w:rsid w:val="00E135BC"/>
    <w:rsid w:val="00E13DEC"/>
    <w:rsid w:val="00E14E27"/>
    <w:rsid w:val="00E153F3"/>
    <w:rsid w:val="00E17263"/>
    <w:rsid w:val="00E17EBB"/>
    <w:rsid w:val="00E213F8"/>
    <w:rsid w:val="00E23348"/>
    <w:rsid w:val="00E2354C"/>
    <w:rsid w:val="00E238EC"/>
    <w:rsid w:val="00E267A7"/>
    <w:rsid w:val="00E27038"/>
    <w:rsid w:val="00E2770A"/>
    <w:rsid w:val="00E27A2B"/>
    <w:rsid w:val="00E306CE"/>
    <w:rsid w:val="00E31E2B"/>
    <w:rsid w:val="00E31F63"/>
    <w:rsid w:val="00E352CD"/>
    <w:rsid w:val="00E35FA1"/>
    <w:rsid w:val="00E36867"/>
    <w:rsid w:val="00E3789F"/>
    <w:rsid w:val="00E37BB2"/>
    <w:rsid w:val="00E41834"/>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4BD2"/>
    <w:rsid w:val="00E57C5A"/>
    <w:rsid w:val="00E60080"/>
    <w:rsid w:val="00E62A97"/>
    <w:rsid w:val="00E633E1"/>
    <w:rsid w:val="00E6488C"/>
    <w:rsid w:val="00E64ECA"/>
    <w:rsid w:val="00E66EB6"/>
    <w:rsid w:val="00E70613"/>
    <w:rsid w:val="00E711D6"/>
    <w:rsid w:val="00E717C8"/>
    <w:rsid w:val="00E729CA"/>
    <w:rsid w:val="00E732A9"/>
    <w:rsid w:val="00E747B2"/>
    <w:rsid w:val="00E7493A"/>
    <w:rsid w:val="00E74A01"/>
    <w:rsid w:val="00E77D14"/>
    <w:rsid w:val="00E810F9"/>
    <w:rsid w:val="00E81A0D"/>
    <w:rsid w:val="00E82039"/>
    <w:rsid w:val="00E82AE2"/>
    <w:rsid w:val="00E8371E"/>
    <w:rsid w:val="00E84AE6"/>
    <w:rsid w:val="00E908F1"/>
    <w:rsid w:val="00E90F04"/>
    <w:rsid w:val="00E91A57"/>
    <w:rsid w:val="00E92316"/>
    <w:rsid w:val="00E92352"/>
    <w:rsid w:val="00E927CA"/>
    <w:rsid w:val="00E93740"/>
    <w:rsid w:val="00E9396E"/>
    <w:rsid w:val="00E95170"/>
    <w:rsid w:val="00E96C61"/>
    <w:rsid w:val="00EA03CA"/>
    <w:rsid w:val="00EA2750"/>
    <w:rsid w:val="00EA49AC"/>
    <w:rsid w:val="00EA5E80"/>
    <w:rsid w:val="00EA6FA7"/>
    <w:rsid w:val="00EA7155"/>
    <w:rsid w:val="00EB0C06"/>
    <w:rsid w:val="00EB1811"/>
    <w:rsid w:val="00EB1B1F"/>
    <w:rsid w:val="00EB2FD9"/>
    <w:rsid w:val="00EB61CB"/>
    <w:rsid w:val="00EB70BE"/>
    <w:rsid w:val="00EC0F49"/>
    <w:rsid w:val="00EC176A"/>
    <w:rsid w:val="00EC208F"/>
    <w:rsid w:val="00EC2F8C"/>
    <w:rsid w:val="00EC459B"/>
    <w:rsid w:val="00EC4DE5"/>
    <w:rsid w:val="00EC4E55"/>
    <w:rsid w:val="00EC575C"/>
    <w:rsid w:val="00EC5D5F"/>
    <w:rsid w:val="00EC615C"/>
    <w:rsid w:val="00EC6F4A"/>
    <w:rsid w:val="00EC7A10"/>
    <w:rsid w:val="00EC7F68"/>
    <w:rsid w:val="00ED018D"/>
    <w:rsid w:val="00ED09B5"/>
    <w:rsid w:val="00ED1630"/>
    <w:rsid w:val="00ED1E15"/>
    <w:rsid w:val="00ED30B4"/>
    <w:rsid w:val="00ED312D"/>
    <w:rsid w:val="00ED4DAA"/>
    <w:rsid w:val="00ED7BAF"/>
    <w:rsid w:val="00EE307C"/>
    <w:rsid w:val="00EE3AFF"/>
    <w:rsid w:val="00EE4046"/>
    <w:rsid w:val="00EE47D1"/>
    <w:rsid w:val="00EE5B70"/>
    <w:rsid w:val="00EE71E3"/>
    <w:rsid w:val="00EE77C6"/>
    <w:rsid w:val="00EE7C64"/>
    <w:rsid w:val="00EF1077"/>
    <w:rsid w:val="00EF14F4"/>
    <w:rsid w:val="00EF17C0"/>
    <w:rsid w:val="00EF1A57"/>
    <w:rsid w:val="00EF2BE3"/>
    <w:rsid w:val="00EF4E23"/>
    <w:rsid w:val="00EF4F8B"/>
    <w:rsid w:val="00EF5847"/>
    <w:rsid w:val="00F00A30"/>
    <w:rsid w:val="00F02130"/>
    <w:rsid w:val="00F071AF"/>
    <w:rsid w:val="00F07759"/>
    <w:rsid w:val="00F10E35"/>
    <w:rsid w:val="00F11878"/>
    <w:rsid w:val="00F119AE"/>
    <w:rsid w:val="00F12A03"/>
    <w:rsid w:val="00F14160"/>
    <w:rsid w:val="00F145E2"/>
    <w:rsid w:val="00F14A52"/>
    <w:rsid w:val="00F14AE8"/>
    <w:rsid w:val="00F173EE"/>
    <w:rsid w:val="00F2330A"/>
    <w:rsid w:val="00F23498"/>
    <w:rsid w:val="00F23A54"/>
    <w:rsid w:val="00F240A6"/>
    <w:rsid w:val="00F2748D"/>
    <w:rsid w:val="00F3083F"/>
    <w:rsid w:val="00F31563"/>
    <w:rsid w:val="00F341FA"/>
    <w:rsid w:val="00F361E0"/>
    <w:rsid w:val="00F407F3"/>
    <w:rsid w:val="00F413A3"/>
    <w:rsid w:val="00F41E0A"/>
    <w:rsid w:val="00F428E9"/>
    <w:rsid w:val="00F42C2F"/>
    <w:rsid w:val="00F444CB"/>
    <w:rsid w:val="00F44769"/>
    <w:rsid w:val="00F46F08"/>
    <w:rsid w:val="00F47C55"/>
    <w:rsid w:val="00F504CA"/>
    <w:rsid w:val="00F5075C"/>
    <w:rsid w:val="00F50A51"/>
    <w:rsid w:val="00F51B2A"/>
    <w:rsid w:val="00F529F7"/>
    <w:rsid w:val="00F52B88"/>
    <w:rsid w:val="00F530AF"/>
    <w:rsid w:val="00F54259"/>
    <w:rsid w:val="00F5549D"/>
    <w:rsid w:val="00F5779D"/>
    <w:rsid w:val="00F57E3C"/>
    <w:rsid w:val="00F61165"/>
    <w:rsid w:val="00F62BDB"/>
    <w:rsid w:val="00F65314"/>
    <w:rsid w:val="00F66920"/>
    <w:rsid w:val="00F66FD9"/>
    <w:rsid w:val="00F6778F"/>
    <w:rsid w:val="00F67A5C"/>
    <w:rsid w:val="00F70B4C"/>
    <w:rsid w:val="00F715DE"/>
    <w:rsid w:val="00F71EA0"/>
    <w:rsid w:val="00F728DF"/>
    <w:rsid w:val="00F73879"/>
    <w:rsid w:val="00F74E67"/>
    <w:rsid w:val="00F75B76"/>
    <w:rsid w:val="00F77445"/>
    <w:rsid w:val="00F7781C"/>
    <w:rsid w:val="00F80F2F"/>
    <w:rsid w:val="00F810FB"/>
    <w:rsid w:val="00F8187C"/>
    <w:rsid w:val="00F86A86"/>
    <w:rsid w:val="00F87C00"/>
    <w:rsid w:val="00F90588"/>
    <w:rsid w:val="00F9232F"/>
    <w:rsid w:val="00F928A6"/>
    <w:rsid w:val="00F93247"/>
    <w:rsid w:val="00F94C2A"/>
    <w:rsid w:val="00F9536A"/>
    <w:rsid w:val="00F96FAC"/>
    <w:rsid w:val="00F971A0"/>
    <w:rsid w:val="00FA07AA"/>
    <w:rsid w:val="00FA12EB"/>
    <w:rsid w:val="00FA2C6E"/>
    <w:rsid w:val="00FA4213"/>
    <w:rsid w:val="00FA6170"/>
    <w:rsid w:val="00FA65AE"/>
    <w:rsid w:val="00FA7C65"/>
    <w:rsid w:val="00FB0436"/>
    <w:rsid w:val="00FB179D"/>
    <w:rsid w:val="00FB2DD4"/>
    <w:rsid w:val="00FB391A"/>
    <w:rsid w:val="00FB3FFB"/>
    <w:rsid w:val="00FB4D4E"/>
    <w:rsid w:val="00FB7CC4"/>
    <w:rsid w:val="00FC0302"/>
    <w:rsid w:val="00FC0362"/>
    <w:rsid w:val="00FC1202"/>
    <w:rsid w:val="00FC12F9"/>
    <w:rsid w:val="00FC1836"/>
    <w:rsid w:val="00FC336E"/>
    <w:rsid w:val="00FC3C90"/>
    <w:rsid w:val="00FC4BCC"/>
    <w:rsid w:val="00FC6C36"/>
    <w:rsid w:val="00FC77C8"/>
    <w:rsid w:val="00FD14EB"/>
    <w:rsid w:val="00FD183C"/>
    <w:rsid w:val="00FD1B98"/>
    <w:rsid w:val="00FD1D96"/>
    <w:rsid w:val="00FD1EB9"/>
    <w:rsid w:val="00FD2918"/>
    <w:rsid w:val="00FD5D0E"/>
    <w:rsid w:val="00FD6184"/>
    <w:rsid w:val="00FD68F0"/>
    <w:rsid w:val="00FE1171"/>
    <w:rsid w:val="00FE2046"/>
    <w:rsid w:val="00FE291F"/>
    <w:rsid w:val="00FE3050"/>
    <w:rsid w:val="00FE3503"/>
    <w:rsid w:val="00FE50BF"/>
    <w:rsid w:val="00FE525C"/>
    <w:rsid w:val="00FE5570"/>
    <w:rsid w:val="00FE5895"/>
    <w:rsid w:val="00FE59B1"/>
    <w:rsid w:val="00FE6594"/>
    <w:rsid w:val="00FF02BD"/>
    <w:rsid w:val="00FF22B7"/>
    <w:rsid w:val="00FF3D4D"/>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124C6AC"/>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27A2B"/>
    <w:rPr>
      <w:sz w:val="22"/>
      <w:szCs w:val="22"/>
      <w:lang w:eastAsia="en-US"/>
    </w:rPr>
  </w:style>
  <w:style w:type="character" w:customStyle="1" w:styleId="IFTnormalCar">
    <w:name w:val="IFT normal Car"/>
    <w:basedOn w:val="Fuentedeprrafopredeter"/>
    <w:link w:val="IFTnormal"/>
    <w:locked/>
    <w:rsid w:val="006F38F1"/>
    <w:rPr>
      <w:rFonts w:ascii="ITC Avant Garde" w:eastAsia="Times New Roman" w:hAnsi="ITC Avant Garde"/>
      <w:iCs/>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3857">
      <w:bodyDiv w:val="1"/>
      <w:marLeft w:val="0"/>
      <w:marRight w:val="0"/>
      <w:marTop w:val="0"/>
      <w:marBottom w:val="0"/>
      <w:divBdr>
        <w:top w:val="none" w:sz="0" w:space="0" w:color="auto"/>
        <w:left w:val="none" w:sz="0" w:space="0" w:color="auto"/>
        <w:bottom w:val="none" w:sz="0" w:space="0" w:color="auto"/>
        <w:right w:val="none" w:sz="0" w:space="0" w:color="auto"/>
      </w:divBdr>
    </w:div>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39539397">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1803359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02901288">
      <w:bodyDiv w:val="1"/>
      <w:marLeft w:val="0"/>
      <w:marRight w:val="0"/>
      <w:marTop w:val="0"/>
      <w:marBottom w:val="0"/>
      <w:divBdr>
        <w:top w:val="none" w:sz="0" w:space="0" w:color="auto"/>
        <w:left w:val="none" w:sz="0" w:space="0" w:color="auto"/>
        <w:bottom w:val="none" w:sz="0" w:space="0" w:color="auto"/>
        <w:right w:val="none" w:sz="0" w:space="0" w:color="auto"/>
      </w:divBdr>
      <w:divsChild>
        <w:div w:id="195583301">
          <w:marLeft w:val="0"/>
          <w:marRight w:val="0"/>
          <w:marTop w:val="0"/>
          <w:marBottom w:val="0"/>
          <w:divBdr>
            <w:top w:val="none" w:sz="0" w:space="0" w:color="auto"/>
            <w:left w:val="none" w:sz="0" w:space="0" w:color="auto"/>
            <w:bottom w:val="none" w:sz="0" w:space="0" w:color="auto"/>
            <w:right w:val="none" w:sz="0" w:space="0" w:color="auto"/>
          </w:divBdr>
          <w:divsChild>
            <w:div w:id="2052995743">
              <w:marLeft w:val="0"/>
              <w:marRight w:val="0"/>
              <w:marTop w:val="0"/>
              <w:marBottom w:val="0"/>
              <w:divBdr>
                <w:top w:val="none" w:sz="0" w:space="0" w:color="auto"/>
                <w:left w:val="none" w:sz="0" w:space="0" w:color="auto"/>
                <w:bottom w:val="none" w:sz="0" w:space="0" w:color="auto"/>
                <w:right w:val="none" w:sz="0" w:space="0" w:color="auto"/>
              </w:divBdr>
              <w:divsChild>
                <w:div w:id="438378879">
                  <w:marLeft w:val="0"/>
                  <w:marRight w:val="0"/>
                  <w:marTop w:val="0"/>
                  <w:marBottom w:val="0"/>
                  <w:divBdr>
                    <w:top w:val="none" w:sz="0" w:space="0" w:color="auto"/>
                    <w:left w:val="none" w:sz="0" w:space="0" w:color="auto"/>
                    <w:bottom w:val="none" w:sz="0" w:space="0" w:color="auto"/>
                    <w:right w:val="none" w:sz="0" w:space="0" w:color="auto"/>
                  </w:divBdr>
                  <w:divsChild>
                    <w:div w:id="2083528423">
                      <w:marLeft w:val="0"/>
                      <w:marRight w:val="0"/>
                      <w:marTop w:val="0"/>
                      <w:marBottom w:val="0"/>
                      <w:divBdr>
                        <w:top w:val="none" w:sz="0" w:space="0" w:color="auto"/>
                        <w:left w:val="none" w:sz="0" w:space="0" w:color="auto"/>
                        <w:bottom w:val="none" w:sz="0" w:space="0" w:color="auto"/>
                        <w:right w:val="none" w:sz="0" w:space="0" w:color="auto"/>
                      </w:divBdr>
                      <w:divsChild>
                        <w:div w:id="21364806">
                          <w:marLeft w:val="0"/>
                          <w:marRight w:val="0"/>
                          <w:marTop w:val="0"/>
                          <w:marBottom w:val="0"/>
                          <w:divBdr>
                            <w:top w:val="none" w:sz="0" w:space="0" w:color="auto"/>
                            <w:left w:val="none" w:sz="0" w:space="0" w:color="auto"/>
                            <w:bottom w:val="none" w:sz="0" w:space="0" w:color="auto"/>
                            <w:right w:val="none" w:sz="0" w:space="0" w:color="auto"/>
                          </w:divBdr>
                          <w:divsChild>
                            <w:div w:id="843475195">
                              <w:marLeft w:val="0"/>
                              <w:marRight w:val="0"/>
                              <w:marTop w:val="0"/>
                              <w:marBottom w:val="15"/>
                              <w:divBdr>
                                <w:top w:val="single" w:sz="6" w:space="0" w:color="D9D9D9"/>
                                <w:left w:val="single" w:sz="6" w:space="0" w:color="D9D9D9"/>
                                <w:bottom w:val="single" w:sz="6" w:space="0" w:color="D9D9D9"/>
                                <w:right w:val="single" w:sz="6" w:space="0" w:color="D9D9D9"/>
                              </w:divBdr>
                              <w:divsChild>
                                <w:div w:id="47070997">
                                  <w:marLeft w:val="0"/>
                                  <w:marRight w:val="0"/>
                                  <w:marTop w:val="0"/>
                                  <w:marBottom w:val="0"/>
                                  <w:divBdr>
                                    <w:top w:val="none" w:sz="0" w:space="0" w:color="auto"/>
                                    <w:left w:val="none" w:sz="0" w:space="0" w:color="auto"/>
                                    <w:bottom w:val="none" w:sz="0" w:space="0" w:color="auto"/>
                                    <w:right w:val="none" w:sz="0" w:space="0" w:color="auto"/>
                                  </w:divBdr>
                                  <w:divsChild>
                                    <w:div w:id="1115439909">
                                      <w:marLeft w:val="0"/>
                                      <w:marRight w:val="0"/>
                                      <w:marTop w:val="0"/>
                                      <w:marBottom w:val="0"/>
                                      <w:divBdr>
                                        <w:top w:val="none" w:sz="0" w:space="0" w:color="auto"/>
                                        <w:left w:val="none" w:sz="0" w:space="0" w:color="auto"/>
                                        <w:bottom w:val="none" w:sz="0" w:space="0" w:color="auto"/>
                                        <w:right w:val="none" w:sz="0" w:space="0" w:color="auto"/>
                                      </w:divBdr>
                                      <w:divsChild>
                                        <w:div w:id="12331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6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57991453">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29050538">
      <w:bodyDiv w:val="1"/>
      <w:marLeft w:val="0"/>
      <w:marRight w:val="0"/>
      <w:marTop w:val="0"/>
      <w:marBottom w:val="0"/>
      <w:divBdr>
        <w:top w:val="none" w:sz="0" w:space="0" w:color="auto"/>
        <w:left w:val="none" w:sz="0" w:space="0" w:color="auto"/>
        <w:bottom w:val="none" w:sz="0" w:space="0" w:color="auto"/>
        <w:right w:val="none" w:sz="0" w:space="0" w:color="auto"/>
      </w:divBdr>
    </w:div>
    <w:div w:id="931548313">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87733399">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30891052">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1997493750">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AbrirModal(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200.38.163.178/sjfsist/Paginas/DetalleGeneralV2.aspx?id=23537&amp;Clase=DetalleTesisEjecutor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9809583A-8C6F-4DF3-B777-FC79B38A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857DF77-D4B7-4D21-9FD0-36F2AB8B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10099</Words>
  <Characters>55545</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5</cp:revision>
  <cp:lastPrinted>2016-10-24T20:47:00Z</cp:lastPrinted>
  <dcterms:created xsi:type="dcterms:W3CDTF">2016-11-30T15:13:00Z</dcterms:created>
  <dcterms:modified xsi:type="dcterms:W3CDTF">2017-03-23T18:11:00Z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