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E85C" w14:textId="3D3B27AD" w:rsidR="00A96541" w:rsidRPr="00BE43C7" w:rsidRDefault="00A96541" w:rsidP="00372EB3">
      <w:pPr>
        <w:pStyle w:val="Ttulo1"/>
        <w:jc w:val="center"/>
      </w:pPr>
      <w:bookmarkStart w:id="0" w:name="_Toc113279310"/>
      <w:r w:rsidRPr="00BE43C7">
        <w:t>Acuerdo mediante el cual el Pleno del Instituto Federal de Telecomunicaciones clasifica la banda de frecuencias de 57-64 GHz como espectro libre y expide las condiciones técnicas de operación</w:t>
      </w:r>
      <w:bookmarkEnd w:id="0"/>
    </w:p>
    <w:p w14:paraId="38E0FFCB" w14:textId="77777777" w:rsidR="00A96541" w:rsidRDefault="00A96541" w:rsidP="00A96541">
      <w:pPr>
        <w:pStyle w:val="ANOTACION"/>
        <w:spacing w:before="120" w:after="120" w:line="240" w:lineRule="auto"/>
        <w:rPr>
          <w:rFonts w:ascii="ITC Avant Garde Std Bk" w:hAnsi="ITC Avant Garde Std Bk"/>
          <w:szCs w:val="18"/>
          <w:lang w:eastAsia="es-MX"/>
        </w:rPr>
      </w:pPr>
    </w:p>
    <w:p w14:paraId="2AC1D7A7" w14:textId="77777777" w:rsidR="00A96541" w:rsidRDefault="00000000" w:rsidP="00A96541">
      <w:pPr>
        <w:pStyle w:val="ANOTACION"/>
        <w:spacing w:before="120" w:after="120" w:line="240" w:lineRule="auto"/>
        <w:rPr>
          <w:rStyle w:val="Hipervnculo"/>
          <w:rFonts w:ascii="ITC Avant Garde Std Bk" w:hAnsi="ITC Avant Garde Std Bk"/>
          <w:sz w:val="16"/>
          <w:szCs w:val="16"/>
          <w:lang w:eastAsia="es-MX"/>
        </w:rPr>
      </w:pPr>
      <w:hyperlink r:id="rId11" w:history="1">
        <w:r w:rsidR="00A96541" w:rsidRPr="000431D3">
          <w:rPr>
            <w:rStyle w:val="Hipervnculo"/>
            <w:rFonts w:ascii="ITC Avant Garde Std Bk" w:hAnsi="ITC Avant Garde Std Bk"/>
            <w:sz w:val="16"/>
            <w:szCs w:val="16"/>
            <w:lang w:eastAsia="es-MX"/>
          </w:rPr>
          <w:t>Publicado en el Diario Oficial de la Federación el 9 de mayo de 2017</w:t>
        </w:r>
      </w:hyperlink>
    </w:p>
    <w:p w14:paraId="128E919F" w14:textId="23E0CA7A" w:rsidR="000B782D" w:rsidRPr="000431D3" w:rsidRDefault="000B782D" w:rsidP="000B782D">
      <w:pPr>
        <w:pStyle w:val="ANOTACION"/>
        <w:spacing w:before="120" w:after="120" w:line="240" w:lineRule="auto"/>
        <w:rPr>
          <w:rFonts w:ascii="ITC Avant Garde Std Bk" w:hAnsi="ITC Avant Garde Std Bk"/>
          <w:sz w:val="16"/>
          <w:szCs w:val="16"/>
          <w:lang w:eastAsia="es-MX"/>
        </w:rPr>
      </w:pPr>
      <w:hyperlink r:id="rId12" w:anchor="gsc.tab=0" w:history="1">
        <w:r w:rsidRPr="000B782D">
          <w:rPr>
            <w:rStyle w:val="Hipervnculo"/>
            <w:rFonts w:ascii="ITC Avant Garde Std Bk" w:hAnsi="ITC Avant Garde Std Bk"/>
            <w:sz w:val="16"/>
            <w:szCs w:val="16"/>
            <w:lang w:eastAsia="es-MX"/>
          </w:rPr>
          <w:t xml:space="preserve">Última modificación publicada en el </w:t>
        </w:r>
        <w:r>
          <w:rPr>
            <w:rStyle w:val="Hipervnculo"/>
            <w:rFonts w:ascii="ITC Avant Garde Std Bk" w:hAnsi="ITC Avant Garde Std Bk"/>
            <w:sz w:val="16"/>
            <w:szCs w:val="16"/>
            <w:lang w:eastAsia="es-MX"/>
          </w:rPr>
          <w:t>DOF</w:t>
        </w:r>
        <w:r w:rsidRPr="000B782D">
          <w:rPr>
            <w:rStyle w:val="Hipervnculo"/>
            <w:rFonts w:ascii="ITC Avant Garde Std Bk" w:hAnsi="ITC Avant Garde Std Bk"/>
            <w:sz w:val="16"/>
            <w:szCs w:val="16"/>
            <w:lang w:eastAsia="es-MX"/>
          </w:rPr>
          <w:t xml:space="preserve"> el 10 de septiembre de 2024</w:t>
        </w:r>
      </w:hyperlink>
    </w:p>
    <w:p w14:paraId="697AF164" w14:textId="53A36C5F" w:rsidR="00A96541" w:rsidRDefault="00A96541" w:rsidP="00F77791">
      <w:pPr>
        <w:pStyle w:val="ANOTACION"/>
        <w:spacing w:before="120" w:after="120" w:line="240" w:lineRule="auto"/>
        <w:jc w:val="left"/>
        <w:rPr>
          <w:rFonts w:ascii="ITC Avant Garde Std Bk" w:hAnsi="ITC Avant Garde Std Bk"/>
          <w:szCs w:val="18"/>
          <w:lang w:eastAsia="es-MX"/>
        </w:rPr>
      </w:pPr>
    </w:p>
    <w:sdt>
      <w:sdtPr>
        <w:rPr>
          <w:rFonts w:ascii="ITC Avant Garde" w:eastAsia="Times New Roman" w:hAnsi="ITC Avant Garde" w:cs="Times New Roman"/>
          <w:color w:val="auto"/>
          <w:sz w:val="18"/>
          <w:szCs w:val="24"/>
          <w:lang w:val="es-ES" w:eastAsia="es-ES"/>
        </w:rPr>
        <w:id w:val="1834795723"/>
        <w:docPartObj>
          <w:docPartGallery w:val="Table of Contents"/>
          <w:docPartUnique/>
        </w:docPartObj>
      </w:sdtPr>
      <w:sdtEndPr>
        <w:rPr>
          <w:b/>
          <w:bCs/>
        </w:rPr>
      </w:sdtEndPr>
      <w:sdtContent>
        <w:p w14:paraId="43E2E4D8" w14:textId="56F601C3" w:rsidR="00F77791" w:rsidRPr="00F77791" w:rsidRDefault="00F77791" w:rsidP="00F77791">
          <w:pPr>
            <w:pStyle w:val="TtuloTDC"/>
            <w:jc w:val="center"/>
            <w:rPr>
              <w:rFonts w:ascii="ITC Avant Garde" w:hAnsi="ITC Avant Garde"/>
              <w:b/>
              <w:color w:val="auto"/>
              <w:sz w:val="18"/>
              <w:szCs w:val="18"/>
            </w:rPr>
          </w:pPr>
          <w:r w:rsidRPr="00F77791">
            <w:rPr>
              <w:rFonts w:ascii="ITC Avant Garde" w:hAnsi="ITC Avant Garde"/>
              <w:b/>
              <w:color w:val="auto"/>
              <w:sz w:val="18"/>
              <w:szCs w:val="18"/>
            </w:rPr>
            <w:t>Contenido</w:t>
          </w:r>
        </w:p>
        <w:p w14:paraId="03A92B0A" w14:textId="32FEA1CD" w:rsidR="00F77791" w:rsidRDefault="00F77791">
          <w:pPr>
            <w:pStyle w:val="TDC1"/>
            <w:tabs>
              <w:tab w:val="right" w:leader="dot" w:pos="8828"/>
            </w:tabs>
            <w:rPr>
              <w:noProof/>
            </w:rPr>
          </w:pPr>
          <w:r>
            <w:fldChar w:fldCharType="begin"/>
          </w:r>
          <w:r>
            <w:instrText xml:space="preserve"> TOC \o "1-3" \h \z \u </w:instrText>
          </w:r>
          <w:r>
            <w:fldChar w:fldCharType="separate"/>
          </w:r>
          <w:hyperlink w:anchor="_Toc113279310" w:history="1">
            <w:r w:rsidRPr="00855A38">
              <w:rPr>
                <w:rStyle w:val="Hipervnculo"/>
                <w:noProof/>
              </w:rPr>
              <w:t>Acuerdo mediante el cual el Pleno del Instituto Federal de Telecomunicaciones clasifica la banda de frecuencias de 57-64 GHz como espectro libre y expide las condiciones técnicas de operación</w:t>
            </w:r>
            <w:r>
              <w:rPr>
                <w:noProof/>
                <w:webHidden/>
              </w:rPr>
              <w:tab/>
            </w:r>
            <w:r>
              <w:rPr>
                <w:noProof/>
                <w:webHidden/>
              </w:rPr>
              <w:fldChar w:fldCharType="begin"/>
            </w:r>
            <w:r>
              <w:rPr>
                <w:noProof/>
                <w:webHidden/>
              </w:rPr>
              <w:instrText xml:space="preserve"> PAGEREF _Toc113279310 \h </w:instrText>
            </w:r>
            <w:r>
              <w:rPr>
                <w:noProof/>
                <w:webHidden/>
              </w:rPr>
            </w:r>
            <w:r>
              <w:rPr>
                <w:noProof/>
                <w:webHidden/>
              </w:rPr>
              <w:fldChar w:fldCharType="separate"/>
            </w:r>
            <w:r w:rsidR="007F094A">
              <w:rPr>
                <w:noProof/>
                <w:webHidden/>
              </w:rPr>
              <w:t>1</w:t>
            </w:r>
            <w:r>
              <w:rPr>
                <w:noProof/>
                <w:webHidden/>
              </w:rPr>
              <w:fldChar w:fldCharType="end"/>
            </w:r>
          </w:hyperlink>
        </w:p>
        <w:p w14:paraId="0BE4D33C" w14:textId="2A815BDA" w:rsidR="00F77791" w:rsidRDefault="00000000">
          <w:pPr>
            <w:pStyle w:val="TDC2"/>
            <w:tabs>
              <w:tab w:val="right" w:leader="dot" w:pos="8828"/>
            </w:tabs>
            <w:rPr>
              <w:noProof/>
            </w:rPr>
          </w:pPr>
          <w:hyperlink w:anchor="_Toc113279311" w:history="1">
            <w:r w:rsidR="00F77791" w:rsidRPr="00855A38">
              <w:rPr>
                <w:rStyle w:val="Hipervnculo"/>
                <w:noProof/>
              </w:rPr>
              <w:t>Primero</w:t>
            </w:r>
            <w:r w:rsidR="00F77791">
              <w:rPr>
                <w:noProof/>
                <w:webHidden/>
              </w:rPr>
              <w:tab/>
            </w:r>
            <w:r w:rsidR="00F77791">
              <w:rPr>
                <w:noProof/>
                <w:webHidden/>
              </w:rPr>
              <w:fldChar w:fldCharType="begin"/>
            </w:r>
            <w:r w:rsidR="00F77791">
              <w:rPr>
                <w:noProof/>
                <w:webHidden/>
              </w:rPr>
              <w:instrText xml:space="preserve"> PAGEREF _Toc113279311 \h </w:instrText>
            </w:r>
            <w:r w:rsidR="00F77791">
              <w:rPr>
                <w:noProof/>
                <w:webHidden/>
              </w:rPr>
            </w:r>
            <w:r w:rsidR="00F77791">
              <w:rPr>
                <w:noProof/>
                <w:webHidden/>
              </w:rPr>
              <w:fldChar w:fldCharType="separate"/>
            </w:r>
            <w:r w:rsidR="007F094A">
              <w:rPr>
                <w:noProof/>
                <w:webHidden/>
              </w:rPr>
              <w:t>1</w:t>
            </w:r>
            <w:r w:rsidR="00F77791">
              <w:rPr>
                <w:noProof/>
                <w:webHidden/>
              </w:rPr>
              <w:fldChar w:fldCharType="end"/>
            </w:r>
          </w:hyperlink>
        </w:p>
        <w:p w14:paraId="64886BE7" w14:textId="68887DA3" w:rsidR="00F77791" w:rsidRDefault="00000000">
          <w:pPr>
            <w:pStyle w:val="TDC2"/>
            <w:tabs>
              <w:tab w:val="right" w:leader="dot" w:pos="8828"/>
            </w:tabs>
            <w:rPr>
              <w:noProof/>
            </w:rPr>
          </w:pPr>
          <w:hyperlink w:anchor="_Toc113279312" w:history="1">
            <w:r w:rsidR="00F77791" w:rsidRPr="00855A38">
              <w:rPr>
                <w:rStyle w:val="Hipervnculo"/>
                <w:noProof/>
              </w:rPr>
              <w:t>Segundo</w:t>
            </w:r>
            <w:r w:rsidR="00F77791">
              <w:rPr>
                <w:noProof/>
                <w:webHidden/>
              </w:rPr>
              <w:tab/>
            </w:r>
            <w:r w:rsidR="00F77791">
              <w:rPr>
                <w:noProof/>
                <w:webHidden/>
              </w:rPr>
              <w:fldChar w:fldCharType="begin"/>
            </w:r>
            <w:r w:rsidR="00F77791">
              <w:rPr>
                <w:noProof/>
                <w:webHidden/>
              </w:rPr>
              <w:instrText xml:space="preserve"> PAGEREF _Toc113279312 \h </w:instrText>
            </w:r>
            <w:r w:rsidR="00F77791">
              <w:rPr>
                <w:noProof/>
                <w:webHidden/>
              </w:rPr>
            </w:r>
            <w:r w:rsidR="00F77791">
              <w:rPr>
                <w:noProof/>
                <w:webHidden/>
              </w:rPr>
              <w:fldChar w:fldCharType="separate"/>
            </w:r>
            <w:r w:rsidR="007F094A">
              <w:rPr>
                <w:noProof/>
                <w:webHidden/>
              </w:rPr>
              <w:t>1</w:t>
            </w:r>
            <w:r w:rsidR="00F77791">
              <w:rPr>
                <w:noProof/>
                <w:webHidden/>
              </w:rPr>
              <w:fldChar w:fldCharType="end"/>
            </w:r>
          </w:hyperlink>
        </w:p>
        <w:p w14:paraId="60A06537" w14:textId="52E006DC" w:rsidR="00F77791" w:rsidRDefault="00000000">
          <w:pPr>
            <w:pStyle w:val="TDC2"/>
            <w:tabs>
              <w:tab w:val="right" w:leader="dot" w:pos="8828"/>
            </w:tabs>
            <w:rPr>
              <w:noProof/>
            </w:rPr>
          </w:pPr>
          <w:hyperlink w:anchor="_Toc113279313" w:history="1">
            <w:r w:rsidR="00F77791" w:rsidRPr="00855A38">
              <w:rPr>
                <w:rStyle w:val="Hipervnculo"/>
                <w:noProof/>
              </w:rPr>
              <w:t>Tercero</w:t>
            </w:r>
            <w:r w:rsidR="00F77791">
              <w:rPr>
                <w:noProof/>
                <w:webHidden/>
              </w:rPr>
              <w:tab/>
            </w:r>
            <w:r w:rsidR="00F77791">
              <w:rPr>
                <w:noProof/>
                <w:webHidden/>
              </w:rPr>
              <w:fldChar w:fldCharType="begin"/>
            </w:r>
            <w:r w:rsidR="00F77791">
              <w:rPr>
                <w:noProof/>
                <w:webHidden/>
              </w:rPr>
              <w:instrText xml:space="preserve"> PAGEREF _Toc113279313 \h </w:instrText>
            </w:r>
            <w:r w:rsidR="00F77791">
              <w:rPr>
                <w:noProof/>
                <w:webHidden/>
              </w:rPr>
            </w:r>
            <w:r w:rsidR="00F77791">
              <w:rPr>
                <w:noProof/>
                <w:webHidden/>
              </w:rPr>
              <w:fldChar w:fldCharType="separate"/>
            </w:r>
            <w:r w:rsidR="007F094A">
              <w:rPr>
                <w:noProof/>
                <w:webHidden/>
              </w:rPr>
              <w:t>1</w:t>
            </w:r>
            <w:r w:rsidR="00F77791">
              <w:rPr>
                <w:noProof/>
                <w:webHidden/>
              </w:rPr>
              <w:fldChar w:fldCharType="end"/>
            </w:r>
          </w:hyperlink>
        </w:p>
        <w:p w14:paraId="0457E931" w14:textId="5F3BE3FE" w:rsidR="00F77791" w:rsidRDefault="00000000">
          <w:pPr>
            <w:pStyle w:val="TDC2"/>
            <w:tabs>
              <w:tab w:val="right" w:leader="dot" w:pos="8828"/>
            </w:tabs>
            <w:rPr>
              <w:noProof/>
            </w:rPr>
          </w:pPr>
          <w:hyperlink w:anchor="_Toc113279314" w:history="1">
            <w:r w:rsidR="00F77791" w:rsidRPr="00855A38">
              <w:rPr>
                <w:rStyle w:val="Hipervnculo"/>
                <w:noProof/>
              </w:rPr>
              <w:t>Cuarto</w:t>
            </w:r>
            <w:r w:rsidR="00F77791">
              <w:rPr>
                <w:noProof/>
                <w:webHidden/>
              </w:rPr>
              <w:tab/>
            </w:r>
            <w:r w:rsidR="00F77791">
              <w:rPr>
                <w:noProof/>
                <w:webHidden/>
              </w:rPr>
              <w:fldChar w:fldCharType="begin"/>
            </w:r>
            <w:r w:rsidR="00F77791">
              <w:rPr>
                <w:noProof/>
                <w:webHidden/>
              </w:rPr>
              <w:instrText xml:space="preserve"> PAGEREF _Toc113279314 \h </w:instrText>
            </w:r>
            <w:r w:rsidR="00F77791">
              <w:rPr>
                <w:noProof/>
                <w:webHidden/>
              </w:rPr>
            </w:r>
            <w:r w:rsidR="00F77791">
              <w:rPr>
                <w:noProof/>
                <w:webHidden/>
              </w:rPr>
              <w:fldChar w:fldCharType="separate"/>
            </w:r>
            <w:r w:rsidR="007F094A">
              <w:rPr>
                <w:noProof/>
                <w:webHidden/>
              </w:rPr>
              <w:t>1</w:t>
            </w:r>
            <w:r w:rsidR="00F77791">
              <w:rPr>
                <w:noProof/>
                <w:webHidden/>
              </w:rPr>
              <w:fldChar w:fldCharType="end"/>
            </w:r>
          </w:hyperlink>
        </w:p>
        <w:p w14:paraId="3B99BA18" w14:textId="6D114C72" w:rsidR="00F77791" w:rsidRDefault="00000000">
          <w:pPr>
            <w:pStyle w:val="TDC1"/>
            <w:tabs>
              <w:tab w:val="right" w:leader="dot" w:pos="8828"/>
            </w:tabs>
            <w:rPr>
              <w:noProof/>
            </w:rPr>
          </w:pPr>
          <w:hyperlink w:anchor="_Toc113279315" w:history="1">
            <w:r w:rsidR="00F77791" w:rsidRPr="00855A38">
              <w:rPr>
                <w:rStyle w:val="Hipervnculo"/>
                <w:noProof/>
                <w:lang w:eastAsia="es-MX"/>
              </w:rPr>
              <w:t>ANEXO 1</w:t>
            </w:r>
            <w:r w:rsidR="00F77791">
              <w:rPr>
                <w:noProof/>
                <w:webHidden/>
              </w:rPr>
              <w:tab/>
            </w:r>
            <w:r w:rsidR="00F77791">
              <w:rPr>
                <w:noProof/>
                <w:webHidden/>
              </w:rPr>
              <w:fldChar w:fldCharType="begin"/>
            </w:r>
            <w:r w:rsidR="00F77791">
              <w:rPr>
                <w:noProof/>
                <w:webHidden/>
              </w:rPr>
              <w:instrText xml:space="preserve"> PAGEREF _Toc113279315 \h </w:instrText>
            </w:r>
            <w:r w:rsidR="00F77791">
              <w:rPr>
                <w:noProof/>
                <w:webHidden/>
              </w:rPr>
            </w:r>
            <w:r w:rsidR="00F77791">
              <w:rPr>
                <w:noProof/>
                <w:webHidden/>
              </w:rPr>
              <w:fldChar w:fldCharType="separate"/>
            </w:r>
            <w:r w:rsidR="007F094A">
              <w:rPr>
                <w:noProof/>
                <w:webHidden/>
              </w:rPr>
              <w:t>2</w:t>
            </w:r>
            <w:r w:rsidR="00F77791">
              <w:rPr>
                <w:noProof/>
                <w:webHidden/>
              </w:rPr>
              <w:fldChar w:fldCharType="end"/>
            </w:r>
          </w:hyperlink>
        </w:p>
        <w:p w14:paraId="1384F487" w14:textId="48FC0A4C" w:rsidR="00F77791" w:rsidRDefault="00000000">
          <w:pPr>
            <w:pStyle w:val="TDC2"/>
            <w:tabs>
              <w:tab w:val="left" w:pos="660"/>
              <w:tab w:val="right" w:leader="dot" w:pos="8828"/>
            </w:tabs>
            <w:rPr>
              <w:noProof/>
            </w:rPr>
          </w:pPr>
          <w:hyperlink w:anchor="_Toc113279316" w:history="1">
            <w:r w:rsidR="00F77791" w:rsidRPr="00855A38">
              <w:rPr>
                <w:rStyle w:val="Hipervnculo"/>
                <w:noProof/>
                <w:lang w:eastAsia="es-MX"/>
              </w:rPr>
              <w:t>1.</w:t>
            </w:r>
            <w:r w:rsidR="00F77791">
              <w:rPr>
                <w:noProof/>
              </w:rPr>
              <w:tab/>
            </w:r>
            <w:r w:rsidR="00F77791" w:rsidRPr="00855A38">
              <w:rPr>
                <w:rStyle w:val="Hipervnculo"/>
                <w:noProof/>
                <w:lang w:eastAsia="es-MX"/>
              </w:rPr>
              <w:t>DEFINICIONES</w:t>
            </w:r>
            <w:r w:rsidR="00F77791">
              <w:rPr>
                <w:noProof/>
                <w:webHidden/>
              </w:rPr>
              <w:tab/>
            </w:r>
            <w:r w:rsidR="00F77791">
              <w:rPr>
                <w:noProof/>
                <w:webHidden/>
              </w:rPr>
              <w:fldChar w:fldCharType="begin"/>
            </w:r>
            <w:r w:rsidR="00F77791">
              <w:rPr>
                <w:noProof/>
                <w:webHidden/>
              </w:rPr>
              <w:instrText xml:space="preserve"> PAGEREF _Toc113279316 \h </w:instrText>
            </w:r>
            <w:r w:rsidR="00F77791">
              <w:rPr>
                <w:noProof/>
                <w:webHidden/>
              </w:rPr>
            </w:r>
            <w:r w:rsidR="00F77791">
              <w:rPr>
                <w:noProof/>
                <w:webHidden/>
              </w:rPr>
              <w:fldChar w:fldCharType="separate"/>
            </w:r>
            <w:r w:rsidR="007F094A">
              <w:rPr>
                <w:noProof/>
                <w:webHidden/>
              </w:rPr>
              <w:t>2</w:t>
            </w:r>
            <w:r w:rsidR="00F77791">
              <w:rPr>
                <w:noProof/>
                <w:webHidden/>
              </w:rPr>
              <w:fldChar w:fldCharType="end"/>
            </w:r>
          </w:hyperlink>
        </w:p>
        <w:p w14:paraId="6EA58F4B" w14:textId="0B81B8E8" w:rsidR="00F77791" w:rsidRDefault="00000000">
          <w:pPr>
            <w:pStyle w:val="TDC2"/>
            <w:tabs>
              <w:tab w:val="left" w:pos="660"/>
              <w:tab w:val="right" w:leader="dot" w:pos="8828"/>
            </w:tabs>
            <w:rPr>
              <w:noProof/>
            </w:rPr>
          </w:pPr>
          <w:hyperlink w:anchor="_Toc113279317" w:history="1">
            <w:r w:rsidR="00F77791" w:rsidRPr="00855A38">
              <w:rPr>
                <w:rStyle w:val="Hipervnculo"/>
                <w:noProof/>
                <w:lang w:eastAsia="es-MX"/>
              </w:rPr>
              <w:t>2.</w:t>
            </w:r>
            <w:r w:rsidR="00F77791">
              <w:rPr>
                <w:noProof/>
              </w:rPr>
              <w:tab/>
            </w:r>
            <w:r w:rsidR="00F77791" w:rsidRPr="00855A38">
              <w:rPr>
                <w:rStyle w:val="Hipervnculo"/>
                <w:noProof/>
                <w:lang w:eastAsia="es-MX"/>
              </w:rPr>
              <w:t>CONDICIONES TÉCNICAS DE OPERACIÓN EN LA BANDA DE FRECUENCIAS DE 57-64 GHz</w:t>
            </w:r>
            <w:r w:rsidR="00F77791">
              <w:rPr>
                <w:noProof/>
                <w:webHidden/>
              </w:rPr>
              <w:tab/>
            </w:r>
            <w:r w:rsidR="00F77791">
              <w:rPr>
                <w:noProof/>
                <w:webHidden/>
              </w:rPr>
              <w:fldChar w:fldCharType="begin"/>
            </w:r>
            <w:r w:rsidR="00F77791">
              <w:rPr>
                <w:noProof/>
                <w:webHidden/>
              </w:rPr>
              <w:instrText xml:space="preserve"> PAGEREF _Toc113279317 \h </w:instrText>
            </w:r>
            <w:r w:rsidR="00F77791">
              <w:rPr>
                <w:noProof/>
                <w:webHidden/>
              </w:rPr>
            </w:r>
            <w:r w:rsidR="00F77791">
              <w:rPr>
                <w:noProof/>
                <w:webHidden/>
              </w:rPr>
              <w:fldChar w:fldCharType="separate"/>
            </w:r>
            <w:r w:rsidR="007F094A">
              <w:rPr>
                <w:noProof/>
                <w:webHidden/>
              </w:rPr>
              <w:t>4</w:t>
            </w:r>
            <w:r w:rsidR="00F77791">
              <w:rPr>
                <w:noProof/>
                <w:webHidden/>
              </w:rPr>
              <w:fldChar w:fldCharType="end"/>
            </w:r>
          </w:hyperlink>
        </w:p>
        <w:p w14:paraId="727218F8" w14:textId="091A748D" w:rsidR="00F77791" w:rsidRDefault="00F77791">
          <w:r>
            <w:rPr>
              <w:b/>
              <w:bCs/>
            </w:rPr>
            <w:fldChar w:fldCharType="end"/>
          </w:r>
        </w:p>
      </w:sdtContent>
    </w:sdt>
    <w:p w14:paraId="290583F1" w14:textId="77777777" w:rsidR="00F77791" w:rsidRDefault="00F77791" w:rsidP="00797303">
      <w:pPr>
        <w:pStyle w:val="ANOTACION"/>
        <w:spacing w:before="120" w:after="120" w:line="240" w:lineRule="auto"/>
        <w:jc w:val="both"/>
        <w:rPr>
          <w:rFonts w:ascii="ITC Avant Garde Std Bk" w:hAnsi="ITC Avant Garde Std Bk"/>
          <w:szCs w:val="18"/>
          <w:lang w:eastAsia="es-MX"/>
        </w:rPr>
      </w:pPr>
    </w:p>
    <w:p w14:paraId="2C8B6D5C" w14:textId="77777777" w:rsidR="00A96541" w:rsidRPr="00E443DD" w:rsidRDefault="00A96541" w:rsidP="00A96541">
      <w:pPr>
        <w:pStyle w:val="Texto"/>
        <w:spacing w:before="120" w:after="120" w:line="240" w:lineRule="auto"/>
        <w:rPr>
          <w:rFonts w:ascii="ITC Avant Garde Std Bk" w:hAnsi="ITC Avant Garde Std Bk"/>
          <w:szCs w:val="18"/>
          <w:lang w:eastAsia="es-MX"/>
        </w:rPr>
      </w:pPr>
      <w:bookmarkStart w:id="1" w:name="_Toc113279311"/>
      <w:r w:rsidRPr="00372EB3">
        <w:rPr>
          <w:rStyle w:val="Ttulo2Car"/>
        </w:rPr>
        <w:t>Primero</w:t>
      </w:r>
      <w:bookmarkEnd w:id="1"/>
      <w:r w:rsidRPr="00E443DD">
        <w:rPr>
          <w:rFonts w:ascii="ITC Avant Garde Std Bk" w:hAnsi="ITC Avant Garde Std Bk"/>
          <w:b/>
          <w:caps/>
          <w:szCs w:val="18"/>
          <w:lang w:val="es-MX" w:eastAsia="es-MX"/>
        </w:rPr>
        <w:t xml:space="preserve">. </w:t>
      </w:r>
      <w:r w:rsidRPr="00E443DD">
        <w:rPr>
          <w:rFonts w:ascii="ITC Avant Garde Std Bk" w:hAnsi="ITC Avant Garde Std Bk"/>
          <w:szCs w:val="18"/>
          <w:lang w:eastAsia="es-MX"/>
        </w:rPr>
        <w:t>Se clasifica la banda de frecuencias de 57-64 GHz como espectro libre.</w:t>
      </w:r>
    </w:p>
    <w:p w14:paraId="7BEF28B4" w14:textId="77777777" w:rsidR="00A96541" w:rsidRPr="00E443DD" w:rsidRDefault="00A96541" w:rsidP="00A96541">
      <w:pPr>
        <w:pStyle w:val="Texto"/>
        <w:spacing w:before="120" w:after="120" w:line="240" w:lineRule="auto"/>
        <w:rPr>
          <w:rFonts w:ascii="ITC Avant Garde Std Bk" w:hAnsi="ITC Avant Garde Std Bk"/>
          <w:szCs w:val="18"/>
          <w:lang w:eastAsia="es-MX"/>
        </w:rPr>
      </w:pPr>
      <w:bookmarkStart w:id="2" w:name="_Toc113279312"/>
      <w:r w:rsidRPr="00372EB3">
        <w:rPr>
          <w:rStyle w:val="Ttulo2Car"/>
        </w:rPr>
        <w:t>Segundo</w:t>
      </w:r>
      <w:bookmarkEnd w:id="2"/>
      <w:r w:rsidRPr="00E443DD">
        <w:rPr>
          <w:rFonts w:ascii="ITC Avant Garde Std Bk" w:hAnsi="ITC Avant Garde Std Bk"/>
          <w:b/>
          <w:caps/>
          <w:szCs w:val="18"/>
          <w:lang w:val="es-MX" w:eastAsia="es-MX"/>
        </w:rPr>
        <w:t xml:space="preserve">. </w:t>
      </w:r>
      <w:r w:rsidRPr="00E443DD">
        <w:rPr>
          <w:rFonts w:ascii="ITC Avant Garde Std Bk" w:hAnsi="ITC Avant Garde Std Bk"/>
          <w:szCs w:val="18"/>
          <w:lang w:eastAsia="es-MX"/>
        </w:rPr>
        <w:t>Los sistemas, dispositivos o productos que utilicen la banda de frecuencias de 57-64 GHz deberán cumplir con las condiciones técnicas de operación establecidas en el Anexo 1 que forma parte del presente Acuerdo.</w:t>
      </w:r>
    </w:p>
    <w:p w14:paraId="20F969C5" w14:textId="77777777" w:rsidR="00A96541" w:rsidRPr="00E443DD" w:rsidRDefault="00A96541" w:rsidP="00A96541">
      <w:pPr>
        <w:pStyle w:val="Texto"/>
        <w:spacing w:before="120" w:after="120" w:line="240" w:lineRule="auto"/>
        <w:rPr>
          <w:rFonts w:ascii="ITC Avant Garde Std Bk" w:hAnsi="ITC Avant Garde Std Bk"/>
          <w:szCs w:val="18"/>
          <w:lang w:eastAsia="es-MX"/>
        </w:rPr>
      </w:pPr>
      <w:bookmarkStart w:id="3" w:name="_Toc113279313"/>
      <w:r w:rsidRPr="00372EB3">
        <w:rPr>
          <w:rStyle w:val="Ttulo2Car"/>
        </w:rPr>
        <w:t>Tercero</w:t>
      </w:r>
      <w:bookmarkEnd w:id="3"/>
      <w:r w:rsidRPr="00E443DD">
        <w:rPr>
          <w:rFonts w:ascii="ITC Avant Garde Std Bk" w:hAnsi="ITC Avant Garde Std Bk"/>
          <w:b/>
          <w:caps/>
          <w:szCs w:val="18"/>
          <w:lang w:val="es-MX" w:eastAsia="es-MX"/>
        </w:rPr>
        <w:t xml:space="preserve">. </w:t>
      </w:r>
      <w:r w:rsidRPr="00E443DD">
        <w:rPr>
          <w:rFonts w:ascii="ITC Avant Garde Std Bk" w:hAnsi="ITC Avant Garde Std Bk"/>
          <w:szCs w:val="18"/>
          <w:lang w:eastAsia="es-MX"/>
        </w:rPr>
        <w:t>Publíquese el presente Acuerdo junto con su Anexo 1 en el Diario Oficial de la Federación, así como en el portal de Internet del Instituto Federal de Telecomunicaciones.</w:t>
      </w:r>
    </w:p>
    <w:p w14:paraId="1B5B5F18" w14:textId="77777777" w:rsidR="00A96541" w:rsidRPr="00E443DD" w:rsidRDefault="00A96541" w:rsidP="00A96541">
      <w:pPr>
        <w:pStyle w:val="Texto"/>
        <w:spacing w:before="120" w:after="120" w:line="240" w:lineRule="auto"/>
        <w:rPr>
          <w:rFonts w:ascii="ITC Avant Garde Std Bk" w:hAnsi="ITC Avant Garde Std Bk"/>
          <w:szCs w:val="18"/>
          <w:lang w:eastAsia="es-MX"/>
        </w:rPr>
      </w:pPr>
      <w:bookmarkStart w:id="4" w:name="_Toc113279314"/>
      <w:r w:rsidRPr="00372EB3">
        <w:rPr>
          <w:rStyle w:val="Ttulo2Car"/>
        </w:rPr>
        <w:t>Cuarto</w:t>
      </w:r>
      <w:bookmarkEnd w:id="4"/>
      <w:r w:rsidRPr="00E443DD">
        <w:rPr>
          <w:rFonts w:ascii="ITC Avant Garde Std Bk" w:hAnsi="ITC Avant Garde Std Bk"/>
          <w:b/>
          <w:caps/>
          <w:szCs w:val="18"/>
          <w:lang w:val="es-MX" w:eastAsia="es-MX"/>
        </w:rPr>
        <w:t xml:space="preserve">. </w:t>
      </w:r>
      <w:r w:rsidRPr="00E443DD">
        <w:rPr>
          <w:rFonts w:ascii="ITC Avant Garde Std Bk" w:hAnsi="ITC Avant Garde Std Bk"/>
          <w:szCs w:val="18"/>
          <w:lang w:eastAsia="es-MX"/>
        </w:rPr>
        <w:t>El presente Acuerdo, junto con su Anexo I, entrarán en vigor al día siguiente de su publicación en el Diario Oficial de la Federación.</w:t>
      </w:r>
    </w:p>
    <w:p w14:paraId="1B5BDBDC" w14:textId="77777777" w:rsidR="00A96541" w:rsidRPr="00E443DD" w:rsidRDefault="00A96541" w:rsidP="00A96541">
      <w:pPr>
        <w:pStyle w:val="Texto"/>
        <w:spacing w:before="120" w:after="120" w:line="240" w:lineRule="auto"/>
        <w:rPr>
          <w:rFonts w:ascii="ITC Avant Garde Std Bk" w:hAnsi="ITC Avant Garde Std Bk"/>
          <w:szCs w:val="18"/>
          <w:lang w:eastAsia="es-MX"/>
        </w:rPr>
      </w:pPr>
      <w:r w:rsidRPr="00E443DD">
        <w:rPr>
          <w:rFonts w:ascii="ITC Avant Garde Std Bk" w:hAnsi="ITC Avant Garde Std Bk"/>
          <w:szCs w:val="18"/>
          <w:lang w:eastAsia="es-MX"/>
        </w:rPr>
        <w:t xml:space="preserve">El </w:t>
      </w:r>
      <w:r w:rsidRPr="00E443DD">
        <w:rPr>
          <w:rFonts w:ascii="ITC Avant Garde Std Bk" w:hAnsi="ITC Avant Garde Std Bk"/>
          <w:color w:val="000000"/>
          <w:szCs w:val="18"/>
          <w:lang w:eastAsia="es-MX"/>
        </w:rPr>
        <w:t xml:space="preserve">Comisionado Presidente, </w:t>
      </w:r>
      <w:r w:rsidRPr="00E443DD">
        <w:rPr>
          <w:rFonts w:ascii="ITC Avant Garde Std Bk" w:hAnsi="ITC Avant Garde Std Bk"/>
          <w:b/>
          <w:color w:val="000000"/>
          <w:szCs w:val="18"/>
          <w:lang w:eastAsia="es-MX"/>
        </w:rPr>
        <w:t xml:space="preserve">Gabriel Oswaldo Contreras </w:t>
      </w:r>
      <w:proofErr w:type="gramStart"/>
      <w:r w:rsidRPr="00E443DD">
        <w:rPr>
          <w:rFonts w:ascii="ITC Avant Garde Std Bk" w:hAnsi="ITC Avant Garde Std Bk"/>
          <w:b/>
          <w:color w:val="000000"/>
          <w:szCs w:val="18"/>
          <w:lang w:eastAsia="es-MX"/>
        </w:rPr>
        <w:t>Saldívar</w:t>
      </w:r>
      <w:r w:rsidRPr="00E443DD">
        <w:rPr>
          <w:rFonts w:ascii="ITC Avant Garde Std Bk" w:hAnsi="ITC Avant Garde Std Bk"/>
          <w:color w:val="000000"/>
          <w:szCs w:val="18"/>
          <w:lang w:eastAsia="es-MX"/>
        </w:rPr>
        <w:t>.-</w:t>
      </w:r>
      <w:proofErr w:type="gramEnd"/>
      <w:r w:rsidRPr="00E443DD">
        <w:rPr>
          <w:rFonts w:ascii="ITC Avant Garde Std Bk" w:hAnsi="ITC Avant Garde Std Bk"/>
          <w:color w:val="000000"/>
          <w:szCs w:val="18"/>
          <w:lang w:eastAsia="es-MX"/>
        </w:rPr>
        <w:t xml:space="preserve"> Rúbrica.- Los Comisionados: </w:t>
      </w:r>
      <w:r w:rsidRPr="00E443DD">
        <w:rPr>
          <w:rFonts w:ascii="ITC Avant Garde Std Bk" w:hAnsi="ITC Avant Garde Std Bk"/>
          <w:b/>
          <w:color w:val="000000"/>
          <w:szCs w:val="18"/>
          <w:lang w:eastAsia="es-MX"/>
        </w:rPr>
        <w:t xml:space="preserve">Adriana Sofía </w:t>
      </w:r>
      <w:proofErr w:type="spellStart"/>
      <w:r w:rsidRPr="00E443DD">
        <w:rPr>
          <w:rFonts w:ascii="ITC Avant Garde Std Bk" w:hAnsi="ITC Avant Garde Std Bk"/>
          <w:b/>
          <w:color w:val="000000"/>
          <w:szCs w:val="18"/>
          <w:lang w:eastAsia="es-MX"/>
        </w:rPr>
        <w:t>Labardini</w:t>
      </w:r>
      <w:proofErr w:type="spellEnd"/>
      <w:r w:rsidRPr="00E443DD">
        <w:rPr>
          <w:rFonts w:ascii="ITC Avant Garde Std Bk" w:hAnsi="ITC Avant Garde Std Bk"/>
          <w:b/>
          <w:color w:val="000000"/>
          <w:szCs w:val="18"/>
          <w:lang w:eastAsia="es-MX"/>
        </w:rPr>
        <w:t xml:space="preserve"> Inzunza</w:t>
      </w:r>
      <w:r w:rsidRPr="00E443DD">
        <w:rPr>
          <w:rFonts w:ascii="ITC Avant Garde Std Bk" w:hAnsi="ITC Avant Garde Std Bk"/>
          <w:color w:val="000000"/>
          <w:szCs w:val="18"/>
          <w:lang w:eastAsia="es-MX"/>
        </w:rPr>
        <w:t xml:space="preserve">, </w:t>
      </w:r>
      <w:r w:rsidRPr="00E443DD">
        <w:rPr>
          <w:rFonts w:ascii="ITC Avant Garde Std Bk" w:hAnsi="ITC Avant Garde Std Bk"/>
          <w:b/>
          <w:color w:val="000000"/>
          <w:szCs w:val="18"/>
          <w:lang w:eastAsia="es-MX"/>
        </w:rPr>
        <w:t xml:space="preserve">María Elena </w:t>
      </w:r>
      <w:proofErr w:type="spellStart"/>
      <w:r w:rsidRPr="00E443DD">
        <w:rPr>
          <w:rFonts w:ascii="ITC Avant Garde Std Bk" w:hAnsi="ITC Avant Garde Std Bk"/>
          <w:b/>
          <w:color w:val="000000"/>
          <w:szCs w:val="18"/>
          <w:lang w:eastAsia="es-MX"/>
        </w:rPr>
        <w:t>Estavillo</w:t>
      </w:r>
      <w:proofErr w:type="spellEnd"/>
      <w:r w:rsidRPr="00E443DD">
        <w:rPr>
          <w:rFonts w:ascii="ITC Avant Garde Std Bk" w:hAnsi="ITC Avant Garde Std Bk"/>
          <w:b/>
          <w:color w:val="000000"/>
          <w:szCs w:val="18"/>
          <w:lang w:eastAsia="es-MX"/>
        </w:rPr>
        <w:t xml:space="preserve"> Flores</w:t>
      </w:r>
      <w:r w:rsidRPr="00E443DD">
        <w:rPr>
          <w:rFonts w:ascii="ITC Avant Garde Std Bk" w:hAnsi="ITC Avant Garde Std Bk"/>
          <w:color w:val="000000"/>
          <w:szCs w:val="18"/>
          <w:lang w:eastAsia="es-MX"/>
        </w:rPr>
        <w:t xml:space="preserve">, </w:t>
      </w:r>
      <w:r w:rsidRPr="00E443DD">
        <w:rPr>
          <w:rFonts w:ascii="ITC Avant Garde Std Bk" w:hAnsi="ITC Avant Garde Std Bk"/>
          <w:b/>
          <w:color w:val="000000"/>
          <w:szCs w:val="18"/>
          <w:lang w:eastAsia="es-MX"/>
        </w:rPr>
        <w:t xml:space="preserve">Mario Germán </w:t>
      </w:r>
      <w:proofErr w:type="spellStart"/>
      <w:r w:rsidRPr="00E443DD">
        <w:rPr>
          <w:rFonts w:ascii="ITC Avant Garde Std Bk" w:hAnsi="ITC Avant Garde Std Bk"/>
          <w:b/>
          <w:color w:val="000000"/>
          <w:szCs w:val="18"/>
          <w:lang w:eastAsia="es-MX"/>
        </w:rPr>
        <w:t>Fromow</w:t>
      </w:r>
      <w:proofErr w:type="spellEnd"/>
      <w:r w:rsidRPr="00E443DD">
        <w:rPr>
          <w:rFonts w:ascii="ITC Avant Garde Std Bk" w:hAnsi="ITC Avant Garde Std Bk"/>
          <w:b/>
          <w:color w:val="000000"/>
          <w:szCs w:val="18"/>
          <w:lang w:eastAsia="es-MX"/>
        </w:rPr>
        <w:t xml:space="preserve"> Rangel</w:t>
      </w:r>
      <w:r w:rsidRPr="00E443DD">
        <w:rPr>
          <w:rFonts w:ascii="ITC Avant Garde Std Bk" w:hAnsi="ITC Avant Garde Std Bk"/>
          <w:color w:val="000000"/>
          <w:szCs w:val="18"/>
          <w:lang w:eastAsia="es-MX"/>
        </w:rPr>
        <w:t xml:space="preserve">, </w:t>
      </w:r>
      <w:r w:rsidRPr="00E443DD">
        <w:rPr>
          <w:rFonts w:ascii="ITC Avant Garde Std Bk" w:hAnsi="ITC Avant Garde Std Bk"/>
          <w:b/>
          <w:color w:val="000000"/>
          <w:szCs w:val="18"/>
          <w:lang w:eastAsia="es-MX"/>
        </w:rPr>
        <w:t>Adolfo Cuevas Teja</w:t>
      </w:r>
      <w:r w:rsidRPr="00E443DD">
        <w:rPr>
          <w:rFonts w:ascii="ITC Avant Garde Std Bk" w:hAnsi="ITC Avant Garde Std Bk"/>
          <w:color w:val="000000"/>
          <w:szCs w:val="18"/>
          <w:lang w:eastAsia="es-MX"/>
        </w:rPr>
        <w:t xml:space="preserve">, </w:t>
      </w:r>
      <w:r w:rsidRPr="00E443DD">
        <w:rPr>
          <w:rFonts w:ascii="ITC Avant Garde Std Bk" w:hAnsi="ITC Avant Garde Std Bk"/>
          <w:b/>
          <w:color w:val="000000"/>
          <w:szCs w:val="18"/>
          <w:lang w:eastAsia="es-MX"/>
        </w:rPr>
        <w:t>Javier Juárez Mojica</w:t>
      </w:r>
      <w:r w:rsidRPr="00E443DD">
        <w:rPr>
          <w:rFonts w:ascii="ITC Avant Garde Std Bk" w:hAnsi="ITC Avant Garde Std Bk"/>
          <w:color w:val="000000"/>
          <w:szCs w:val="18"/>
          <w:lang w:eastAsia="es-MX"/>
        </w:rPr>
        <w:t>.- Rúbricas.</w:t>
      </w:r>
    </w:p>
    <w:p w14:paraId="2E0E4CFB" w14:textId="77777777" w:rsidR="00A96541" w:rsidRPr="00E443DD" w:rsidRDefault="00A96541" w:rsidP="00A96541">
      <w:pPr>
        <w:pStyle w:val="Texto"/>
        <w:spacing w:before="120" w:after="120" w:line="240" w:lineRule="auto"/>
        <w:rPr>
          <w:rFonts w:ascii="ITC Avant Garde Std Bk" w:hAnsi="ITC Avant Garde Std Bk"/>
          <w:szCs w:val="18"/>
          <w:lang w:eastAsia="es-MX"/>
        </w:rPr>
      </w:pPr>
      <w:r w:rsidRPr="00E443DD">
        <w:rPr>
          <w:rFonts w:ascii="ITC Avant Garde Std Bk" w:hAnsi="ITC Avant Garde Std Bk"/>
          <w:szCs w:val="18"/>
          <w:lang w:eastAsia="es-MX"/>
        </w:rPr>
        <w:t xml:space="preserve">El presente Acuerdo fue aprobado por el Pleno del Instituto Federal de Telecomunicaciones en su XIV Sesión Ordinaria celebrada el 5 de abril de 2017, por unanimidad de votos de los Comisionados Gabriel Oswaldo Contreras Saldívar, Adriana Sofía </w:t>
      </w:r>
      <w:proofErr w:type="spellStart"/>
      <w:r w:rsidRPr="00E443DD">
        <w:rPr>
          <w:rFonts w:ascii="ITC Avant Garde Std Bk" w:hAnsi="ITC Avant Garde Std Bk"/>
          <w:szCs w:val="18"/>
          <w:lang w:eastAsia="es-MX"/>
        </w:rPr>
        <w:t>Labardini</w:t>
      </w:r>
      <w:proofErr w:type="spellEnd"/>
      <w:r w:rsidRPr="00E443DD">
        <w:rPr>
          <w:rFonts w:ascii="ITC Avant Garde Std Bk" w:hAnsi="ITC Avant Garde Std Bk"/>
          <w:szCs w:val="18"/>
          <w:lang w:eastAsia="es-MX"/>
        </w:rPr>
        <w:t xml:space="preserve"> Inzunza, María Elena </w:t>
      </w:r>
      <w:proofErr w:type="spellStart"/>
      <w:r w:rsidRPr="00E443DD">
        <w:rPr>
          <w:rFonts w:ascii="ITC Avant Garde Std Bk" w:hAnsi="ITC Avant Garde Std Bk"/>
          <w:szCs w:val="18"/>
          <w:lang w:eastAsia="es-MX"/>
        </w:rPr>
        <w:t>Estavillo</w:t>
      </w:r>
      <w:proofErr w:type="spellEnd"/>
      <w:r w:rsidRPr="00E443DD">
        <w:rPr>
          <w:rFonts w:ascii="ITC Avant Garde Std Bk" w:hAnsi="ITC Avant Garde Std Bk"/>
          <w:szCs w:val="18"/>
          <w:lang w:eastAsia="es-MX"/>
        </w:rPr>
        <w:t xml:space="preserve"> Flores, Mario Germán </w:t>
      </w:r>
      <w:proofErr w:type="spellStart"/>
      <w:r w:rsidRPr="00E443DD">
        <w:rPr>
          <w:rFonts w:ascii="ITC Avant Garde Std Bk" w:hAnsi="ITC Avant Garde Std Bk"/>
          <w:szCs w:val="18"/>
          <w:lang w:eastAsia="es-MX"/>
        </w:rPr>
        <w:t>Fromow</w:t>
      </w:r>
      <w:proofErr w:type="spellEnd"/>
      <w:r w:rsidRPr="00E443DD">
        <w:rPr>
          <w:rFonts w:ascii="ITC Avant Garde Std Bk" w:hAnsi="ITC Avant Garde Std Bk"/>
          <w:szCs w:val="18"/>
          <w:lang w:eastAsia="es-MX"/>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P/IFT/050417/172.</w:t>
      </w:r>
    </w:p>
    <w:p w14:paraId="75AC0CA7" w14:textId="77777777" w:rsidR="00A96541" w:rsidRPr="00E443DD" w:rsidRDefault="00A96541" w:rsidP="00372EB3">
      <w:pPr>
        <w:pStyle w:val="Ttulo1"/>
        <w:jc w:val="center"/>
        <w:rPr>
          <w:lang w:eastAsia="es-MX"/>
        </w:rPr>
      </w:pPr>
      <w:bookmarkStart w:id="5" w:name="_Toc113279315"/>
      <w:r w:rsidRPr="00E443DD">
        <w:rPr>
          <w:lang w:eastAsia="es-MX"/>
        </w:rPr>
        <w:lastRenderedPageBreak/>
        <w:t>ANEXO 1</w:t>
      </w:r>
      <w:bookmarkEnd w:id="5"/>
    </w:p>
    <w:p w14:paraId="646E49D8" w14:textId="77777777" w:rsidR="00A96541" w:rsidRPr="00E443DD" w:rsidRDefault="00A96541" w:rsidP="00372EB3">
      <w:pPr>
        <w:pStyle w:val="Ttulo2"/>
        <w:rPr>
          <w:lang w:eastAsia="es-MX"/>
        </w:rPr>
      </w:pPr>
      <w:bookmarkStart w:id="6" w:name="_Toc113279316"/>
      <w:r w:rsidRPr="00E443DD">
        <w:rPr>
          <w:lang w:eastAsia="es-MX"/>
        </w:rPr>
        <w:t>1.</w:t>
      </w:r>
      <w:r w:rsidRPr="00E443DD">
        <w:rPr>
          <w:lang w:eastAsia="es-MX"/>
        </w:rPr>
        <w:tab/>
        <w:t>DEFINICIONES</w:t>
      </w:r>
      <w:bookmarkEnd w:id="6"/>
    </w:p>
    <w:p w14:paraId="7613C1F3" w14:textId="77777777" w:rsidR="00A96541" w:rsidRPr="00E443DD" w:rsidRDefault="00A96541" w:rsidP="00A96541">
      <w:pPr>
        <w:pStyle w:val="Texto"/>
        <w:spacing w:before="120" w:after="120" w:line="240" w:lineRule="auto"/>
        <w:ind w:left="720" w:hanging="432"/>
        <w:rPr>
          <w:rFonts w:ascii="ITC Avant Garde Std Bk" w:hAnsi="ITC Avant Garde Std Bk"/>
          <w:b/>
          <w:szCs w:val="18"/>
          <w:lang w:eastAsia="es-MX"/>
        </w:rPr>
      </w:pPr>
      <w:r w:rsidRPr="00E443DD">
        <w:rPr>
          <w:rFonts w:ascii="ITC Avant Garde Std Bk" w:hAnsi="ITC Avant Garde Std Bk"/>
          <w:b/>
          <w:szCs w:val="18"/>
          <w:lang w:val="es-MX" w:eastAsia="es-MX"/>
        </w:rPr>
        <w:t>1.1</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Sin perjuicio de las definiciones previstas en el artículo 3 de la Ley Federal de Telecomunicaciones y Radiodifusión y en la normatividad aplicable en la materia, para los efectos de las presentes condiciones técnicas de operación, se entenderá por:</w:t>
      </w:r>
    </w:p>
    <w:p w14:paraId="6F04895A"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Ancho de banda de emisión</w:t>
      </w:r>
      <w:r w:rsidRPr="00E443DD">
        <w:rPr>
          <w:rFonts w:ascii="ITC Avant Garde Std Bk" w:hAnsi="ITC Avant Garde Std Bk"/>
          <w:szCs w:val="18"/>
          <w:lang w:eastAsia="es-MX"/>
        </w:rPr>
        <w:t>: rango de frecuencias instantáneo ocupado por una señal radiada estacionaria con modulación, fuera del cual la densidad espectral de potencia radiada nunca excede 6 dB por debajo de la densidad espectral de potencia máxima radiada en la banda, medida con un analizador de espectro con ancho de banda de resolución de 100 kHz. La frecuencia central debe ser estacionaria durante el intervalo de medición, aun cuando no sea estacionaria durante las operaciones normales.</w:t>
      </w:r>
    </w:p>
    <w:p w14:paraId="1C162820"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1.1.2</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Ancho de banda</w:t>
      </w:r>
      <w:r w:rsidRPr="00E443DD">
        <w:rPr>
          <w:rFonts w:ascii="ITC Avant Garde Std Bk" w:hAnsi="ITC Avant Garde Std Bk"/>
          <w:szCs w:val="18"/>
          <w:lang w:eastAsia="es-MX"/>
        </w:rPr>
        <w:t>: valor de la diferencia entre dos frecuencias límite de una banda de frecuencias. La cual se determina por un solo valor y no depende de la posición de la banda en el espectro de frecuencias.</w:t>
      </w:r>
    </w:p>
    <w:p w14:paraId="190E12CB" w14:textId="77777777" w:rsidR="00A96541"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1.1.3</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Banda de frecuencias</w:t>
      </w:r>
      <w:r w:rsidRPr="00E443DD">
        <w:rPr>
          <w:rFonts w:ascii="ITC Avant Garde Std Bk" w:hAnsi="ITC Avant Garde Std Bk"/>
          <w:szCs w:val="18"/>
          <w:lang w:eastAsia="es-MX"/>
        </w:rPr>
        <w:t>: porción del espectro radioeléctrico comprendido entre dos frecuencias determinadas.</w:t>
      </w:r>
    </w:p>
    <w:p w14:paraId="7423C5A8" w14:textId="2B8739E3" w:rsidR="000B782D" w:rsidRDefault="000B782D" w:rsidP="00A96541">
      <w:pPr>
        <w:pStyle w:val="Texto"/>
        <w:spacing w:before="120" w:after="120" w:line="240" w:lineRule="auto"/>
        <w:ind w:left="1350" w:hanging="630"/>
        <w:rPr>
          <w:rFonts w:ascii="ITC Avant Garde Std Bk" w:hAnsi="ITC Avant Garde Std Bk"/>
          <w:szCs w:val="18"/>
          <w:lang w:eastAsia="es-MX"/>
        </w:rPr>
      </w:pPr>
      <w:r w:rsidRPr="000B782D">
        <w:rPr>
          <w:rFonts w:ascii="ITC Avant Garde Std Bk" w:hAnsi="ITC Avant Garde Std Bk"/>
          <w:b/>
          <w:bCs/>
          <w:szCs w:val="18"/>
          <w:lang w:eastAsia="es-MX"/>
        </w:rPr>
        <w:t>1.1.3 bis</w:t>
      </w:r>
      <w:r w:rsidRPr="000B782D">
        <w:rPr>
          <w:rFonts w:ascii="ITC Avant Garde Std Bk" w:hAnsi="ITC Avant Garde Std Bk"/>
          <w:szCs w:val="18"/>
          <w:lang w:eastAsia="es-MX"/>
        </w:rPr>
        <w:t>         </w:t>
      </w:r>
      <w:r w:rsidRPr="000B782D">
        <w:rPr>
          <w:rFonts w:ascii="ITC Avant Garde Std Bk" w:hAnsi="ITC Avant Garde Std Bk"/>
          <w:b/>
          <w:bCs/>
          <w:szCs w:val="18"/>
          <w:lang w:eastAsia="es-MX"/>
        </w:rPr>
        <w:t>Densidad espectral de potencia (DEP): </w:t>
      </w:r>
      <w:r w:rsidRPr="000B782D">
        <w:rPr>
          <w:rFonts w:ascii="ITC Avant Garde Std Bk" w:hAnsi="ITC Avant Garde Std Bk"/>
          <w:szCs w:val="18"/>
          <w:lang w:eastAsia="es-MX"/>
        </w:rPr>
        <w:t>es la potencia media en el ancho de banda de referencia.</w:t>
      </w:r>
    </w:p>
    <w:p w14:paraId="51226A01" w14:textId="2A94C61A" w:rsidR="000B782D" w:rsidRDefault="000B782D" w:rsidP="000B782D">
      <w:pPr>
        <w:pStyle w:val="Texto"/>
        <w:spacing w:before="120" w:after="120" w:line="240" w:lineRule="auto"/>
        <w:ind w:left="1350" w:hanging="630"/>
        <w:jc w:val="right"/>
        <w:rPr>
          <w:rFonts w:ascii="ITC Avant Garde Std Bk" w:hAnsi="ITC Avant Garde Std Bk"/>
          <w:szCs w:val="18"/>
          <w:lang w:eastAsia="es-MX"/>
        </w:rPr>
      </w:pPr>
      <w:hyperlink r:id="rId13" w:anchor="gsc.tab=0" w:history="1">
        <w:r w:rsidRPr="000B782D">
          <w:rPr>
            <w:rStyle w:val="Hipervnculo"/>
            <w:rFonts w:ascii="ITC Avant Garde Std Bk" w:hAnsi="ITC Avant Garde Std Bk"/>
            <w:szCs w:val="18"/>
            <w:lang w:eastAsia="es-MX"/>
          </w:rPr>
          <w:t>Adición publicada en el DOF el 10/09/2024</w:t>
        </w:r>
      </w:hyperlink>
    </w:p>
    <w:p w14:paraId="320FE8C7" w14:textId="125766AE" w:rsidR="000B782D" w:rsidRPr="000B782D" w:rsidRDefault="000B782D" w:rsidP="000B782D">
      <w:pPr>
        <w:pStyle w:val="Texto"/>
        <w:spacing w:before="120" w:after="120" w:line="240" w:lineRule="auto"/>
        <w:ind w:left="1350" w:hanging="630"/>
        <w:rPr>
          <w:rFonts w:ascii="ITC Avant Garde Std Bk" w:hAnsi="ITC Avant Garde Std Bk"/>
          <w:szCs w:val="18"/>
          <w:lang w:val="es-MX" w:eastAsia="es-MX"/>
        </w:rPr>
      </w:pPr>
      <w:r w:rsidRPr="000B782D">
        <w:rPr>
          <w:rFonts w:ascii="ITC Avant Garde Std Bk" w:hAnsi="ITC Avant Garde Std Bk"/>
          <w:b/>
          <w:bCs/>
          <w:szCs w:val="18"/>
          <w:lang w:val="es-MX" w:eastAsia="es-MX"/>
        </w:rPr>
        <w:t>1.1.4</w:t>
      </w:r>
      <w:r w:rsidRPr="000B782D">
        <w:rPr>
          <w:rFonts w:ascii="ITC Avant Garde Std Bk" w:hAnsi="ITC Avant Garde Std Bk"/>
          <w:b/>
          <w:bCs/>
          <w:szCs w:val="18"/>
          <w:lang w:val="es-MX" w:eastAsia="es-MX"/>
        </w:rPr>
        <w:t xml:space="preserve"> </w:t>
      </w:r>
      <w:r w:rsidRPr="000B782D">
        <w:rPr>
          <w:rFonts w:ascii="ITC Avant Garde Std Bk" w:hAnsi="ITC Avant Garde Std Bk"/>
          <w:b/>
          <w:bCs/>
          <w:szCs w:val="18"/>
          <w:lang w:val="es-MX" w:eastAsia="es-MX"/>
        </w:rPr>
        <w:t>Dispositivos de radiocomunicaciones de corto alcance (DRCA):</w:t>
      </w:r>
      <w:r w:rsidRPr="000B782D">
        <w:rPr>
          <w:rFonts w:ascii="ITC Avant Garde Std Bk" w:hAnsi="ITC Avant Garde Std Bk"/>
          <w:szCs w:val="18"/>
          <w:lang w:val="es-MX" w:eastAsia="es-MX"/>
        </w:rPr>
        <w:t xml:space="preserve"> transmisores radioeléctricos que operan con baja potencia para proporcionar comunicaciones unidireccionales o bidireccionales y que tienen baja capacidad de producir interferencia a otros equipos radioeléctricos utilizando antenas integradas, específicas o externas.</w:t>
      </w:r>
    </w:p>
    <w:p w14:paraId="4799AEBD" w14:textId="4431D4B7" w:rsidR="000B782D" w:rsidRDefault="000B782D" w:rsidP="000B782D">
      <w:pPr>
        <w:pStyle w:val="Texto"/>
        <w:spacing w:before="120" w:after="120" w:line="240" w:lineRule="auto"/>
        <w:ind w:left="1350" w:hanging="630"/>
        <w:jc w:val="right"/>
        <w:rPr>
          <w:rFonts w:ascii="ITC Avant Garde Std Bk" w:hAnsi="ITC Avant Garde Std Bk"/>
          <w:szCs w:val="18"/>
          <w:lang w:eastAsia="es-MX"/>
        </w:rPr>
      </w:pPr>
      <w:hyperlink r:id="rId14"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0B782D" w14:paraId="501E844A" w14:textId="77777777" w:rsidTr="000B782D">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5B95DB5A" w14:textId="77777777" w:rsidR="000B782D" w:rsidRDefault="000B782D">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1F0CFBA4" w14:textId="0E293154" w:rsidR="000B782D" w:rsidRDefault="000B782D">
            <w:pPr>
              <w:pStyle w:val="Texto"/>
              <w:spacing w:line="224" w:lineRule="exact"/>
              <w:ind w:firstLine="0"/>
              <w:rPr>
                <w:rFonts w:ascii="ITC Avant Garde" w:hAnsi="ITC Avant Garde"/>
                <w:b/>
              </w:rPr>
            </w:pPr>
            <w:r w:rsidRPr="000B782D">
              <w:rPr>
                <w:rFonts w:ascii="ITC Avant Garde Std Bk" w:hAnsi="ITC Avant Garde Std Bk"/>
                <w:b/>
                <w:bCs/>
                <w:szCs w:val="23"/>
              </w:rPr>
              <w:t>1.1.4</w:t>
            </w:r>
            <w:r w:rsidRPr="000B782D">
              <w:rPr>
                <w:rFonts w:ascii="ITC Avant Garde Std Bk" w:hAnsi="ITC Avant Garde Std Bk"/>
                <w:b/>
                <w:szCs w:val="23"/>
              </w:rPr>
              <w:t>    </w:t>
            </w:r>
            <w:r w:rsidRPr="000B782D">
              <w:rPr>
                <w:rFonts w:ascii="ITC Avant Garde Std Bk" w:hAnsi="ITC Avant Garde Std Bk"/>
                <w:b/>
                <w:bCs/>
                <w:szCs w:val="23"/>
              </w:rPr>
              <w:t>Dispositivos de Corto Alcance</w:t>
            </w:r>
            <w:r w:rsidRPr="000B782D">
              <w:rPr>
                <w:rFonts w:ascii="ITC Avant Garde Std Bk" w:hAnsi="ITC Avant Garde Std Bk"/>
                <w:b/>
                <w:szCs w:val="23"/>
              </w:rPr>
              <w:t xml:space="preserve">: </w:t>
            </w:r>
            <w:r w:rsidRPr="000B782D">
              <w:rPr>
                <w:rFonts w:ascii="ITC Avant Garde Std Bk" w:hAnsi="ITC Avant Garde Std Bk"/>
                <w:bCs/>
                <w:szCs w:val="23"/>
              </w:rPr>
              <w:t>dispositivos de radiocomunicaciones que tienen poco riesgo de interferencia respecto a otros dispositivos de radiocomunicaciones, generalmente porque su potencia de transmisión es muy baja y operan a distancias muy cortas.</w:t>
            </w:r>
          </w:p>
        </w:tc>
      </w:tr>
    </w:tbl>
    <w:p w14:paraId="438DB314" w14:textId="77777777" w:rsidR="000B782D" w:rsidRPr="000B782D" w:rsidRDefault="000B782D" w:rsidP="000B782D">
      <w:pPr>
        <w:pStyle w:val="Texto"/>
        <w:spacing w:before="120" w:after="120" w:line="240" w:lineRule="auto"/>
        <w:ind w:left="1350" w:hanging="630"/>
        <w:jc w:val="right"/>
        <w:rPr>
          <w:rFonts w:ascii="ITC Avant Garde Std Bk" w:hAnsi="ITC Avant Garde Std Bk"/>
          <w:szCs w:val="18"/>
          <w:lang w:val="es-MX" w:eastAsia="es-MX"/>
        </w:rPr>
      </w:pPr>
    </w:p>
    <w:p w14:paraId="25C54523" w14:textId="77777777" w:rsidR="000B782D" w:rsidRPr="000B782D" w:rsidRDefault="000B782D" w:rsidP="000B782D">
      <w:pPr>
        <w:pStyle w:val="Texto"/>
        <w:spacing w:before="120" w:after="120" w:line="240" w:lineRule="auto"/>
        <w:ind w:left="1350" w:hanging="630"/>
        <w:jc w:val="right"/>
        <w:rPr>
          <w:rFonts w:ascii="ITC Avant Garde Std Bk" w:hAnsi="ITC Avant Garde Std Bk"/>
          <w:szCs w:val="18"/>
          <w:lang w:eastAsia="es-MX"/>
        </w:rPr>
      </w:pPr>
    </w:p>
    <w:p w14:paraId="5E64D93B"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1.1.5</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Emisión fuera de banda</w:t>
      </w:r>
      <w:r w:rsidRPr="00E443DD">
        <w:rPr>
          <w:rFonts w:ascii="ITC Avant Garde Std Bk" w:hAnsi="ITC Avant Garde Std Bk"/>
          <w:szCs w:val="18"/>
          <w:lang w:eastAsia="es-MX"/>
        </w:rPr>
        <w:t>: emisión en una o varias frecuencias situadas inmediatamente fuera del ancho de banda necesario, resultante del proceso de modulación, excluyendo las emisiones no esenciales.</w:t>
      </w:r>
    </w:p>
    <w:p w14:paraId="5DEE8EBD"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1.1.6</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Emisión no esencial:</w:t>
      </w:r>
      <w:r w:rsidRPr="00E443DD">
        <w:rPr>
          <w:rFonts w:ascii="ITC Avant Garde Std Bk" w:hAnsi="ITC Avant Garde Std Bk"/>
          <w:szCs w:val="18"/>
          <w:lang w:eastAsia="es-MX"/>
        </w:rPr>
        <w:t xml:space="preserve"> emisión en una o varias frecuencias situadas fuera del ancho de banda necesario, cuyo nivel puede reducirse sin influir en la transmisión de la información correspondiente. Las emisiones armónicas, las emisiones parásitas, los productos de intermodulación y los productos de la conversión de frecuencia están comprendidos en las emisiones no esenciales, pero están excluidas las emisiones fuera de banda.</w:t>
      </w:r>
    </w:p>
    <w:p w14:paraId="69C17991" w14:textId="5D6014E4" w:rsidR="000B782D" w:rsidRDefault="000B782D" w:rsidP="000B782D">
      <w:pPr>
        <w:pStyle w:val="Texto"/>
        <w:spacing w:before="120" w:after="120" w:line="240" w:lineRule="auto"/>
        <w:ind w:left="1350" w:hanging="630"/>
        <w:jc w:val="left"/>
        <w:rPr>
          <w:rFonts w:ascii="ITC Avant Garde Std Bk" w:hAnsi="ITC Avant Garde Std Bk"/>
          <w:bCs/>
          <w:szCs w:val="18"/>
          <w:lang w:eastAsia="es-MX"/>
        </w:rPr>
      </w:pPr>
      <w:r w:rsidRPr="000B782D">
        <w:rPr>
          <w:rFonts w:ascii="ITC Avant Garde Std Bk" w:hAnsi="ITC Avant Garde Std Bk"/>
          <w:b/>
          <w:bCs/>
          <w:szCs w:val="18"/>
          <w:lang w:eastAsia="es-MX"/>
        </w:rPr>
        <w:lastRenderedPageBreak/>
        <w:t>1.1.6 bis</w:t>
      </w:r>
      <w:r w:rsidRPr="000B782D">
        <w:rPr>
          <w:rFonts w:ascii="ITC Avant Garde Std Bk" w:hAnsi="ITC Avant Garde Std Bk"/>
          <w:b/>
          <w:szCs w:val="18"/>
          <w:lang w:eastAsia="es-MX"/>
        </w:rPr>
        <w:t>         </w:t>
      </w:r>
      <w:r w:rsidRPr="000B782D">
        <w:rPr>
          <w:rFonts w:ascii="ITC Avant Garde Std Bk" w:hAnsi="ITC Avant Garde Std Bk"/>
          <w:b/>
          <w:bCs/>
          <w:szCs w:val="18"/>
          <w:lang w:eastAsia="es-MX"/>
        </w:rPr>
        <w:t>Ganancia de la antena: </w:t>
      </w:r>
      <w:r w:rsidRPr="000B782D">
        <w:rPr>
          <w:rFonts w:ascii="ITC Avant Garde Std Bk" w:hAnsi="ITC Avant Garde Std Bk"/>
          <w:bCs/>
          <w:szCs w:val="18"/>
          <w:lang w:eastAsia="es-MX"/>
        </w:rPr>
        <w:t>relación generalmente expresada en dB, que debe existir entre la potencia necesaria a la entrada de una antena de referencia sin pérdidas y la potencia suministrada a la entrada de la antena en cuestión, para que ambas antenas produzcan, en una dirección dada, la misma intensidad de campo, o la misma densidad de flujo de potencia, a la misma distancia.</w:t>
      </w:r>
    </w:p>
    <w:p w14:paraId="52D0480F" w14:textId="1B694796" w:rsidR="000B782D" w:rsidRDefault="000B782D" w:rsidP="000B782D">
      <w:pPr>
        <w:pStyle w:val="Texto"/>
        <w:spacing w:before="120" w:after="120" w:line="240" w:lineRule="auto"/>
        <w:ind w:left="1350" w:hanging="630"/>
        <w:jc w:val="right"/>
        <w:rPr>
          <w:rFonts w:ascii="ITC Avant Garde Std Bk" w:hAnsi="ITC Avant Garde Std Bk"/>
          <w:szCs w:val="18"/>
          <w:lang w:eastAsia="es-MX"/>
        </w:rPr>
      </w:pPr>
      <w:hyperlink r:id="rId15" w:anchor="gsc.tab=0" w:history="1">
        <w:r w:rsidRPr="000B782D">
          <w:rPr>
            <w:rStyle w:val="Hipervnculo"/>
            <w:rFonts w:ascii="ITC Avant Garde Std Bk" w:hAnsi="ITC Avant Garde Std Bk"/>
            <w:szCs w:val="18"/>
            <w:lang w:eastAsia="es-MX"/>
          </w:rPr>
          <w:t>Adición publicada en el DOF el 10/09/2024</w:t>
        </w:r>
      </w:hyperlink>
    </w:p>
    <w:p w14:paraId="23E6CE7D" w14:textId="01C47B79" w:rsidR="00A96541"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1.1.7</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Homologación</w:t>
      </w:r>
      <w:r w:rsidRPr="00E443DD">
        <w:rPr>
          <w:rFonts w:ascii="ITC Avant Garde Std Bk" w:hAnsi="ITC Avant Garde Std Bk"/>
          <w:szCs w:val="18"/>
          <w:lang w:eastAsia="es-MX"/>
        </w:rPr>
        <w:t>: acto por el cual el Instituto reconoce oficialmente que las especificaciones de un producto, equipo, dispositivo o aparato destinado a telecomunicaciones o radiodifusión, satisface las normas o disposiciones técnicas aplicables.</w:t>
      </w:r>
    </w:p>
    <w:p w14:paraId="67FD30CA" w14:textId="25C57CC1" w:rsidR="000B782D" w:rsidRDefault="000B782D" w:rsidP="00A96541">
      <w:pPr>
        <w:pStyle w:val="Texto"/>
        <w:spacing w:before="120" w:after="120" w:line="240" w:lineRule="auto"/>
        <w:ind w:left="1350" w:hanging="630"/>
        <w:rPr>
          <w:rFonts w:ascii="ITC Avant Garde Std Bk" w:hAnsi="ITC Avant Garde Std Bk"/>
          <w:szCs w:val="18"/>
          <w:lang w:eastAsia="es-MX"/>
        </w:rPr>
      </w:pPr>
      <w:r w:rsidRPr="000B782D">
        <w:rPr>
          <w:rFonts w:ascii="ITC Avant Garde Std Bk" w:hAnsi="ITC Avant Garde Std Bk"/>
          <w:b/>
          <w:bCs/>
          <w:szCs w:val="18"/>
          <w:lang w:eastAsia="es-MX"/>
        </w:rPr>
        <w:t>1.1.7 bis</w:t>
      </w:r>
      <w:r w:rsidRPr="000B782D">
        <w:rPr>
          <w:rFonts w:ascii="ITC Avant Garde Std Bk" w:hAnsi="ITC Avant Garde Std Bk"/>
          <w:szCs w:val="18"/>
          <w:lang w:eastAsia="es-MX"/>
        </w:rPr>
        <w:t>         </w:t>
      </w:r>
      <w:r w:rsidRPr="000B782D">
        <w:rPr>
          <w:rFonts w:ascii="ITC Avant Garde Std Bk" w:hAnsi="ITC Avant Garde Std Bk"/>
          <w:b/>
          <w:bCs/>
          <w:szCs w:val="18"/>
          <w:lang w:eastAsia="es-MX"/>
        </w:rPr>
        <w:t>Intensidad de campo:</w:t>
      </w:r>
      <w:r w:rsidRPr="000B782D">
        <w:rPr>
          <w:rFonts w:ascii="ITC Avant Garde Std Bk" w:hAnsi="ITC Avant Garde Std Bk"/>
          <w:szCs w:val="18"/>
          <w:lang w:eastAsia="es-MX"/>
        </w:rPr>
        <w:t> es la magnitud de un vector de campo en un punto determinado que representa la fuerza en una pequeña carga de prueba dividida por la carga.</w:t>
      </w:r>
    </w:p>
    <w:p w14:paraId="3B0ABA9E" w14:textId="77777777" w:rsidR="000B782D" w:rsidRDefault="000B782D" w:rsidP="000B782D">
      <w:pPr>
        <w:pStyle w:val="Texto"/>
        <w:spacing w:before="120" w:after="120" w:line="240" w:lineRule="auto"/>
        <w:ind w:left="1350" w:hanging="630"/>
        <w:jc w:val="right"/>
        <w:rPr>
          <w:rFonts w:ascii="ITC Avant Garde Std Bk" w:hAnsi="ITC Avant Garde Std Bk"/>
          <w:szCs w:val="18"/>
          <w:lang w:eastAsia="es-MX"/>
        </w:rPr>
      </w:pPr>
      <w:hyperlink r:id="rId16" w:anchor="gsc.tab=0" w:history="1">
        <w:r w:rsidRPr="000B782D">
          <w:rPr>
            <w:rStyle w:val="Hipervnculo"/>
            <w:rFonts w:ascii="ITC Avant Garde Std Bk" w:hAnsi="ITC Avant Garde Std Bk"/>
            <w:szCs w:val="18"/>
            <w:lang w:eastAsia="es-MX"/>
          </w:rPr>
          <w:t>Adición publicada en el DOF el 10/09/2024</w:t>
        </w:r>
      </w:hyperlink>
    </w:p>
    <w:p w14:paraId="688C657A"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1.1.8</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Interferencia perjudicial</w:t>
      </w:r>
      <w:r w:rsidRPr="00E443DD">
        <w:rPr>
          <w:rFonts w:ascii="ITC Avant Garde Std Bk" w:hAnsi="ITC Avant Garde Std Bk"/>
          <w:szCs w:val="18"/>
          <w:lang w:eastAsia="es-MX"/>
        </w:rPr>
        <w:t>: 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6D1DF1E1"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1.1.9</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Potencia Isótropa Radiada Equivalente (PIRE)</w:t>
      </w:r>
      <w:r w:rsidRPr="00E443DD">
        <w:rPr>
          <w:rFonts w:ascii="ITC Avant Garde Std Bk" w:hAnsi="ITC Avant Garde Std Bk"/>
          <w:szCs w:val="18"/>
          <w:lang w:eastAsia="es-MX"/>
        </w:rPr>
        <w:t>: producto de la potencia suministrada a la antena por su ganancia con relación a una antena isótropa en una dirección dada (ganancia isótropa absoluta).</w:t>
      </w:r>
    </w:p>
    <w:p w14:paraId="0E70E456" w14:textId="77777777" w:rsidR="00185F89" w:rsidRDefault="00185F89" w:rsidP="00185F89">
      <w:pPr>
        <w:pStyle w:val="Texto"/>
        <w:spacing w:before="120" w:after="120" w:line="240" w:lineRule="auto"/>
        <w:ind w:left="1350" w:hanging="630"/>
        <w:rPr>
          <w:rFonts w:ascii="ITC Avant Garde Std Bk" w:hAnsi="ITC Avant Garde Std Bk"/>
          <w:b/>
          <w:szCs w:val="18"/>
          <w:lang w:eastAsia="es-MX"/>
        </w:rPr>
      </w:pPr>
      <w:r w:rsidRPr="00185F89">
        <w:rPr>
          <w:rFonts w:ascii="ITC Avant Garde Std Bk" w:hAnsi="ITC Avant Garde Std Bk"/>
          <w:b/>
          <w:bCs/>
          <w:szCs w:val="18"/>
          <w:lang w:eastAsia="es-MX"/>
        </w:rPr>
        <w:t>1.1.10</w:t>
      </w:r>
      <w:r w:rsidRPr="00185F89">
        <w:rPr>
          <w:rFonts w:ascii="ITC Avant Garde Std Bk" w:hAnsi="ITC Avant Garde Std Bk"/>
          <w:b/>
          <w:szCs w:val="18"/>
          <w:lang w:eastAsia="es-MX"/>
        </w:rPr>
        <w:t>            </w:t>
      </w:r>
      <w:r w:rsidRPr="00185F89">
        <w:rPr>
          <w:rFonts w:ascii="ITC Avant Garde Std Bk" w:hAnsi="ITC Avant Garde Std Bk"/>
          <w:b/>
          <w:bCs/>
          <w:szCs w:val="18"/>
          <w:lang w:eastAsia="es-MX"/>
        </w:rPr>
        <w:t>Potencia pico de salida:</w:t>
      </w:r>
      <w:r w:rsidRPr="00185F89">
        <w:rPr>
          <w:rFonts w:ascii="ITC Avant Garde Std Bk" w:hAnsi="ITC Avant Garde Std Bk"/>
          <w:b/>
          <w:szCs w:val="18"/>
          <w:lang w:eastAsia="es-MX"/>
        </w:rPr>
        <w:t> </w:t>
      </w:r>
      <w:r w:rsidRPr="00185F89">
        <w:rPr>
          <w:rFonts w:ascii="ITC Avant Garde Std Bk" w:hAnsi="ITC Avant Garde Std Bk"/>
          <w:bCs/>
          <w:szCs w:val="18"/>
          <w:lang w:eastAsia="es-MX"/>
        </w:rPr>
        <w:t>cantidad de energía máxima a la salida del transmisor en un instante de tiempo.</w:t>
      </w:r>
    </w:p>
    <w:p w14:paraId="7B9B7537" w14:textId="0D0185A6" w:rsidR="00185F89" w:rsidRDefault="00185F89" w:rsidP="00185F89">
      <w:pPr>
        <w:pStyle w:val="Texto"/>
        <w:spacing w:before="120" w:after="120" w:line="240" w:lineRule="auto"/>
        <w:ind w:left="1350" w:hanging="630"/>
        <w:jc w:val="right"/>
        <w:rPr>
          <w:rFonts w:ascii="ITC Avant Garde Std Bk" w:hAnsi="ITC Avant Garde Std Bk"/>
          <w:szCs w:val="18"/>
          <w:lang w:eastAsia="es-MX"/>
        </w:rPr>
      </w:pPr>
      <w:hyperlink r:id="rId17"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185F89" w14:paraId="086367DF"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15ECBF09" w14:textId="77777777" w:rsidR="00185F89" w:rsidRDefault="00185F89"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3B0FC906" w14:textId="77777777" w:rsidR="00185F89" w:rsidRPr="00185F89" w:rsidRDefault="00185F89" w:rsidP="00185F89">
            <w:pPr>
              <w:pStyle w:val="Texto"/>
              <w:spacing w:line="224" w:lineRule="exact"/>
              <w:ind w:firstLine="0"/>
              <w:rPr>
                <w:rFonts w:ascii="ITC Avant Garde Std Bk" w:hAnsi="ITC Avant Garde Std Bk"/>
                <w:b/>
                <w:bCs/>
                <w:szCs w:val="23"/>
              </w:rPr>
            </w:pPr>
            <w:r w:rsidRPr="00185F89">
              <w:rPr>
                <w:rFonts w:ascii="ITC Avant Garde Std Bk" w:hAnsi="ITC Avant Garde Std Bk"/>
                <w:b/>
                <w:bCs/>
                <w:szCs w:val="23"/>
                <w:lang w:val="es-MX"/>
              </w:rPr>
              <w:t>1.1.10</w:t>
            </w:r>
            <w:r w:rsidRPr="00185F89">
              <w:rPr>
                <w:rFonts w:ascii="ITC Avant Garde Std Bk" w:hAnsi="ITC Avant Garde Std Bk"/>
                <w:b/>
                <w:bCs/>
                <w:szCs w:val="23"/>
                <w:lang w:val="es-MX"/>
              </w:rPr>
              <w:tab/>
            </w:r>
            <w:r w:rsidRPr="00185F89">
              <w:rPr>
                <w:rFonts w:ascii="ITC Avant Garde Std Bk" w:hAnsi="ITC Avant Garde Std Bk"/>
                <w:b/>
                <w:bCs/>
                <w:szCs w:val="23"/>
              </w:rPr>
              <w:t xml:space="preserve">Potencia pico de salida: </w:t>
            </w:r>
            <w:r w:rsidRPr="00185F89">
              <w:rPr>
                <w:rFonts w:ascii="ITC Avant Garde Std Bk" w:hAnsi="ITC Avant Garde Std Bk"/>
                <w:szCs w:val="23"/>
              </w:rPr>
              <w:t>cantidad de energía máxima a la salida del transmisor.</w:t>
            </w:r>
          </w:p>
          <w:p w14:paraId="36698015" w14:textId="24AA79CF" w:rsidR="00185F89" w:rsidRDefault="00185F89" w:rsidP="00770143">
            <w:pPr>
              <w:pStyle w:val="Texto"/>
              <w:spacing w:line="224" w:lineRule="exact"/>
              <w:ind w:firstLine="0"/>
              <w:rPr>
                <w:rFonts w:ascii="ITC Avant Garde" w:hAnsi="ITC Avant Garde"/>
                <w:b/>
              </w:rPr>
            </w:pPr>
          </w:p>
        </w:tc>
      </w:tr>
    </w:tbl>
    <w:p w14:paraId="7C81343C" w14:textId="77777777" w:rsidR="00A96541"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1.1.11</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Radioenlace fijo punto a punto</w:t>
      </w:r>
      <w:r w:rsidRPr="00E443DD">
        <w:rPr>
          <w:rFonts w:ascii="ITC Avant Garde Std Bk" w:hAnsi="ITC Avant Garde Std Bk"/>
          <w:szCs w:val="18"/>
          <w:lang w:eastAsia="es-MX"/>
        </w:rPr>
        <w:t>: sistema de radiocomunicación de una o dos vías del servicio fijo entre dos puntos geográficos determinados, mediante el que se transmite y recibe información de cualquier naturaleza.</w:t>
      </w:r>
    </w:p>
    <w:p w14:paraId="08F15A91" w14:textId="7DA12968" w:rsidR="00185F89" w:rsidRDefault="00185F89" w:rsidP="00A96541">
      <w:pPr>
        <w:pStyle w:val="Texto"/>
        <w:spacing w:before="120" w:after="120" w:line="240" w:lineRule="auto"/>
        <w:ind w:left="1350" w:hanging="630"/>
        <w:rPr>
          <w:rFonts w:ascii="ITC Avant Garde Std Bk" w:hAnsi="ITC Avant Garde Std Bk"/>
          <w:szCs w:val="18"/>
          <w:lang w:eastAsia="es-MX"/>
        </w:rPr>
      </w:pPr>
      <w:r w:rsidRPr="00185F89">
        <w:rPr>
          <w:rFonts w:ascii="ITC Avant Garde Std Bk" w:hAnsi="ITC Avant Garde Std Bk"/>
          <w:b/>
          <w:bCs/>
          <w:szCs w:val="18"/>
          <w:lang w:eastAsia="es-MX"/>
        </w:rPr>
        <w:t>1.1.11 bis</w:t>
      </w:r>
      <w:r w:rsidRPr="00185F89">
        <w:rPr>
          <w:rFonts w:ascii="ITC Avant Garde Std Bk" w:hAnsi="ITC Avant Garde Std Bk"/>
          <w:szCs w:val="18"/>
          <w:lang w:eastAsia="es-MX"/>
        </w:rPr>
        <w:t>       </w:t>
      </w:r>
      <w:r w:rsidRPr="00185F89">
        <w:rPr>
          <w:rFonts w:ascii="ITC Avant Garde Std Bk" w:hAnsi="ITC Avant Garde Std Bk"/>
          <w:b/>
          <w:bCs/>
          <w:szCs w:val="18"/>
          <w:lang w:eastAsia="es-MX"/>
        </w:rPr>
        <w:t>Sistemas aviónicos de comunicaciones inalámbricas internas:</w:t>
      </w:r>
      <w:r w:rsidRPr="00185F89">
        <w:rPr>
          <w:rFonts w:ascii="ITC Avant Garde Std Bk" w:hAnsi="ITC Avant Garde Std Bk"/>
          <w:szCs w:val="18"/>
          <w:lang w:eastAsia="es-MX"/>
        </w:rPr>
        <w:t> radiocomunicación entre dos o más estaciones a bordo de aeronave situadas en una misma aeronave; contribuye al funcionamiento seguro de la aeronave.</w:t>
      </w:r>
    </w:p>
    <w:p w14:paraId="1E91132E" w14:textId="77777777" w:rsidR="00185F89" w:rsidRDefault="00185F89" w:rsidP="00185F89">
      <w:pPr>
        <w:pStyle w:val="Texto"/>
        <w:spacing w:before="120" w:after="120" w:line="240" w:lineRule="auto"/>
        <w:ind w:left="1350" w:hanging="630"/>
        <w:jc w:val="right"/>
        <w:rPr>
          <w:rFonts w:ascii="ITC Avant Garde Std Bk" w:hAnsi="ITC Avant Garde Std Bk"/>
          <w:szCs w:val="18"/>
          <w:lang w:eastAsia="es-MX"/>
        </w:rPr>
      </w:pPr>
      <w:hyperlink r:id="rId18" w:anchor="gsc.tab=0" w:history="1">
        <w:r w:rsidRPr="000B782D">
          <w:rPr>
            <w:rStyle w:val="Hipervnculo"/>
            <w:rFonts w:ascii="ITC Avant Garde Std Bk" w:hAnsi="ITC Avant Garde Std Bk"/>
            <w:szCs w:val="18"/>
            <w:lang w:eastAsia="es-MX"/>
          </w:rPr>
          <w:t>Adición publicada en el DOF el 10/09/2024</w:t>
        </w:r>
      </w:hyperlink>
    </w:p>
    <w:p w14:paraId="24F88059" w14:textId="4AE7C2AB" w:rsidR="00185F89" w:rsidRDefault="00185F89" w:rsidP="00185F89">
      <w:pPr>
        <w:pStyle w:val="Texto"/>
        <w:spacing w:before="120" w:after="120" w:line="240" w:lineRule="auto"/>
        <w:ind w:left="1350" w:hanging="630"/>
        <w:rPr>
          <w:rFonts w:ascii="ITC Avant Garde Std Bk" w:hAnsi="ITC Avant Garde Std Bk"/>
          <w:szCs w:val="18"/>
          <w:lang w:eastAsia="es-MX"/>
        </w:rPr>
      </w:pPr>
      <w:r w:rsidRPr="00185F89">
        <w:rPr>
          <w:rFonts w:ascii="ITC Avant Garde Std Bk" w:hAnsi="ITC Avant Garde Std Bk"/>
          <w:b/>
          <w:bCs/>
          <w:szCs w:val="18"/>
          <w:lang w:eastAsia="es-MX"/>
        </w:rPr>
        <w:t>1.1.11 ter</w:t>
      </w:r>
      <w:r w:rsidRPr="00185F89">
        <w:rPr>
          <w:rFonts w:ascii="ITC Avant Garde Std Bk" w:hAnsi="ITC Avant Garde Std Bk"/>
          <w:szCs w:val="18"/>
          <w:lang w:eastAsia="es-MX"/>
        </w:rPr>
        <w:t>        </w:t>
      </w:r>
      <w:r w:rsidRPr="00185F89">
        <w:rPr>
          <w:rFonts w:ascii="ITC Avant Garde Std Bk" w:hAnsi="ITC Avant Garde Std Bk"/>
          <w:b/>
          <w:bCs/>
          <w:szCs w:val="18"/>
          <w:lang w:eastAsia="es-MX"/>
        </w:rPr>
        <w:t>Sistema punto a multipunto (PaM): </w:t>
      </w:r>
      <w:r w:rsidRPr="00185F89">
        <w:rPr>
          <w:rFonts w:ascii="ITC Avant Garde Std Bk" w:hAnsi="ITC Avant Garde Std Bk"/>
          <w:szCs w:val="18"/>
          <w:lang w:eastAsia="es-MX"/>
        </w:rPr>
        <w:t>sistema de radiocomunicación de una o dos vías entre un único punto geográfico determinado y otros puntos geográficos determinados, mediante el que se transmite y recibe información de cualquier naturaleza.</w:t>
      </w:r>
    </w:p>
    <w:p w14:paraId="6FB633FE" w14:textId="77777777" w:rsidR="00185F89" w:rsidRDefault="00185F89" w:rsidP="00185F89">
      <w:pPr>
        <w:pStyle w:val="Texto"/>
        <w:spacing w:before="120" w:after="120" w:line="240" w:lineRule="auto"/>
        <w:ind w:left="1350" w:hanging="630"/>
        <w:jc w:val="right"/>
        <w:rPr>
          <w:rFonts w:ascii="ITC Avant Garde Std Bk" w:hAnsi="ITC Avant Garde Std Bk"/>
          <w:szCs w:val="18"/>
          <w:lang w:eastAsia="es-MX"/>
        </w:rPr>
      </w:pPr>
      <w:hyperlink r:id="rId19" w:anchor="gsc.tab=0" w:history="1">
        <w:r w:rsidRPr="000B782D">
          <w:rPr>
            <w:rStyle w:val="Hipervnculo"/>
            <w:rFonts w:ascii="ITC Avant Garde Std Bk" w:hAnsi="ITC Avant Garde Std Bk"/>
            <w:szCs w:val="18"/>
            <w:lang w:eastAsia="es-MX"/>
          </w:rPr>
          <w:t>Adición publicada en el DOF el 10/09/2024</w:t>
        </w:r>
      </w:hyperlink>
    </w:p>
    <w:p w14:paraId="28FF92F9" w14:textId="77777777" w:rsidR="00185F89" w:rsidRDefault="00185F89" w:rsidP="00185F89">
      <w:pPr>
        <w:pStyle w:val="Texto"/>
        <w:spacing w:before="120" w:after="120" w:line="240" w:lineRule="auto"/>
        <w:ind w:left="1350" w:hanging="630"/>
        <w:rPr>
          <w:rFonts w:ascii="ITC Avant Garde Std Bk" w:hAnsi="ITC Avant Garde Std Bk"/>
          <w:szCs w:val="18"/>
          <w:lang w:eastAsia="es-MX"/>
        </w:rPr>
      </w:pPr>
    </w:p>
    <w:p w14:paraId="5A020958" w14:textId="77777777" w:rsidR="00185F89" w:rsidRPr="00185F89" w:rsidRDefault="00A96541" w:rsidP="00185F89">
      <w:pPr>
        <w:pStyle w:val="Texto"/>
        <w:spacing w:before="120" w:after="120"/>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lastRenderedPageBreak/>
        <w:t>1.1.12</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Sensor de perturbación de campo</w:t>
      </w:r>
      <w:r w:rsidRPr="00E443DD">
        <w:rPr>
          <w:rFonts w:ascii="ITC Avant Garde Std Bk" w:hAnsi="ITC Avant Garde Std Bk"/>
          <w:szCs w:val="18"/>
          <w:lang w:eastAsia="es-MX"/>
        </w:rPr>
        <w:t xml:space="preserve">: </w:t>
      </w:r>
      <w:r w:rsidR="00185F89" w:rsidRPr="00185F89">
        <w:rPr>
          <w:rFonts w:ascii="ITC Avant Garde Std Bk" w:hAnsi="ITC Avant Garde Std Bk"/>
          <w:szCs w:val="18"/>
          <w:lang w:eastAsia="es-MX"/>
        </w:rPr>
        <w:t>dispositivo que establece un campo de radiofrecuencia a su alrededor y detecta cambios en su entorno resultantes del movimiento de personas u objetos dentro de su alcance.</w:t>
      </w:r>
    </w:p>
    <w:p w14:paraId="03BDD68A" w14:textId="27876839" w:rsidR="00A96541" w:rsidRDefault="00185F89" w:rsidP="00185F89">
      <w:pPr>
        <w:pStyle w:val="Texto"/>
        <w:spacing w:before="120" w:after="120" w:line="240" w:lineRule="auto"/>
        <w:ind w:left="1276" w:firstLine="11"/>
        <w:rPr>
          <w:rFonts w:ascii="ITC Avant Garde Std Bk" w:hAnsi="ITC Avant Garde Std Bk"/>
          <w:szCs w:val="18"/>
          <w:lang w:eastAsia="es-MX"/>
        </w:rPr>
      </w:pPr>
      <w:r w:rsidRPr="00185F89">
        <w:rPr>
          <w:rFonts w:ascii="ITC Avant Garde Std Bk" w:hAnsi="ITC Avant Garde Std Bk"/>
          <w:szCs w:val="18"/>
          <w:lang w:eastAsia="es-MX"/>
        </w:rPr>
        <w:t>Para los efectos de este Anexo 1, los sensores de perturbación de campo pueden ser tanto fijos como móviles. Los dispositivos de radar que emplean técnicas de onda continua de frecuencia modulada (FMCW, por sus siglas en inglés) y de pulso son una subcategoría de los sensores de perturbación de campo.</w:t>
      </w:r>
    </w:p>
    <w:p w14:paraId="6630019D" w14:textId="77777777" w:rsidR="00185F89" w:rsidRDefault="00185F89" w:rsidP="00185F89">
      <w:pPr>
        <w:pStyle w:val="Texto"/>
        <w:spacing w:before="120" w:after="120" w:line="240" w:lineRule="auto"/>
        <w:ind w:left="1350" w:hanging="630"/>
        <w:jc w:val="right"/>
        <w:rPr>
          <w:rFonts w:ascii="ITC Avant Garde Std Bk" w:hAnsi="ITC Avant Garde Std Bk"/>
          <w:szCs w:val="18"/>
          <w:lang w:eastAsia="es-MX"/>
        </w:rPr>
      </w:pPr>
      <w:hyperlink r:id="rId20"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185F89" w14:paraId="587FF51F"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5ABADCF8" w14:textId="77777777" w:rsidR="00185F89" w:rsidRDefault="00185F89"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453313B9" w14:textId="77777777" w:rsidR="00185F89" w:rsidRPr="00185F89" w:rsidRDefault="00185F89" w:rsidP="00185F89">
            <w:pPr>
              <w:pStyle w:val="Texto"/>
              <w:spacing w:line="224" w:lineRule="exact"/>
              <w:ind w:firstLine="0"/>
              <w:rPr>
                <w:rFonts w:ascii="ITC Avant Garde Std Bk" w:hAnsi="ITC Avant Garde Std Bk"/>
                <w:b/>
                <w:bCs/>
                <w:szCs w:val="23"/>
              </w:rPr>
            </w:pPr>
            <w:r w:rsidRPr="00185F89">
              <w:rPr>
                <w:rFonts w:ascii="ITC Avant Garde Std Bk" w:hAnsi="ITC Avant Garde Std Bk"/>
                <w:b/>
                <w:bCs/>
                <w:szCs w:val="23"/>
                <w:lang w:val="es-MX"/>
              </w:rPr>
              <w:t>1.1.12</w:t>
            </w:r>
            <w:r w:rsidRPr="00185F89">
              <w:rPr>
                <w:rFonts w:ascii="ITC Avant Garde Std Bk" w:hAnsi="ITC Avant Garde Std Bk"/>
                <w:b/>
                <w:bCs/>
                <w:szCs w:val="23"/>
                <w:lang w:val="es-MX"/>
              </w:rPr>
              <w:tab/>
            </w:r>
            <w:r w:rsidRPr="00185F89">
              <w:rPr>
                <w:rFonts w:ascii="ITC Avant Garde Std Bk" w:hAnsi="ITC Avant Garde Std Bk"/>
                <w:b/>
                <w:bCs/>
                <w:szCs w:val="23"/>
              </w:rPr>
              <w:t xml:space="preserve">Sensor de perturbación de campo: </w:t>
            </w:r>
            <w:r w:rsidRPr="00185F89">
              <w:rPr>
                <w:rFonts w:ascii="ITC Avant Garde Std Bk" w:hAnsi="ITC Avant Garde Std Bk"/>
                <w:szCs w:val="23"/>
              </w:rPr>
              <w:t>dispositivo que establece un campo de radiofrecuencia a su alrededor y detecta los cambios provenientes del movimiento, ya sea de personas o de objetos.</w:t>
            </w:r>
          </w:p>
          <w:p w14:paraId="3EE7AA60" w14:textId="77777777" w:rsidR="00185F89" w:rsidRDefault="00185F89" w:rsidP="00770143">
            <w:pPr>
              <w:pStyle w:val="Texto"/>
              <w:spacing w:line="224" w:lineRule="exact"/>
              <w:ind w:firstLine="0"/>
              <w:rPr>
                <w:rFonts w:ascii="ITC Avant Garde" w:hAnsi="ITC Avant Garde"/>
                <w:b/>
              </w:rPr>
            </w:pPr>
          </w:p>
        </w:tc>
      </w:tr>
    </w:tbl>
    <w:p w14:paraId="62DA27A6" w14:textId="77777777" w:rsidR="00185F89" w:rsidRPr="00185F89" w:rsidRDefault="00185F89" w:rsidP="00A96541">
      <w:pPr>
        <w:pStyle w:val="Texto"/>
        <w:spacing w:before="120" w:after="120" w:line="240" w:lineRule="auto"/>
        <w:ind w:left="1350" w:hanging="630"/>
        <w:rPr>
          <w:rFonts w:ascii="ITC Avant Garde Std Bk" w:hAnsi="ITC Avant Garde Std Bk"/>
          <w:szCs w:val="18"/>
          <w:lang w:val="es-MX" w:eastAsia="es-MX"/>
        </w:rPr>
      </w:pPr>
    </w:p>
    <w:p w14:paraId="24DC1F9C"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1.1.13</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Sistemas de transporte inteligente</w:t>
      </w:r>
      <w:r w:rsidRPr="00E443DD">
        <w:rPr>
          <w:rFonts w:ascii="ITC Avant Garde Std Bk" w:hAnsi="ITC Avant Garde Std Bk"/>
          <w:szCs w:val="18"/>
          <w:lang w:eastAsia="es-MX"/>
        </w:rPr>
        <w:t>: sistemas que utilizan una combinación de tecnologías de comunicaciones, posicionamiento y automatización, para mejorar la seguridad, la gestión y la eficacia del transporte terrenal.</w:t>
      </w:r>
    </w:p>
    <w:p w14:paraId="2BB57558"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1.1.14</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Título habilitante:</w:t>
      </w:r>
      <w:r w:rsidRPr="00E443DD">
        <w:rPr>
          <w:rFonts w:ascii="ITC Avant Garde Std Bk" w:hAnsi="ITC Avant Garde Std Bk"/>
          <w:szCs w:val="18"/>
          <w:lang w:eastAsia="es-MX"/>
        </w:rPr>
        <w:t xml:space="preserve"> concesión, permiso, asignación, autorización o cualquier otro instrumento, que otorgue el derecho al uso, aprovechamiento y/o explotación de bandas de frecuencias del espectro radioeléctrico.</w:t>
      </w:r>
    </w:p>
    <w:p w14:paraId="6B638A5B" w14:textId="77777777" w:rsidR="00A96541" w:rsidRPr="00E443DD" w:rsidRDefault="00A96541" w:rsidP="00A96541">
      <w:pPr>
        <w:pStyle w:val="Texto"/>
        <w:spacing w:before="120" w:after="120" w:line="240" w:lineRule="auto"/>
        <w:ind w:left="720" w:hanging="432"/>
        <w:rPr>
          <w:rFonts w:ascii="ITC Avant Garde Std Bk" w:hAnsi="ITC Avant Garde Std Bk"/>
          <w:szCs w:val="18"/>
          <w:lang w:eastAsia="es-MX"/>
        </w:rPr>
      </w:pPr>
      <w:r w:rsidRPr="00E443DD">
        <w:rPr>
          <w:rFonts w:ascii="ITC Avant Garde Std Bk" w:hAnsi="ITC Avant Garde Std Bk"/>
          <w:b/>
          <w:szCs w:val="18"/>
          <w:lang w:val="es-MX" w:eastAsia="es-MX"/>
        </w:rPr>
        <w:t>1.2</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términos antes señalados pueden ser utilizados indistintamente en singular o plural.</w:t>
      </w:r>
    </w:p>
    <w:p w14:paraId="64BFB9A5" w14:textId="77777777" w:rsidR="00A96541" w:rsidRPr="00E443DD" w:rsidRDefault="00A96541" w:rsidP="00F77791">
      <w:pPr>
        <w:pStyle w:val="Ttulo2"/>
        <w:rPr>
          <w:lang w:eastAsia="es-MX"/>
        </w:rPr>
      </w:pPr>
      <w:bookmarkStart w:id="7" w:name="_Toc113279317"/>
      <w:r w:rsidRPr="00E443DD">
        <w:rPr>
          <w:lang w:eastAsia="es-MX"/>
        </w:rPr>
        <w:t>2.</w:t>
      </w:r>
      <w:r w:rsidRPr="00E443DD">
        <w:rPr>
          <w:lang w:eastAsia="es-MX"/>
        </w:rPr>
        <w:tab/>
        <w:t>CONDICIONES TÉCNICAS DE OPERACIÓN EN LA BANDA DE FRECUENCIAS DE 57-64 GHz</w:t>
      </w:r>
      <w:bookmarkEnd w:id="7"/>
    </w:p>
    <w:p w14:paraId="2A41E10F" w14:textId="77777777" w:rsidR="00A96541" w:rsidRPr="00E443DD" w:rsidRDefault="00A96541" w:rsidP="00A96541">
      <w:pPr>
        <w:pStyle w:val="Texto"/>
        <w:spacing w:before="120" w:after="120" w:line="240" w:lineRule="auto"/>
        <w:rPr>
          <w:rFonts w:ascii="ITC Avant Garde Std Bk" w:hAnsi="ITC Avant Garde Std Bk"/>
          <w:b/>
          <w:szCs w:val="18"/>
          <w:lang w:eastAsia="es-MX"/>
        </w:rPr>
      </w:pPr>
      <w:r w:rsidRPr="00E443DD">
        <w:rPr>
          <w:rFonts w:ascii="ITC Avant Garde Std Bk" w:hAnsi="ITC Avant Garde Std Bk"/>
          <w:b/>
          <w:szCs w:val="18"/>
          <w:lang w:val="es-MX" w:eastAsia="es-MX"/>
        </w:rPr>
        <w:t>2.1</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Condiciones técnicas de operación permitidas en la banda de frecuencias de 57-64 GHz</w:t>
      </w:r>
    </w:p>
    <w:p w14:paraId="3C63C86D"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2.1.1</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dispositivos, equipos o productos que operen en esta banda de frecuencias deberán ser homologados de conformidad con los artículos establecidos en el Título Décimo Tercero de la Ley Federal de Telecomunicaciones y Radiodifusión, así como con las demás disposiciones reglamentarias y administrativas aplicables.</w:t>
      </w:r>
    </w:p>
    <w:p w14:paraId="5B0CDE7B"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2.1.2</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niveles de emisión de Potencia Isótropa Radiada Equivalente (PIRE), medidos durante el intervalo de la transmisión, no deberán exceder los valores descritos en el presente documento.</w:t>
      </w:r>
    </w:p>
    <w:p w14:paraId="17BFE935" w14:textId="414462D2" w:rsidR="00A96541"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2.1.3</w:t>
      </w:r>
      <w:r w:rsidRPr="00E443DD">
        <w:rPr>
          <w:rFonts w:ascii="ITC Avant Garde Std Bk" w:hAnsi="ITC Avant Garde Std Bk"/>
          <w:b/>
          <w:szCs w:val="18"/>
          <w:lang w:val="es-MX" w:eastAsia="es-MX"/>
        </w:rPr>
        <w:tab/>
      </w:r>
      <w:r w:rsidR="00185F89" w:rsidRPr="00185F89">
        <w:rPr>
          <w:rFonts w:ascii="ITC Avant Garde Std Bk" w:hAnsi="ITC Avant Garde Std Bk"/>
          <w:szCs w:val="18"/>
          <w:lang w:eastAsia="es-MX"/>
        </w:rPr>
        <w:t>Los radioenlaces fijos punto a punto localizados en exteriores, deberán operar con una PIRE promedio que no exceda 82 dBm y una PIRE máxima que no exceda de 85 dBm. En los casos que la ganancia de la antena sea menor a 51 dBi, se deberán restar 2 dB a la PIRE promedio y a la PIRE máxima, por cada dB que la ganancia de la antena sea menor a 51 dBi, sin que sea necesario reducir la PIRE promedio y la PIRE máxima por debajo de 40 dBm y 43 dBm, respectivamente.</w:t>
      </w:r>
    </w:p>
    <w:p w14:paraId="66A97E80" w14:textId="77777777" w:rsidR="00185F89" w:rsidRDefault="00185F89" w:rsidP="00185F89">
      <w:pPr>
        <w:pStyle w:val="Texto"/>
        <w:spacing w:before="120" w:after="120" w:line="240" w:lineRule="auto"/>
        <w:ind w:left="1350" w:hanging="630"/>
        <w:jc w:val="right"/>
        <w:rPr>
          <w:rFonts w:ascii="ITC Avant Garde Std Bk" w:hAnsi="ITC Avant Garde Std Bk"/>
          <w:szCs w:val="18"/>
          <w:lang w:eastAsia="es-MX"/>
        </w:rPr>
      </w:pPr>
      <w:hyperlink r:id="rId21"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185F89" w14:paraId="15D541F1"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0F66E86B" w14:textId="77777777" w:rsidR="00185F89" w:rsidRDefault="00185F89"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75B072C0" w14:textId="77777777" w:rsidR="00185F89" w:rsidRPr="00185F89" w:rsidRDefault="00185F89" w:rsidP="00185F89">
            <w:pPr>
              <w:pStyle w:val="Texto"/>
              <w:spacing w:line="224" w:lineRule="exact"/>
              <w:ind w:firstLine="0"/>
              <w:rPr>
                <w:rFonts w:ascii="ITC Avant Garde Std Bk" w:hAnsi="ITC Avant Garde Std Bk"/>
                <w:b/>
                <w:bCs/>
                <w:szCs w:val="23"/>
              </w:rPr>
            </w:pPr>
            <w:r w:rsidRPr="00185F89">
              <w:rPr>
                <w:rFonts w:ascii="ITC Avant Garde Std Bk" w:hAnsi="ITC Avant Garde Std Bk"/>
                <w:b/>
                <w:bCs/>
                <w:szCs w:val="23"/>
                <w:lang w:val="es-MX"/>
              </w:rPr>
              <w:t>2.1.3</w:t>
            </w:r>
            <w:r w:rsidRPr="00185F89">
              <w:rPr>
                <w:rFonts w:ascii="ITC Avant Garde Std Bk" w:hAnsi="ITC Avant Garde Std Bk"/>
                <w:b/>
                <w:bCs/>
                <w:szCs w:val="23"/>
                <w:lang w:val="es-MX"/>
              </w:rPr>
              <w:tab/>
            </w:r>
            <w:r w:rsidRPr="00185F89">
              <w:rPr>
                <w:rFonts w:ascii="ITC Avant Garde Std Bk" w:hAnsi="ITC Avant Garde Std Bk"/>
                <w:szCs w:val="23"/>
              </w:rPr>
              <w:t xml:space="preserve">Los transmisores de radioenlaces fijos punto a punto localizados en exteriores, deberán operar con una PIRE promedio que no exceda 82 dBm y una PIRE máxima que no exceda de 85 dBm. En los casos que la ganancia de la antena sea menor a 51 dBi, se </w:t>
            </w:r>
            <w:r w:rsidRPr="00185F89">
              <w:rPr>
                <w:rFonts w:ascii="ITC Avant Garde Std Bk" w:hAnsi="ITC Avant Garde Std Bk"/>
                <w:szCs w:val="23"/>
              </w:rPr>
              <w:lastRenderedPageBreak/>
              <w:t>deberán restar 2 dB a la PIRE promedio y a la PIRE máxima, por cada dB que la ganancia sea menor a 51 dBi.</w:t>
            </w:r>
          </w:p>
          <w:p w14:paraId="6183BC22" w14:textId="77777777" w:rsidR="00185F89" w:rsidRDefault="00185F89" w:rsidP="00770143">
            <w:pPr>
              <w:pStyle w:val="Texto"/>
              <w:spacing w:line="224" w:lineRule="exact"/>
              <w:ind w:firstLine="0"/>
              <w:rPr>
                <w:rFonts w:ascii="ITC Avant Garde" w:hAnsi="ITC Avant Garde"/>
                <w:b/>
              </w:rPr>
            </w:pPr>
          </w:p>
        </w:tc>
      </w:tr>
    </w:tbl>
    <w:p w14:paraId="6077955A" w14:textId="77777777" w:rsidR="00185F89" w:rsidRPr="00185F89" w:rsidRDefault="00185F89" w:rsidP="00A96541">
      <w:pPr>
        <w:pStyle w:val="Texto"/>
        <w:spacing w:before="120" w:after="120" w:line="240" w:lineRule="auto"/>
        <w:ind w:left="1350" w:hanging="630"/>
        <w:rPr>
          <w:rFonts w:ascii="ITC Avant Garde Std Bk" w:hAnsi="ITC Avant Garde Std Bk"/>
          <w:szCs w:val="18"/>
          <w:lang w:val="es-MX" w:eastAsia="es-MX"/>
        </w:rPr>
      </w:pPr>
    </w:p>
    <w:p w14:paraId="38624589" w14:textId="551C65CC" w:rsidR="00A96541"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2.1.4</w:t>
      </w:r>
      <w:r w:rsidRPr="00E443DD">
        <w:rPr>
          <w:rFonts w:ascii="ITC Avant Garde Std Bk" w:hAnsi="ITC Avant Garde Std Bk"/>
          <w:b/>
          <w:szCs w:val="18"/>
          <w:lang w:val="es-MX" w:eastAsia="es-MX"/>
        </w:rPr>
        <w:tab/>
      </w:r>
      <w:r w:rsidR="007A2653" w:rsidRPr="007A2653">
        <w:rPr>
          <w:rFonts w:ascii="ITC Avant Garde Std Bk" w:hAnsi="ITC Avant Garde Std Bk"/>
          <w:szCs w:val="18"/>
          <w:lang w:eastAsia="es-MX"/>
        </w:rPr>
        <w:t>Los sensores de perturbación de campo con ancho de banda igual o menor a 500 MHz que operen dentro del segmento 61-61.5 GHz, deberán operar con una PIRE promedio que no exceda 40 dBm y una PIRE máxima que no exceda 43 dBm.</w:t>
      </w:r>
    </w:p>
    <w:p w14:paraId="1B6C9D7D" w14:textId="77777777" w:rsidR="00185F89" w:rsidRDefault="00185F89" w:rsidP="00185F89">
      <w:pPr>
        <w:pStyle w:val="Texto"/>
        <w:spacing w:before="120" w:after="120" w:line="240" w:lineRule="auto"/>
        <w:ind w:left="1350" w:hanging="630"/>
        <w:jc w:val="right"/>
        <w:rPr>
          <w:rFonts w:ascii="ITC Avant Garde Std Bk" w:hAnsi="ITC Avant Garde Std Bk"/>
          <w:szCs w:val="18"/>
          <w:lang w:eastAsia="es-MX"/>
        </w:rPr>
      </w:pPr>
      <w:hyperlink r:id="rId22"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185F89" w14:paraId="491413B3"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30E292B6" w14:textId="77777777" w:rsidR="00185F89" w:rsidRDefault="00185F89"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01FC59F7" w14:textId="691F5C45" w:rsidR="00185F89" w:rsidRDefault="007A2653" w:rsidP="00770143">
            <w:pPr>
              <w:pStyle w:val="Texto"/>
              <w:spacing w:line="224" w:lineRule="exact"/>
              <w:ind w:firstLine="0"/>
              <w:rPr>
                <w:rFonts w:ascii="ITC Avant Garde" w:hAnsi="ITC Avant Garde"/>
                <w:b/>
              </w:rPr>
            </w:pPr>
            <w:r w:rsidRPr="007A2653">
              <w:rPr>
                <w:rFonts w:ascii="ITC Avant Garde Std Bk" w:hAnsi="ITC Avant Garde Std Bk"/>
                <w:b/>
                <w:bCs/>
                <w:szCs w:val="23"/>
                <w:lang w:val="es-MX"/>
              </w:rPr>
              <w:t>2.1.4</w:t>
            </w:r>
            <w:r w:rsidRPr="007A2653">
              <w:rPr>
                <w:rFonts w:ascii="ITC Avant Garde Std Bk" w:hAnsi="ITC Avant Garde Std Bk"/>
                <w:b/>
                <w:bCs/>
                <w:szCs w:val="23"/>
                <w:lang w:val="es-MX"/>
              </w:rPr>
              <w:tab/>
            </w:r>
            <w:r w:rsidRPr="007A2653">
              <w:rPr>
                <w:rFonts w:ascii="ITC Avant Garde Std Bk" w:hAnsi="ITC Avant Garde Std Bk"/>
                <w:szCs w:val="23"/>
                <w:lang w:val="es-MX"/>
              </w:rPr>
              <w:t>Los sensores de perturbación de campo fijo con ancho de banda igual o menor a 500 MHz que operen dentro del segmento 61-61.5 GHz, deberán operar con una PIRE promedio que no exceda 40 dBm y una PIRE máxima que no exceda 43 dBm.</w:t>
            </w:r>
          </w:p>
        </w:tc>
      </w:tr>
    </w:tbl>
    <w:p w14:paraId="7CE940EC" w14:textId="77777777" w:rsidR="00185F89" w:rsidRPr="00185F89" w:rsidRDefault="00185F89" w:rsidP="00A96541">
      <w:pPr>
        <w:pStyle w:val="Texto"/>
        <w:spacing w:before="120" w:after="120" w:line="240" w:lineRule="auto"/>
        <w:ind w:left="1350" w:hanging="630"/>
        <w:rPr>
          <w:rFonts w:ascii="ITC Avant Garde Std Bk" w:hAnsi="ITC Avant Garde Std Bk"/>
          <w:szCs w:val="18"/>
          <w:lang w:val="es-MX" w:eastAsia="es-MX"/>
        </w:rPr>
      </w:pPr>
    </w:p>
    <w:p w14:paraId="2D1263D9" w14:textId="604EBF78" w:rsidR="00A96541"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2.1.5</w:t>
      </w:r>
      <w:r w:rsidRPr="00E443DD">
        <w:rPr>
          <w:rFonts w:ascii="ITC Avant Garde Std Bk" w:hAnsi="ITC Avant Garde Std Bk"/>
          <w:b/>
          <w:szCs w:val="18"/>
          <w:lang w:val="es-MX" w:eastAsia="es-MX"/>
        </w:rPr>
        <w:tab/>
      </w:r>
      <w:r w:rsidR="007A2653" w:rsidRPr="007A2653">
        <w:rPr>
          <w:rFonts w:ascii="ITC Avant Garde Std Bk" w:hAnsi="ITC Avant Garde Std Bk"/>
          <w:szCs w:val="18"/>
          <w:lang w:eastAsia="es-MX"/>
        </w:rPr>
        <w:t>La PIRE promedio y la PIRE máxima de cualquier emisión de los sensores de perturbación de campo, con ancho de banda igual o menor a 500 MHz, fuera del segmento 61-61.5 GHz y dentro de la banda 57-64 GHz, no deberá exceder 10 dBm y 13 dBm, respectivamente</w:t>
      </w:r>
    </w:p>
    <w:p w14:paraId="6D3501BA" w14:textId="77777777" w:rsidR="007A2653" w:rsidRDefault="007A2653" w:rsidP="007A2653">
      <w:pPr>
        <w:pStyle w:val="Texto"/>
        <w:spacing w:before="120" w:after="120" w:line="240" w:lineRule="auto"/>
        <w:ind w:left="1350" w:hanging="630"/>
        <w:jc w:val="right"/>
        <w:rPr>
          <w:rFonts w:ascii="ITC Avant Garde Std Bk" w:hAnsi="ITC Avant Garde Std Bk"/>
          <w:szCs w:val="18"/>
          <w:lang w:eastAsia="es-MX"/>
        </w:rPr>
      </w:pPr>
      <w:hyperlink r:id="rId23"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7A2653" w14:paraId="4D95AAA4"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25903C7A" w14:textId="77777777" w:rsidR="007A2653" w:rsidRDefault="007A2653"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17ED85C6" w14:textId="77777777" w:rsidR="007A2653" w:rsidRPr="007A2653" w:rsidRDefault="007A2653" w:rsidP="007A2653">
            <w:pPr>
              <w:pStyle w:val="Texto"/>
              <w:spacing w:line="224" w:lineRule="exact"/>
              <w:ind w:firstLine="0"/>
              <w:rPr>
                <w:rFonts w:ascii="ITC Avant Garde Std Bk" w:hAnsi="ITC Avant Garde Std Bk"/>
                <w:b/>
                <w:bCs/>
                <w:szCs w:val="23"/>
              </w:rPr>
            </w:pPr>
            <w:r w:rsidRPr="007A2653">
              <w:rPr>
                <w:rFonts w:ascii="ITC Avant Garde Std Bk" w:hAnsi="ITC Avant Garde Std Bk"/>
                <w:b/>
                <w:bCs/>
                <w:szCs w:val="23"/>
                <w:lang w:val="es-MX"/>
              </w:rPr>
              <w:t>2.1.5</w:t>
            </w:r>
            <w:r w:rsidRPr="007A2653">
              <w:rPr>
                <w:rFonts w:ascii="ITC Avant Garde Std Bk" w:hAnsi="ITC Avant Garde Std Bk"/>
                <w:b/>
                <w:bCs/>
                <w:szCs w:val="23"/>
                <w:lang w:val="es-MX"/>
              </w:rPr>
              <w:tab/>
            </w:r>
            <w:r w:rsidRPr="007A2653">
              <w:rPr>
                <w:rFonts w:ascii="ITC Avant Garde Std Bk" w:hAnsi="ITC Avant Garde Std Bk"/>
                <w:szCs w:val="23"/>
              </w:rPr>
              <w:t>Los sensores de perturbación de campo fijo con ancho de banda igual o menor a 500 MHz que operen dentro de la banda 57-64 GHz, con excepción del segmento 61-61.5 GHz, deberán operar con una PIRE promedio que no exceda 10 dBm y una PIRE máxima que no exceda 13 dBm.</w:t>
            </w:r>
          </w:p>
          <w:p w14:paraId="296CCA32" w14:textId="7733C3DA" w:rsidR="007A2653" w:rsidRDefault="007A2653" w:rsidP="00770143">
            <w:pPr>
              <w:pStyle w:val="Texto"/>
              <w:spacing w:line="224" w:lineRule="exact"/>
              <w:ind w:firstLine="0"/>
              <w:rPr>
                <w:rFonts w:ascii="ITC Avant Garde" w:hAnsi="ITC Avant Garde"/>
                <w:b/>
              </w:rPr>
            </w:pPr>
          </w:p>
        </w:tc>
      </w:tr>
    </w:tbl>
    <w:p w14:paraId="3EBF851A" w14:textId="77777777" w:rsidR="007A2653" w:rsidRDefault="007A2653" w:rsidP="007A2653">
      <w:pPr>
        <w:pStyle w:val="Texto"/>
        <w:spacing w:before="120" w:after="120"/>
        <w:ind w:left="1350" w:hanging="630"/>
        <w:rPr>
          <w:rFonts w:ascii="ITC Avant Garde Std Bk" w:hAnsi="ITC Avant Garde Std Bk"/>
          <w:b/>
          <w:bCs/>
          <w:szCs w:val="18"/>
          <w:lang w:val="es-MX" w:eastAsia="es-MX"/>
        </w:rPr>
      </w:pPr>
    </w:p>
    <w:p w14:paraId="1EB717F8" w14:textId="57E67266" w:rsidR="007A2653" w:rsidRDefault="007A2653" w:rsidP="007A2653">
      <w:pPr>
        <w:pStyle w:val="Texto"/>
        <w:spacing w:before="120" w:after="120"/>
        <w:ind w:left="1350" w:hanging="630"/>
        <w:rPr>
          <w:rFonts w:ascii="ITC Avant Garde Std Bk" w:hAnsi="ITC Avant Garde Std Bk"/>
          <w:szCs w:val="18"/>
          <w:lang w:val="es-MX" w:eastAsia="es-MX"/>
        </w:rPr>
      </w:pPr>
      <w:r w:rsidRPr="007A2653">
        <w:rPr>
          <w:rFonts w:ascii="ITC Avant Garde Std Bk" w:hAnsi="ITC Avant Garde Std Bk"/>
          <w:b/>
          <w:bCs/>
          <w:szCs w:val="18"/>
          <w:lang w:val="es-MX" w:eastAsia="es-MX"/>
        </w:rPr>
        <w:t xml:space="preserve">2.1.5 bis    </w:t>
      </w:r>
      <w:r w:rsidRPr="007A2653">
        <w:rPr>
          <w:rFonts w:ascii="ITC Avant Garde Std Bk" w:hAnsi="ITC Avant Garde Std Bk"/>
          <w:szCs w:val="18"/>
          <w:lang w:val="es-MX" w:eastAsia="es-MX"/>
        </w:rPr>
        <w:t xml:space="preserve">     Los sensores de perturbación de campo diferentes a los mencionados en el numeral 2.1.4, podrán operar en cada uno de los segmentos de frecuencias que se establecen en la Tabla 1, o en partes de </w:t>
      </w:r>
      <w:proofErr w:type="gramStart"/>
      <w:r w:rsidRPr="007A2653">
        <w:rPr>
          <w:rFonts w:ascii="ITC Avant Garde Std Bk" w:hAnsi="ITC Avant Garde Std Bk"/>
          <w:szCs w:val="18"/>
          <w:lang w:val="es-MX" w:eastAsia="es-MX"/>
        </w:rPr>
        <w:t>los mismos</w:t>
      </w:r>
      <w:proofErr w:type="gramEnd"/>
      <w:r w:rsidRPr="007A2653">
        <w:rPr>
          <w:rFonts w:ascii="ITC Avant Garde Std Bk" w:hAnsi="ITC Avant Garde Std Bk"/>
          <w:szCs w:val="18"/>
          <w:lang w:val="es-MX" w:eastAsia="es-MX"/>
        </w:rPr>
        <w:t>, conforme al tipo de operación, PIRE máxima y periodo acumulado de inactividad del transmisor correspondientes. Adicionalmente, estos sensores de perturbación de campo pueden operar bajo cualquier configuración de segmento de frecuencias, tipo de operación, PIRE máxima y periodo acumulado de inactividad del transmisor asociados, conforme a lo indicado en la Tabla 1, siempre que se mantenga dicha configuración al menos durante una trama continua de 33 ms previo a ser modificada.</w:t>
      </w:r>
    </w:p>
    <w:p w14:paraId="786E2DE0" w14:textId="77777777" w:rsidR="00943CA0" w:rsidRDefault="00943CA0" w:rsidP="00943CA0">
      <w:pPr>
        <w:pStyle w:val="Texto"/>
        <w:spacing w:before="120" w:after="120" w:line="240" w:lineRule="auto"/>
        <w:ind w:left="1350" w:hanging="630"/>
        <w:jc w:val="right"/>
        <w:rPr>
          <w:rFonts w:ascii="ITC Avant Garde Std Bk" w:hAnsi="ITC Avant Garde Std Bk"/>
          <w:szCs w:val="18"/>
          <w:lang w:eastAsia="es-MX"/>
        </w:rPr>
      </w:pPr>
      <w:hyperlink r:id="rId24" w:anchor="gsc.tab=0" w:history="1">
        <w:r w:rsidRPr="000B782D">
          <w:rPr>
            <w:rStyle w:val="Hipervnculo"/>
            <w:rFonts w:ascii="ITC Avant Garde Std Bk" w:hAnsi="ITC Avant Garde Std Bk"/>
            <w:szCs w:val="18"/>
            <w:lang w:eastAsia="es-MX"/>
          </w:rPr>
          <w:t>Adición publicada en el DOF el 10/09/2024</w:t>
        </w:r>
      </w:hyperlink>
    </w:p>
    <w:p w14:paraId="6C21F15A" w14:textId="711F46A7" w:rsidR="007A2653" w:rsidRPr="00454FD7" w:rsidRDefault="007A2653" w:rsidP="00454FD7">
      <w:pPr>
        <w:pStyle w:val="Texto"/>
        <w:spacing w:before="120" w:after="120" w:line="240" w:lineRule="auto"/>
        <w:ind w:left="1350" w:hanging="630"/>
        <w:jc w:val="center"/>
        <w:rPr>
          <w:rFonts w:ascii="ITC Avant Garde Std Bk" w:hAnsi="ITC Avant Garde Std Bk"/>
          <w:b/>
          <w:bCs/>
          <w:szCs w:val="18"/>
          <w:lang w:val="es-MX" w:eastAsia="es-MX"/>
        </w:rPr>
      </w:pPr>
      <w:r w:rsidRPr="00454FD7">
        <w:rPr>
          <w:rFonts w:ascii="ITC Avant Garde Std Bk" w:hAnsi="ITC Avant Garde Std Bk"/>
          <w:b/>
          <w:bCs/>
          <w:szCs w:val="18"/>
          <w:lang w:val="es-MX" w:eastAsia="es-MX"/>
        </w:rPr>
        <w:t>Tabla 1</w:t>
      </w:r>
    </w:p>
    <w:p w14:paraId="15893E40" w14:textId="4D25C749" w:rsidR="00454FD7" w:rsidRDefault="00454FD7" w:rsidP="007A2653">
      <w:pPr>
        <w:pStyle w:val="Texto"/>
        <w:spacing w:before="120" w:after="120" w:line="240" w:lineRule="auto"/>
        <w:ind w:left="1350" w:hanging="630"/>
        <w:rPr>
          <w:rFonts w:ascii="ITC Avant Garde Std Bk" w:hAnsi="ITC Avant Garde Std Bk"/>
          <w:szCs w:val="18"/>
          <w:lang w:val="es-MX" w:eastAsia="es-MX"/>
        </w:rPr>
      </w:pPr>
      <w:r w:rsidRPr="0058663E">
        <w:rPr>
          <w:noProof/>
          <w:szCs w:val="18"/>
        </w:rPr>
        <w:lastRenderedPageBreak/>
        <w:drawing>
          <wp:inline distT="0" distB="0" distL="0" distR="0" wp14:anchorId="3D5B118A" wp14:editId="69BCA2B0">
            <wp:extent cx="4924425" cy="2533650"/>
            <wp:effectExtent l="0" t="0" r="9525" b="0"/>
            <wp:docPr id="193690438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09380" name="Imagen 1" descr="Tabla&#10;&#10;Descripción generada automáticamente"/>
                    <pic:cNvPicPr/>
                  </pic:nvPicPr>
                  <pic:blipFill>
                    <a:blip r:embed="rId25"/>
                    <a:stretch>
                      <a:fillRect/>
                    </a:stretch>
                  </pic:blipFill>
                  <pic:spPr>
                    <a:xfrm>
                      <a:off x="0" y="0"/>
                      <a:ext cx="4924425" cy="2533650"/>
                    </a:xfrm>
                    <a:prstGeom prst="rect">
                      <a:avLst/>
                    </a:prstGeom>
                  </pic:spPr>
                </pic:pic>
              </a:graphicData>
            </a:graphic>
          </wp:inline>
        </w:drawing>
      </w:r>
    </w:p>
    <w:p w14:paraId="0EBC965B" w14:textId="3D2950E3" w:rsidR="00454FD7" w:rsidRDefault="00454FD7" w:rsidP="00454FD7">
      <w:pPr>
        <w:pStyle w:val="Texto"/>
        <w:numPr>
          <w:ilvl w:val="0"/>
          <w:numId w:val="1"/>
        </w:numPr>
        <w:spacing w:before="120" w:after="120" w:line="240" w:lineRule="auto"/>
        <w:rPr>
          <w:rFonts w:ascii="ITC Avant Garde Std Bk" w:hAnsi="ITC Avant Garde Std Bk"/>
          <w:szCs w:val="18"/>
          <w:lang w:eastAsia="es-MX"/>
        </w:rPr>
      </w:pPr>
      <w:r w:rsidRPr="00454FD7">
        <w:rPr>
          <w:rFonts w:ascii="ITC Avant Garde Std Bk" w:hAnsi="ITC Avant Garde Std Bk"/>
          <w:szCs w:val="18"/>
          <w:lang w:eastAsia="es-MX"/>
        </w:rPr>
        <w:t>El periodo acumulado de inactividad del trasmisor se conforma de la suma de tiempos de inactividad iguales o mayores a 2 ms, dentro de cualquier intervalo continuo de 33 ms.</w:t>
      </w:r>
    </w:p>
    <w:p w14:paraId="7412B282" w14:textId="77777777" w:rsidR="00454FD7" w:rsidRDefault="00454FD7" w:rsidP="00454FD7">
      <w:pPr>
        <w:pStyle w:val="Texto"/>
        <w:spacing w:before="120" w:after="120" w:line="240" w:lineRule="auto"/>
        <w:ind w:left="1080" w:firstLine="0"/>
        <w:jc w:val="right"/>
        <w:rPr>
          <w:rFonts w:ascii="ITC Avant Garde Std Bk" w:hAnsi="ITC Avant Garde Std Bk"/>
          <w:szCs w:val="18"/>
          <w:lang w:eastAsia="es-MX"/>
        </w:rPr>
      </w:pPr>
      <w:hyperlink r:id="rId26" w:anchor="gsc.tab=0" w:history="1">
        <w:r w:rsidRPr="000B782D">
          <w:rPr>
            <w:rStyle w:val="Hipervnculo"/>
            <w:rFonts w:ascii="ITC Avant Garde Std Bk" w:hAnsi="ITC Avant Garde Std Bk"/>
            <w:szCs w:val="18"/>
            <w:lang w:eastAsia="es-MX"/>
          </w:rPr>
          <w:t>Adición publicada en el DOF el 10/09/2024</w:t>
        </w:r>
      </w:hyperlink>
    </w:p>
    <w:p w14:paraId="1ED734B5" w14:textId="77777777" w:rsidR="00454FD7" w:rsidRDefault="00454FD7" w:rsidP="00454FD7">
      <w:pPr>
        <w:pStyle w:val="Texto"/>
        <w:spacing w:before="120" w:after="120"/>
        <w:ind w:left="1276" w:hanging="693"/>
        <w:rPr>
          <w:rFonts w:ascii="ITC Avant Garde Std Bk" w:hAnsi="ITC Avant Garde Std Bk"/>
          <w:szCs w:val="18"/>
          <w:lang w:val="es-MX" w:eastAsia="es-MX"/>
        </w:rPr>
      </w:pPr>
      <w:r w:rsidRPr="00454FD7">
        <w:rPr>
          <w:rFonts w:ascii="ITC Avant Garde Std Bk" w:hAnsi="ITC Avant Garde Std Bk"/>
          <w:b/>
          <w:bCs/>
          <w:szCs w:val="18"/>
          <w:lang w:val="es-MX" w:eastAsia="es-MX"/>
        </w:rPr>
        <w:t xml:space="preserve">2.1.5 ter    </w:t>
      </w:r>
      <w:r w:rsidRPr="00454FD7">
        <w:rPr>
          <w:rFonts w:ascii="ITC Avant Garde Std Bk" w:hAnsi="ITC Avant Garde Std Bk"/>
          <w:szCs w:val="18"/>
          <w:lang w:val="es-MX" w:eastAsia="es-MX"/>
        </w:rPr>
        <w:t xml:space="preserve">     Los sensores de perturbación de campo de pulso que operen en la banda 57-64 GHz, con duración de pulso máxima de 6 </w:t>
      </w:r>
      <w:proofErr w:type="spellStart"/>
      <w:r w:rsidRPr="00454FD7">
        <w:rPr>
          <w:rFonts w:ascii="ITC Avant Garde Std Bk" w:hAnsi="ITC Avant Garde Std Bk"/>
          <w:szCs w:val="18"/>
          <w:lang w:val="es-MX" w:eastAsia="es-MX"/>
        </w:rPr>
        <w:t>ns</w:t>
      </w:r>
      <w:proofErr w:type="spellEnd"/>
      <w:r w:rsidRPr="00454FD7">
        <w:rPr>
          <w:rFonts w:ascii="ITC Avant Garde Std Bk" w:hAnsi="ITC Avant Garde Std Bk"/>
          <w:szCs w:val="18"/>
          <w:lang w:val="es-MX" w:eastAsia="es-MX"/>
        </w:rPr>
        <w:t xml:space="preserve"> y con un ciclo de trabajo máximo del 10% en cualquier intervalo de 0.3 µs, no deberán exceder una PIRE promedio de 13 dBm. Asimismo, dentro del segmento 61.5-64 GHz, este tipo de sensores no deberán exceder una PIRE integrada promedio de 5 dBm en cualquier intervalo de 0.3 µs.</w:t>
      </w:r>
    </w:p>
    <w:p w14:paraId="0F80A261" w14:textId="77777777" w:rsidR="00454FD7" w:rsidRDefault="00454FD7" w:rsidP="00454FD7">
      <w:pPr>
        <w:pStyle w:val="Texto"/>
        <w:spacing w:before="120" w:after="120" w:line="240" w:lineRule="auto"/>
        <w:ind w:left="1080" w:firstLine="0"/>
        <w:jc w:val="right"/>
        <w:rPr>
          <w:rFonts w:ascii="ITC Avant Garde Std Bk" w:hAnsi="ITC Avant Garde Std Bk"/>
          <w:szCs w:val="18"/>
          <w:lang w:eastAsia="es-MX"/>
        </w:rPr>
      </w:pPr>
      <w:hyperlink r:id="rId27" w:anchor="gsc.tab=0" w:history="1">
        <w:r w:rsidRPr="000B782D">
          <w:rPr>
            <w:rStyle w:val="Hipervnculo"/>
            <w:rFonts w:ascii="ITC Avant Garde Std Bk" w:hAnsi="ITC Avant Garde Std Bk"/>
            <w:szCs w:val="18"/>
            <w:lang w:eastAsia="es-MX"/>
          </w:rPr>
          <w:t>Adición publicada en el DOF el 10/09/2024</w:t>
        </w:r>
      </w:hyperlink>
    </w:p>
    <w:p w14:paraId="410DBF19" w14:textId="77777777" w:rsidR="00454FD7" w:rsidRDefault="00454FD7" w:rsidP="00454FD7">
      <w:pPr>
        <w:pStyle w:val="Texto"/>
        <w:spacing w:before="120" w:after="120"/>
        <w:ind w:left="1276"/>
        <w:rPr>
          <w:rFonts w:ascii="ITC Avant Garde Std Bk" w:hAnsi="ITC Avant Garde Std Bk"/>
          <w:szCs w:val="18"/>
          <w:lang w:val="es-MX" w:eastAsia="es-MX"/>
        </w:rPr>
      </w:pPr>
      <w:r w:rsidRPr="00454FD7">
        <w:rPr>
          <w:rFonts w:ascii="ITC Avant Garde Std Bk" w:hAnsi="ITC Avant Garde Std Bk"/>
          <w:szCs w:val="18"/>
          <w:lang w:val="es-MX" w:eastAsia="es-MX"/>
        </w:rPr>
        <w:t>Las emisiones pico de radiofrecuencia de los sensores de perturbación de campo de pulso no deben exceder 20 dB por encima del límite máximo permitido de emisión promedio aplicable al equipo bajo prueba. El ancho de banda del radar es la banda de frecuencia delimitada por los puntos que están 10 dB por debajo de la emisión radiada más alta, con base en el sistema de transmisión completo (incluyendo la antena).</w:t>
      </w:r>
    </w:p>
    <w:p w14:paraId="7528F1E0" w14:textId="77777777" w:rsidR="00454FD7" w:rsidRDefault="00454FD7" w:rsidP="00454FD7">
      <w:pPr>
        <w:pStyle w:val="Texto"/>
        <w:spacing w:before="120" w:after="120" w:line="240" w:lineRule="auto"/>
        <w:ind w:left="1080" w:firstLine="0"/>
        <w:jc w:val="right"/>
        <w:rPr>
          <w:rFonts w:ascii="ITC Avant Garde Std Bk" w:hAnsi="ITC Avant Garde Std Bk"/>
          <w:szCs w:val="18"/>
          <w:lang w:eastAsia="es-MX"/>
        </w:rPr>
      </w:pPr>
      <w:hyperlink r:id="rId28" w:anchor="gsc.tab=0" w:history="1">
        <w:r w:rsidRPr="000B782D">
          <w:rPr>
            <w:rStyle w:val="Hipervnculo"/>
            <w:rFonts w:ascii="ITC Avant Garde Std Bk" w:hAnsi="ITC Avant Garde Std Bk"/>
            <w:szCs w:val="18"/>
            <w:lang w:eastAsia="es-MX"/>
          </w:rPr>
          <w:t>Adición publicada en el DOF el 10/09/2024</w:t>
        </w:r>
      </w:hyperlink>
    </w:p>
    <w:p w14:paraId="11FD4AC0" w14:textId="4768F687" w:rsidR="00454FD7" w:rsidRDefault="00454FD7" w:rsidP="00454FD7">
      <w:pPr>
        <w:pStyle w:val="Texto"/>
        <w:spacing w:before="120" w:after="120" w:line="240" w:lineRule="auto"/>
        <w:ind w:left="1276" w:hanging="709"/>
        <w:rPr>
          <w:rFonts w:ascii="ITC Avant Garde Std Bk" w:hAnsi="ITC Avant Garde Std Bk"/>
          <w:szCs w:val="18"/>
          <w:lang w:val="es-MX" w:eastAsia="es-MX"/>
        </w:rPr>
      </w:pPr>
      <w:r w:rsidRPr="00454FD7">
        <w:rPr>
          <w:rFonts w:ascii="ITC Avant Garde Std Bk" w:hAnsi="ITC Avant Garde Std Bk"/>
          <w:b/>
          <w:bCs/>
          <w:szCs w:val="18"/>
          <w:lang w:val="es-MX" w:eastAsia="es-MX"/>
        </w:rPr>
        <w:t xml:space="preserve">2.1.5 </w:t>
      </w:r>
      <w:proofErr w:type="spellStart"/>
      <w:r w:rsidRPr="00454FD7">
        <w:rPr>
          <w:rFonts w:ascii="ITC Avant Garde Std Bk" w:hAnsi="ITC Avant Garde Std Bk"/>
          <w:b/>
          <w:bCs/>
          <w:szCs w:val="18"/>
          <w:lang w:val="es-MX" w:eastAsia="es-MX"/>
        </w:rPr>
        <w:t>quater</w:t>
      </w:r>
      <w:proofErr w:type="spellEnd"/>
      <w:r w:rsidRPr="00454FD7">
        <w:rPr>
          <w:rFonts w:ascii="ITC Avant Garde Std Bk" w:hAnsi="ITC Avant Garde Std Bk"/>
          <w:b/>
          <w:bCs/>
          <w:szCs w:val="18"/>
          <w:lang w:val="es-MX" w:eastAsia="es-MX"/>
        </w:rPr>
        <w:t xml:space="preserve">  </w:t>
      </w:r>
      <w:r w:rsidRPr="00454FD7">
        <w:rPr>
          <w:rFonts w:ascii="ITC Avant Garde Std Bk" w:hAnsi="ITC Avant Garde Std Bk"/>
          <w:szCs w:val="18"/>
          <w:lang w:val="es-MX" w:eastAsia="es-MX"/>
        </w:rPr>
        <w:t xml:space="preserve">  Los sensores de perturbación de campo instalados en vehículos aéreos no tripulados solo pueden operar dentro del segmento de frecuencias 60-64 GHz, con una PIRE máxima que no exceda 20 dBm y siempre que la suma de tiempos de apagado de al menos 2 ms sea igual a 16.5 ms en cualquier intervalo continuo de 33 ms, limiten su altitud por debajo de 121.92 metros sobre el nivel del suelo y cumplan con la normatividad aeronáutica que resulte aplicable.</w:t>
      </w:r>
    </w:p>
    <w:p w14:paraId="00BD723F" w14:textId="77777777" w:rsidR="00454FD7" w:rsidRDefault="00454FD7" w:rsidP="00454FD7">
      <w:pPr>
        <w:pStyle w:val="Texto"/>
        <w:spacing w:before="120" w:after="120" w:line="240" w:lineRule="auto"/>
        <w:ind w:left="1080" w:firstLine="0"/>
        <w:jc w:val="right"/>
        <w:rPr>
          <w:rFonts w:ascii="ITC Avant Garde Std Bk" w:hAnsi="ITC Avant Garde Std Bk"/>
          <w:szCs w:val="18"/>
          <w:lang w:eastAsia="es-MX"/>
        </w:rPr>
      </w:pPr>
      <w:hyperlink r:id="rId29" w:anchor="gsc.tab=0" w:history="1">
        <w:r w:rsidRPr="000B782D">
          <w:rPr>
            <w:rStyle w:val="Hipervnculo"/>
            <w:rFonts w:ascii="ITC Avant Garde Std Bk" w:hAnsi="ITC Avant Garde Std Bk"/>
            <w:szCs w:val="18"/>
            <w:lang w:eastAsia="es-MX"/>
          </w:rPr>
          <w:t>Adición publicada en el DOF el 10/09/2024</w:t>
        </w:r>
      </w:hyperlink>
    </w:p>
    <w:p w14:paraId="03E819DF" w14:textId="77777777" w:rsidR="00454FD7" w:rsidRPr="00454FD7" w:rsidRDefault="00454FD7" w:rsidP="00454FD7">
      <w:pPr>
        <w:pStyle w:val="Texto"/>
        <w:spacing w:before="120" w:after="120" w:line="240" w:lineRule="auto"/>
        <w:ind w:left="720" w:firstLine="0"/>
        <w:rPr>
          <w:rFonts w:ascii="ITC Avant Garde Std Bk" w:hAnsi="ITC Avant Garde Std Bk"/>
          <w:szCs w:val="18"/>
          <w:lang w:eastAsia="es-MX"/>
        </w:rPr>
      </w:pPr>
    </w:p>
    <w:p w14:paraId="358D55D2" w14:textId="2495A313" w:rsidR="00A96541"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lastRenderedPageBreak/>
        <w:t>2.1.6</w:t>
      </w:r>
      <w:r w:rsidRPr="00E443DD">
        <w:rPr>
          <w:rFonts w:ascii="ITC Avant Garde Std Bk" w:hAnsi="ITC Avant Garde Std Bk"/>
          <w:b/>
          <w:szCs w:val="18"/>
          <w:lang w:val="es-MX" w:eastAsia="es-MX"/>
        </w:rPr>
        <w:tab/>
      </w:r>
      <w:r w:rsidR="00454FD7" w:rsidRPr="00454FD7">
        <w:rPr>
          <w:rFonts w:ascii="ITC Avant Garde Std Bk" w:hAnsi="ITC Avant Garde Std Bk"/>
          <w:szCs w:val="18"/>
          <w:lang w:eastAsia="es-MX"/>
        </w:rPr>
        <w:t xml:space="preserve">Los sensores de perturbación de campo diferentes a los mencionados en los numerales 2.1.4, 2.1.5, 2.1.5 bis, 2.1.5 ter y 2.1.5 </w:t>
      </w:r>
      <w:proofErr w:type="spellStart"/>
      <w:r w:rsidR="00454FD7" w:rsidRPr="00454FD7">
        <w:rPr>
          <w:rFonts w:ascii="ITC Avant Garde Std Bk" w:hAnsi="ITC Avant Garde Std Bk"/>
          <w:szCs w:val="18"/>
          <w:lang w:eastAsia="es-MX"/>
        </w:rPr>
        <w:t>quater</w:t>
      </w:r>
      <w:proofErr w:type="spellEnd"/>
      <w:r w:rsidR="00454FD7" w:rsidRPr="00454FD7">
        <w:rPr>
          <w:rFonts w:ascii="ITC Avant Garde Std Bk" w:hAnsi="ITC Avant Garde Std Bk"/>
          <w:szCs w:val="18"/>
          <w:lang w:eastAsia="es-MX"/>
        </w:rPr>
        <w:t>, no deberán exceder una potencia pico de salida del transmisor de -10 dBm y una PIRE máxima de 10 dBm.</w:t>
      </w:r>
    </w:p>
    <w:p w14:paraId="23EB05D4" w14:textId="77777777" w:rsidR="00454FD7" w:rsidRDefault="00454FD7" w:rsidP="00454FD7">
      <w:pPr>
        <w:pStyle w:val="Texto"/>
        <w:spacing w:before="120" w:after="120" w:line="240" w:lineRule="auto"/>
        <w:ind w:left="1350" w:hanging="630"/>
        <w:jc w:val="right"/>
        <w:rPr>
          <w:rFonts w:ascii="ITC Avant Garde Std Bk" w:hAnsi="ITC Avant Garde Std Bk"/>
          <w:szCs w:val="18"/>
          <w:lang w:eastAsia="es-MX"/>
        </w:rPr>
      </w:pPr>
      <w:hyperlink r:id="rId30"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454FD7" w14:paraId="684853CC"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0A4B52A3" w14:textId="77777777" w:rsidR="00454FD7" w:rsidRDefault="00454FD7"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58C3BD77" w14:textId="5BE1CD34" w:rsidR="00454FD7" w:rsidRDefault="00454FD7" w:rsidP="00770143">
            <w:pPr>
              <w:pStyle w:val="Texto"/>
              <w:spacing w:line="224" w:lineRule="exact"/>
              <w:ind w:firstLine="0"/>
              <w:rPr>
                <w:rFonts w:ascii="ITC Avant Garde" w:hAnsi="ITC Avant Garde"/>
                <w:b/>
              </w:rPr>
            </w:pPr>
            <w:r w:rsidRPr="00454FD7">
              <w:rPr>
                <w:rFonts w:ascii="ITC Avant Garde Std Bk" w:hAnsi="ITC Avant Garde Std Bk"/>
                <w:b/>
                <w:bCs/>
                <w:szCs w:val="23"/>
                <w:lang w:val="es-MX"/>
              </w:rPr>
              <w:t>2.1.6</w:t>
            </w:r>
            <w:r w:rsidRPr="00454FD7">
              <w:rPr>
                <w:rFonts w:ascii="ITC Avant Garde Std Bk" w:hAnsi="ITC Avant Garde Std Bk"/>
                <w:b/>
                <w:bCs/>
                <w:szCs w:val="23"/>
                <w:lang w:val="es-MX"/>
              </w:rPr>
              <w:tab/>
            </w:r>
            <w:r w:rsidRPr="00454FD7">
              <w:rPr>
                <w:rFonts w:ascii="ITC Avant Garde Std Bk" w:hAnsi="ITC Avant Garde Std Bk"/>
                <w:szCs w:val="23"/>
                <w:lang w:val="es-MX"/>
              </w:rPr>
              <w:t>Los sensores de perturbación de campo fijo diferentes a los mencionados en los incisos 2.1.4 y 2.1.5, así como los sensores de movimiento interactivo, no deberán exceder una potencia pico de salida del transmisor de -10 dBm y una PIRE máxima de 10 dBm.</w:t>
            </w:r>
          </w:p>
        </w:tc>
      </w:tr>
    </w:tbl>
    <w:p w14:paraId="5FED0BD0" w14:textId="77777777" w:rsidR="00454FD7" w:rsidRPr="00454FD7" w:rsidRDefault="00454FD7" w:rsidP="00A96541">
      <w:pPr>
        <w:pStyle w:val="Texto"/>
        <w:spacing w:before="120" w:after="120" w:line="240" w:lineRule="auto"/>
        <w:ind w:left="1350" w:hanging="630"/>
        <w:rPr>
          <w:rFonts w:ascii="ITC Avant Garde Std Bk" w:hAnsi="ITC Avant Garde Std Bk"/>
          <w:szCs w:val="18"/>
          <w:lang w:val="es-MX" w:eastAsia="es-MX"/>
        </w:rPr>
      </w:pPr>
    </w:p>
    <w:p w14:paraId="0A2238E7"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2.1.7</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sistemas de transporte inteligente que operen dentro del segmento 63-64 GHz, deberán operar con una PIRE máxima de 40 dBm y ganancia de antena menor o igual a 23 dBi.</w:t>
      </w:r>
    </w:p>
    <w:p w14:paraId="5DEDA0B3" w14:textId="07AE6F97" w:rsidR="00A96541"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2.1.8</w:t>
      </w:r>
      <w:r w:rsidRPr="00E443DD">
        <w:rPr>
          <w:rFonts w:ascii="ITC Avant Garde Std Bk" w:hAnsi="ITC Avant Garde Std Bk"/>
          <w:b/>
          <w:szCs w:val="18"/>
          <w:lang w:val="es-MX" w:eastAsia="es-MX"/>
        </w:rPr>
        <w:tab/>
      </w:r>
      <w:r w:rsidR="00454FD7" w:rsidRPr="00454FD7">
        <w:rPr>
          <w:rFonts w:ascii="ITC Avant Garde Std Bk" w:hAnsi="ITC Avant Garde Std Bk"/>
          <w:szCs w:val="18"/>
          <w:lang w:eastAsia="es-MX"/>
        </w:rPr>
        <w:t xml:space="preserve">Cualquier otro sistema, dispositivo, equipo o estación no considerado en los numerales 2.1.3, 2.1.4, 2.1.5, 2.1.5 bis, 2.1.5 ter, 2.1.5 </w:t>
      </w:r>
      <w:proofErr w:type="spellStart"/>
      <w:r w:rsidR="00454FD7" w:rsidRPr="00454FD7">
        <w:rPr>
          <w:rFonts w:ascii="ITC Avant Garde Std Bk" w:hAnsi="ITC Avant Garde Std Bk"/>
          <w:szCs w:val="18"/>
          <w:lang w:eastAsia="es-MX"/>
        </w:rPr>
        <w:t>quater</w:t>
      </w:r>
      <w:proofErr w:type="spellEnd"/>
      <w:r w:rsidR="00454FD7" w:rsidRPr="00454FD7">
        <w:rPr>
          <w:rFonts w:ascii="ITC Avant Garde Std Bk" w:hAnsi="ITC Avant Garde Std Bk"/>
          <w:szCs w:val="18"/>
          <w:lang w:eastAsia="es-MX"/>
        </w:rPr>
        <w:t xml:space="preserve">, 2.1.6 y 2.1.7, incluyendo sistemas </w:t>
      </w:r>
      <w:proofErr w:type="spellStart"/>
      <w:r w:rsidR="00454FD7" w:rsidRPr="00454FD7">
        <w:rPr>
          <w:rFonts w:ascii="ITC Avant Garde Std Bk" w:hAnsi="ITC Avant Garde Std Bk"/>
          <w:szCs w:val="18"/>
          <w:lang w:eastAsia="es-MX"/>
        </w:rPr>
        <w:t>PaM</w:t>
      </w:r>
      <w:proofErr w:type="spellEnd"/>
      <w:r w:rsidR="00454FD7" w:rsidRPr="00454FD7">
        <w:rPr>
          <w:rFonts w:ascii="ITC Avant Garde Std Bk" w:hAnsi="ITC Avant Garde Std Bk"/>
          <w:szCs w:val="18"/>
          <w:lang w:eastAsia="es-MX"/>
        </w:rPr>
        <w:t>, de acceso inalámbrico, DRCA, entre otros, deberá operar con una PIRE promedio que no exceda 40 dBm y una PIRE máxima que no exceda 43 dBm.</w:t>
      </w:r>
    </w:p>
    <w:p w14:paraId="7EC11ABF" w14:textId="77777777" w:rsidR="00454FD7" w:rsidRDefault="00454FD7" w:rsidP="00454FD7">
      <w:pPr>
        <w:pStyle w:val="Texto"/>
        <w:spacing w:before="120" w:after="120" w:line="240" w:lineRule="auto"/>
        <w:ind w:left="1350" w:hanging="630"/>
        <w:jc w:val="right"/>
        <w:rPr>
          <w:rFonts w:ascii="ITC Avant Garde Std Bk" w:hAnsi="ITC Avant Garde Std Bk"/>
          <w:szCs w:val="18"/>
          <w:lang w:eastAsia="es-MX"/>
        </w:rPr>
      </w:pPr>
      <w:hyperlink r:id="rId31"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454FD7" w14:paraId="7E3A32B3"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512C018E" w14:textId="77777777" w:rsidR="00454FD7" w:rsidRDefault="00454FD7"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20447B48" w14:textId="1F3EE2C8" w:rsidR="00454FD7" w:rsidRDefault="00454FD7" w:rsidP="00770143">
            <w:pPr>
              <w:pStyle w:val="Texto"/>
              <w:spacing w:line="224" w:lineRule="exact"/>
              <w:ind w:firstLine="0"/>
              <w:rPr>
                <w:rFonts w:ascii="ITC Avant Garde" w:hAnsi="ITC Avant Garde"/>
                <w:b/>
              </w:rPr>
            </w:pPr>
            <w:r w:rsidRPr="00454FD7">
              <w:rPr>
                <w:rFonts w:ascii="ITC Avant Garde Std Bk" w:hAnsi="ITC Avant Garde Std Bk"/>
                <w:b/>
                <w:bCs/>
                <w:szCs w:val="23"/>
                <w:lang w:val="es-MX"/>
              </w:rPr>
              <w:t>2.1.8</w:t>
            </w:r>
            <w:r w:rsidRPr="00454FD7">
              <w:rPr>
                <w:rFonts w:ascii="ITC Avant Garde Std Bk" w:hAnsi="ITC Avant Garde Std Bk"/>
                <w:b/>
                <w:bCs/>
                <w:szCs w:val="23"/>
                <w:lang w:val="es-MX"/>
              </w:rPr>
              <w:tab/>
            </w:r>
            <w:r w:rsidRPr="00454FD7">
              <w:rPr>
                <w:rFonts w:ascii="ITC Avant Garde Std Bk" w:hAnsi="ITC Avant Garde Std Bk"/>
                <w:szCs w:val="23"/>
                <w:lang w:val="es-MX"/>
              </w:rPr>
              <w:t>Cualquier otro sistema, dispositivo, equipo o estación no considerado en los incisos 2.1.3, 2.1.4, 2.1.5, 2.1.6 y 2.1.7, deberá operar con una PIRE promedio que no exceda 40 dBm y una PIRE máxima que no exceda 43 dBm.</w:t>
            </w:r>
          </w:p>
        </w:tc>
      </w:tr>
    </w:tbl>
    <w:p w14:paraId="332071F9" w14:textId="77777777" w:rsidR="00454FD7" w:rsidRPr="00454FD7" w:rsidRDefault="00454FD7" w:rsidP="00A96541">
      <w:pPr>
        <w:pStyle w:val="Texto"/>
        <w:spacing w:before="120" w:after="120" w:line="240" w:lineRule="auto"/>
        <w:ind w:left="1350" w:hanging="630"/>
        <w:rPr>
          <w:rFonts w:ascii="ITC Avant Garde Std Bk" w:hAnsi="ITC Avant Garde Std Bk"/>
          <w:szCs w:val="18"/>
          <w:lang w:val="es-MX" w:eastAsia="es-MX"/>
        </w:rPr>
      </w:pPr>
    </w:p>
    <w:p w14:paraId="003AE85F"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2.1.9</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Potencia pico de salida del transmisor:</w:t>
      </w:r>
    </w:p>
    <w:p w14:paraId="6EF122DB" w14:textId="58B28442" w:rsidR="00A96541" w:rsidRDefault="00A96541" w:rsidP="003D3B4A">
      <w:pPr>
        <w:pStyle w:val="Texto"/>
        <w:spacing w:before="120" w:after="120"/>
        <w:ind w:left="1710" w:hanging="360"/>
        <w:rPr>
          <w:rFonts w:ascii="ITC Avant Garde Std Bk" w:hAnsi="ITC Avant Garde Std Bk"/>
          <w:szCs w:val="18"/>
          <w:lang w:eastAsia="es-MX"/>
        </w:rPr>
      </w:pPr>
      <w:r w:rsidRPr="00E443DD">
        <w:rPr>
          <w:rFonts w:ascii="ITC Avant Garde Std Bk" w:hAnsi="ITC Avant Garde Std Bk"/>
          <w:szCs w:val="18"/>
          <w:lang w:eastAsia="es-MX"/>
        </w:rPr>
        <w:t>a)</w:t>
      </w:r>
      <w:r w:rsidRPr="00E443DD">
        <w:rPr>
          <w:rFonts w:ascii="ITC Avant Garde Std Bk" w:hAnsi="ITC Avant Garde Std Bk"/>
          <w:szCs w:val="18"/>
          <w:lang w:eastAsia="es-MX"/>
        </w:rPr>
        <w:tab/>
      </w:r>
      <w:r w:rsidR="003D3B4A" w:rsidRPr="003D3B4A">
        <w:rPr>
          <w:rFonts w:ascii="ITC Avant Garde Std Bk" w:hAnsi="ITC Avant Garde Std Bk"/>
          <w:szCs w:val="18"/>
          <w:lang w:eastAsia="es-MX"/>
        </w:rPr>
        <w:t xml:space="preserve">Los dispositivos distintos a sensores de perturbación de campo que utilicen un ancho de banda de emisión mayor a 100 MHz no deberán exceder 500 </w:t>
      </w:r>
      <w:proofErr w:type="spellStart"/>
      <w:r w:rsidR="003D3B4A" w:rsidRPr="003D3B4A">
        <w:rPr>
          <w:rFonts w:ascii="ITC Avant Garde Std Bk" w:hAnsi="ITC Avant Garde Std Bk"/>
          <w:szCs w:val="18"/>
          <w:lang w:eastAsia="es-MX"/>
        </w:rPr>
        <w:t>mW</w:t>
      </w:r>
      <w:proofErr w:type="spellEnd"/>
      <w:r w:rsidR="003D3B4A" w:rsidRPr="003D3B4A">
        <w:rPr>
          <w:rFonts w:ascii="ITC Avant Garde Std Bk" w:hAnsi="ITC Avant Garde Std Bk"/>
          <w:szCs w:val="18"/>
          <w:lang w:eastAsia="es-MX"/>
        </w:rPr>
        <w:t>.</w:t>
      </w:r>
      <w:r w:rsidR="003D3B4A">
        <w:rPr>
          <w:rFonts w:ascii="ITC Avant Garde Std Bk" w:hAnsi="ITC Avant Garde Std Bk"/>
          <w:szCs w:val="18"/>
          <w:lang w:eastAsia="es-MX"/>
        </w:rPr>
        <w:t xml:space="preserve"> </w:t>
      </w:r>
      <w:r w:rsidR="003D3B4A" w:rsidRPr="003D3B4A">
        <w:rPr>
          <w:rFonts w:ascii="ITC Avant Garde Std Bk" w:hAnsi="ITC Avant Garde Std Bk"/>
          <w:szCs w:val="18"/>
          <w:lang w:eastAsia="es-MX"/>
        </w:rPr>
        <w:t>Dependiendo de la ganancia de la antena, puede ser necesario disminuir la potencia pico de salida del transmisor con el fin de no exceder los límites de PIRE establecidos en los numerales anteriores.</w:t>
      </w:r>
    </w:p>
    <w:p w14:paraId="4977D7E1" w14:textId="77777777" w:rsidR="003D3B4A" w:rsidRDefault="003D3B4A" w:rsidP="003D3B4A">
      <w:pPr>
        <w:pStyle w:val="Texto"/>
        <w:spacing w:before="120" w:after="120" w:line="240" w:lineRule="auto"/>
        <w:ind w:left="1350" w:hanging="630"/>
        <w:jc w:val="right"/>
        <w:rPr>
          <w:rFonts w:ascii="ITC Avant Garde Std Bk" w:hAnsi="ITC Avant Garde Std Bk"/>
          <w:szCs w:val="18"/>
          <w:lang w:eastAsia="es-MX"/>
        </w:rPr>
      </w:pPr>
      <w:hyperlink r:id="rId32"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3D3B4A" w14:paraId="1404365E"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15A19C9F" w14:textId="77777777" w:rsidR="003D3B4A" w:rsidRDefault="003D3B4A"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2A8FF69A" w14:textId="4CE60C69" w:rsidR="003D3B4A" w:rsidRPr="003D3B4A" w:rsidRDefault="003D3B4A" w:rsidP="003D3B4A">
            <w:pPr>
              <w:pStyle w:val="Texto"/>
              <w:spacing w:line="224" w:lineRule="exact"/>
              <w:rPr>
                <w:rFonts w:ascii="ITC Avant Garde Std Bk" w:hAnsi="ITC Avant Garde Std Bk"/>
                <w:b/>
                <w:bCs/>
                <w:szCs w:val="23"/>
                <w:lang w:val="es-MX"/>
              </w:rPr>
            </w:pPr>
            <w:r w:rsidRPr="003D3B4A">
              <w:rPr>
                <w:rFonts w:ascii="ITC Avant Garde Std Bk" w:hAnsi="ITC Avant Garde Std Bk"/>
                <w:b/>
                <w:bCs/>
                <w:szCs w:val="23"/>
                <w:lang w:val="es-MX"/>
              </w:rPr>
              <w:t>2.1.9</w:t>
            </w:r>
            <w:r>
              <w:rPr>
                <w:rFonts w:ascii="ITC Avant Garde Std Bk" w:hAnsi="ITC Avant Garde Std Bk"/>
                <w:b/>
                <w:bCs/>
                <w:szCs w:val="23"/>
                <w:lang w:val="es-MX"/>
              </w:rPr>
              <w:t xml:space="preserve"> …</w:t>
            </w:r>
          </w:p>
          <w:p w14:paraId="740236FB" w14:textId="6FF434B4" w:rsidR="003D3B4A" w:rsidRDefault="003D3B4A" w:rsidP="003D3B4A">
            <w:pPr>
              <w:pStyle w:val="Texto"/>
              <w:spacing w:line="224" w:lineRule="exact"/>
              <w:ind w:firstLine="0"/>
              <w:rPr>
                <w:rFonts w:ascii="ITC Avant Garde" w:hAnsi="ITC Avant Garde"/>
                <w:b/>
              </w:rPr>
            </w:pPr>
            <w:r w:rsidRPr="003D3B4A">
              <w:rPr>
                <w:rFonts w:ascii="ITC Avant Garde Std Bk" w:hAnsi="ITC Avant Garde Std Bk"/>
                <w:szCs w:val="23"/>
                <w:lang w:val="es-MX"/>
              </w:rPr>
              <w:t>a)</w:t>
            </w:r>
            <w:r w:rsidRPr="003D3B4A">
              <w:rPr>
                <w:rFonts w:ascii="ITC Avant Garde Std Bk" w:hAnsi="ITC Avant Garde Std Bk"/>
                <w:b/>
                <w:bCs/>
                <w:szCs w:val="23"/>
                <w:lang w:val="es-MX"/>
              </w:rPr>
              <w:tab/>
            </w:r>
            <w:r w:rsidRPr="003D3B4A">
              <w:rPr>
                <w:rFonts w:ascii="ITC Avant Garde Std Bk" w:hAnsi="ITC Avant Garde Std Bk"/>
                <w:szCs w:val="23"/>
                <w:lang w:val="es-MX"/>
              </w:rPr>
              <w:t xml:space="preserve">Los dispositivos que utilicen un ancho de banda de emisión mayor a 100 MHz, no deberán exceder 500 </w:t>
            </w:r>
            <w:proofErr w:type="spellStart"/>
            <w:r w:rsidRPr="003D3B4A">
              <w:rPr>
                <w:rFonts w:ascii="ITC Avant Garde Std Bk" w:hAnsi="ITC Avant Garde Std Bk"/>
                <w:szCs w:val="23"/>
                <w:lang w:val="es-MX"/>
              </w:rPr>
              <w:t>mW</w:t>
            </w:r>
            <w:proofErr w:type="spellEnd"/>
            <w:r w:rsidRPr="003D3B4A">
              <w:rPr>
                <w:rFonts w:ascii="ITC Avant Garde Std Bk" w:hAnsi="ITC Avant Garde Std Bk"/>
                <w:szCs w:val="23"/>
                <w:lang w:val="es-MX"/>
              </w:rPr>
              <w:t>. Dependiendo de la ganancia de la antena, puede ser necesario disminuir la potencia pico de salida del transmisor con el fin de no exceder los límites de PIRE establecidos en todos los numerales anteriores.</w:t>
            </w:r>
          </w:p>
        </w:tc>
      </w:tr>
    </w:tbl>
    <w:p w14:paraId="0573E07D" w14:textId="77777777" w:rsidR="003D3B4A" w:rsidRPr="003D3B4A" w:rsidRDefault="003D3B4A" w:rsidP="00A96541">
      <w:pPr>
        <w:pStyle w:val="Texto"/>
        <w:spacing w:before="120" w:after="120" w:line="240" w:lineRule="auto"/>
        <w:ind w:left="1710" w:hanging="360"/>
        <w:rPr>
          <w:rFonts w:ascii="ITC Avant Garde Std Bk" w:hAnsi="ITC Avant Garde Std Bk"/>
          <w:szCs w:val="18"/>
          <w:lang w:val="es-MX" w:eastAsia="es-MX"/>
        </w:rPr>
      </w:pPr>
    </w:p>
    <w:p w14:paraId="7B931F99" w14:textId="77777777" w:rsidR="003D3B4A" w:rsidRDefault="00A96541" w:rsidP="003D3B4A">
      <w:pPr>
        <w:pStyle w:val="Texto"/>
        <w:spacing w:before="120" w:after="120" w:line="240" w:lineRule="auto"/>
        <w:ind w:left="1710" w:hanging="360"/>
        <w:rPr>
          <w:rFonts w:ascii="ITC Avant Garde Std Bk" w:hAnsi="ITC Avant Garde Std Bk"/>
          <w:szCs w:val="18"/>
          <w:lang w:eastAsia="es-MX"/>
        </w:rPr>
      </w:pPr>
      <w:r w:rsidRPr="00E443DD">
        <w:rPr>
          <w:rFonts w:ascii="ITC Avant Garde Std Bk" w:hAnsi="ITC Avant Garde Std Bk"/>
          <w:szCs w:val="18"/>
          <w:lang w:eastAsia="es-MX"/>
        </w:rPr>
        <w:t>b)</w:t>
      </w:r>
      <w:r w:rsidRPr="00E443DD">
        <w:rPr>
          <w:rFonts w:ascii="ITC Avant Garde Std Bk" w:hAnsi="ITC Avant Garde Std Bk"/>
          <w:szCs w:val="18"/>
          <w:lang w:eastAsia="es-MX"/>
        </w:rPr>
        <w:tab/>
      </w:r>
      <w:r w:rsidR="003D3B4A" w:rsidRPr="003D3B4A">
        <w:rPr>
          <w:rFonts w:ascii="ITC Avant Garde Std Bk" w:hAnsi="ITC Avant Garde Std Bk"/>
          <w:szCs w:val="18"/>
          <w:lang w:eastAsia="es-MX"/>
        </w:rPr>
        <w:t xml:space="preserve">Los dispositivos distintos a sensores de perturbación de campo que utilicen un ancho de banda de emisión menor a 100 MHz deben limitar la potencia pico de salida del transmisor del dispositivo, equipo o estación a lo resultante de </w:t>
      </w:r>
      <w:r w:rsidR="003D3B4A" w:rsidRPr="003D3B4A">
        <w:rPr>
          <w:rFonts w:ascii="ITC Avant Garde Std Bk" w:hAnsi="ITC Avant Garde Std Bk"/>
          <w:szCs w:val="18"/>
          <w:lang w:eastAsia="es-MX"/>
        </w:rPr>
        <w:lastRenderedPageBreak/>
        <w:t xml:space="preserve">multiplicar 500 </w:t>
      </w:r>
      <w:proofErr w:type="spellStart"/>
      <w:r w:rsidR="003D3B4A" w:rsidRPr="003D3B4A">
        <w:rPr>
          <w:rFonts w:ascii="ITC Avant Garde Std Bk" w:hAnsi="ITC Avant Garde Std Bk"/>
          <w:szCs w:val="18"/>
          <w:lang w:eastAsia="es-MX"/>
        </w:rPr>
        <w:t>mW</w:t>
      </w:r>
      <w:proofErr w:type="spellEnd"/>
      <w:r w:rsidR="003D3B4A" w:rsidRPr="003D3B4A">
        <w:rPr>
          <w:rFonts w:ascii="ITC Avant Garde Std Bk" w:hAnsi="ITC Avant Garde Std Bk"/>
          <w:szCs w:val="18"/>
          <w:lang w:eastAsia="es-MX"/>
        </w:rPr>
        <w:t xml:space="preserve"> por su ancho de banda de emisión en MHz, dividido entre 100 MHz.</w:t>
      </w:r>
    </w:p>
    <w:p w14:paraId="5EE445F3" w14:textId="0138D013" w:rsidR="003D3B4A" w:rsidRDefault="003D3B4A" w:rsidP="003D3B4A">
      <w:pPr>
        <w:pStyle w:val="Texto"/>
        <w:spacing w:before="120" w:after="120" w:line="240" w:lineRule="auto"/>
        <w:ind w:left="1710" w:hanging="360"/>
        <w:jc w:val="right"/>
        <w:rPr>
          <w:rFonts w:ascii="ITC Avant Garde Std Bk" w:hAnsi="ITC Avant Garde Std Bk"/>
          <w:szCs w:val="18"/>
          <w:lang w:eastAsia="es-MX"/>
        </w:rPr>
      </w:pPr>
      <w:hyperlink r:id="rId33"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3D3B4A" w14:paraId="3713BA3D"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765C62E6" w14:textId="77777777" w:rsidR="003D3B4A" w:rsidRDefault="003D3B4A"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514B19C6" w14:textId="77777777" w:rsidR="003D3B4A" w:rsidRPr="003D3B4A" w:rsidRDefault="003D3B4A" w:rsidP="00770143">
            <w:pPr>
              <w:pStyle w:val="Texto"/>
              <w:spacing w:line="224" w:lineRule="exact"/>
              <w:rPr>
                <w:rFonts w:ascii="ITC Avant Garde Std Bk" w:hAnsi="ITC Avant Garde Std Bk"/>
                <w:b/>
                <w:bCs/>
                <w:szCs w:val="23"/>
                <w:lang w:val="es-MX"/>
              </w:rPr>
            </w:pPr>
            <w:r w:rsidRPr="003D3B4A">
              <w:rPr>
                <w:rFonts w:ascii="ITC Avant Garde Std Bk" w:hAnsi="ITC Avant Garde Std Bk"/>
                <w:b/>
                <w:bCs/>
                <w:szCs w:val="23"/>
                <w:lang w:val="es-MX"/>
              </w:rPr>
              <w:t>2.1.9</w:t>
            </w:r>
            <w:r>
              <w:rPr>
                <w:rFonts w:ascii="ITC Avant Garde Std Bk" w:hAnsi="ITC Avant Garde Std Bk"/>
                <w:b/>
                <w:bCs/>
                <w:szCs w:val="23"/>
                <w:lang w:val="es-MX"/>
              </w:rPr>
              <w:t xml:space="preserve"> …</w:t>
            </w:r>
          </w:p>
          <w:p w14:paraId="66C252CF" w14:textId="77777777" w:rsidR="003D3B4A" w:rsidRDefault="003D3B4A" w:rsidP="00770143">
            <w:pPr>
              <w:pStyle w:val="Texto"/>
              <w:spacing w:line="224" w:lineRule="exact"/>
              <w:ind w:firstLine="0"/>
              <w:rPr>
                <w:rFonts w:ascii="ITC Avant Garde Std Bk" w:hAnsi="ITC Avant Garde Std Bk"/>
                <w:b/>
                <w:bCs/>
                <w:szCs w:val="23"/>
                <w:lang w:val="es-MX"/>
              </w:rPr>
            </w:pPr>
            <w:r w:rsidRPr="003D3B4A">
              <w:rPr>
                <w:rFonts w:ascii="ITC Avant Garde Std Bk" w:hAnsi="ITC Avant Garde Std Bk"/>
                <w:szCs w:val="23"/>
                <w:lang w:val="es-MX"/>
              </w:rPr>
              <w:t>a)</w:t>
            </w:r>
            <w:r w:rsidRPr="003D3B4A">
              <w:rPr>
                <w:rFonts w:ascii="ITC Avant Garde Std Bk" w:hAnsi="ITC Avant Garde Std Bk"/>
                <w:b/>
                <w:bCs/>
                <w:szCs w:val="23"/>
                <w:lang w:val="es-MX"/>
              </w:rPr>
              <w:tab/>
            </w:r>
            <w:r>
              <w:rPr>
                <w:rFonts w:ascii="ITC Avant Garde Std Bk" w:hAnsi="ITC Avant Garde Std Bk"/>
                <w:b/>
                <w:bCs/>
                <w:szCs w:val="23"/>
                <w:lang w:val="es-MX"/>
              </w:rPr>
              <w:t>…</w:t>
            </w:r>
          </w:p>
          <w:p w14:paraId="4928A376" w14:textId="25CEFBCF" w:rsidR="003D3B4A" w:rsidRDefault="003D3B4A" w:rsidP="00770143">
            <w:pPr>
              <w:pStyle w:val="Texto"/>
              <w:spacing w:line="224" w:lineRule="exact"/>
              <w:ind w:firstLine="0"/>
              <w:rPr>
                <w:rFonts w:ascii="ITC Avant Garde" w:hAnsi="ITC Avant Garde"/>
                <w:b/>
              </w:rPr>
            </w:pPr>
            <w:r w:rsidRPr="003D3B4A">
              <w:rPr>
                <w:rFonts w:ascii="ITC Avant Garde Std Bk" w:hAnsi="ITC Avant Garde Std Bk"/>
                <w:szCs w:val="23"/>
                <w:lang w:val="es-MX"/>
              </w:rPr>
              <w:t>b)</w:t>
            </w:r>
            <w:r w:rsidRPr="003D3B4A">
              <w:rPr>
                <w:rFonts w:ascii="ITC Avant Garde Std Bk" w:hAnsi="ITC Avant Garde Std Bk"/>
                <w:szCs w:val="23"/>
                <w:lang w:val="es-MX"/>
              </w:rPr>
              <w:tab/>
              <w:t xml:space="preserve">Los dispositivos que utilicen un ancho de banda de emisión menor a 100 MHz deben limitar la potencia pico de salida del transmisor del dispositivo, equipo o estación a lo resultante de multiplicar 500 </w:t>
            </w:r>
            <w:proofErr w:type="spellStart"/>
            <w:r w:rsidRPr="003D3B4A">
              <w:rPr>
                <w:rFonts w:ascii="ITC Avant Garde Std Bk" w:hAnsi="ITC Avant Garde Std Bk"/>
                <w:szCs w:val="23"/>
                <w:lang w:val="es-MX"/>
              </w:rPr>
              <w:t>mW</w:t>
            </w:r>
            <w:proofErr w:type="spellEnd"/>
            <w:r w:rsidRPr="003D3B4A">
              <w:rPr>
                <w:rFonts w:ascii="ITC Avant Garde Std Bk" w:hAnsi="ITC Avant Garde Std Bk"/>
                <w:szCs w:val="23"/>
                <w:lang w:val="es-MX"/>
              </w:rPr>
              <w:t xml:space="preserve"> por su ancho de banda de emisión en MHz, dividido entre 100 MHz.</w:t>
            </w:r>
          </w:p>
        </w:tc>
      </w:tr>
    </w:tbl>
    <w:p w14:paraId="0E6E8DEF" w14:textId="77777777" w:rsidR="003D3B4A" w:rsidRPr="003D3B4A" w:rsidRDefault="003D3B4A" w:rsidP="00A96541">
      <w:pPr>
        <w:pStyle w:val="Texto"/>
        <w:spacing w:before="120" w:after="120" w:line="240" w:lineRule="auto"/>
        <w:ind w:left="1710" w:hanging="360"/>
        <w:rPr>
          <w:rFonts w:ascii="ITC Avant Garde Std Bk" w:hAnsi="ITC Avant Garde Std Bk"/>
          <w:szCs w:val="18"/>
          <w:lang w:val="es-MX" w:eastAsia="es-MX"/>
        </w:rPr>
      </w:pPr>
    </w:p>
    <w:p w14:paraId="44C1B4BD"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2.1.10</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El uso de la banda de frecuencias 57-64 GHz deberá atender a las disposiciones en materia de protección a seres humanos de radiaciones no ionizantes que se emitan por el Instituto.</w:t>
      </w:r>
    </w:p>
    <w:p w14:paraId="563F8988" w14:textId="77777777" w:rsidR="00A96541" w:rsidRPr="00E443DD" w:rsidRDefault="00A96541" w:rsidP="00A96541">
      <w:pPr>
        <w:pStyle w:val="Texto"/>
        <w:spacing w:before="120" w:after="120" w:line="240" w:lineRule="auto"/>
        <w:rPr>
          <w:rFonts w:ascii="ITC Avant Garde Std Bk" w:hAnsi="ITC Avant Garde Std Bk"/>
          <w:b/>
          <w:szCs w:val="18"/>
          <w:lang w:eastAsia="es-MX"/>
        </w:rPr>
      </w:pPr>
      <w:r w:rsidRPr="00E443DD">
        <w:rPr>
          <w:rFonts w:ascii="ITC Avant Garde Std Bk" w:hAnsi="ITC Avant Garde Std Bk"/>
          <w:b/>
          <w:szCs w:val="18"/>
          <w:lang w:val="es-MX" w:eastAsia="es-MX"/>
        </w:rPr>
        <w:t>2.2</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Restricciones Generales.</w:t>
      </w:r>
    </w:p>
    <w:p w14:paraId="2805403D" w14:textId="77777777" w:rsidR="009015DF" w:rsidRDefault="00A96541" w:rsidP="009015DF">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2.2.1</w:t>
      </w:r>
      <w:r w:rsidRPr="00E443DD">
        <w:rPr>
          <w:rFonts w:ascii="ITC Avant Garde Std Bk" w:hAnsi="ITC Avant Garde Std Bk"/>
          <w:b/>
          <w:szCs w:val="18"/>
          <w:lang w:val="es-MX" w:eastAsia="es-MX"/>
        </w:rPr>
        <w:tab/>
      </w:r>
      <w:r w:rsidR="009015DF" w:rsidRPr="009015DF">
        <w:rPr>
          <w:rFonts w:ascii="ITC Avant Garde Std Bk" w:hAnsi="ITC Avant Garde Std Bk"/>
          <w:szCs w:val="18"/>
          <w:lang w:eastAsia="es-MX"/>
        </w:rPr>
        <w:t>Se prohíbe la operación de sistemas, dispositivos, equipos o estaciones utilizados en satélites en la banda de frecuencias 57-64 GHz.</w:t>
      </w:r>
    </w:p>
    <w:p w14:paraId="0E28312C" w14:textId="2A0F4CE2" w:rsidR="009015DF" w:rsidRDefault="009015DF" w:rsidP="009015DF">
      <w:pPr>
        <w:pStyle w:val="Texto"/>
        <w:spacing w:before="120" w:after="120" w:line="240" w:lineRule="auto"/>
        <w:ind w:left="1350" w:hanging="630"/>
        <w:jc w:val="right"/>
        <w:rPr>
          <w:rFonts w:ascii="ITC Avant Garde Std Bk" w:hAnsi="ITC Avant Garde Std Bk"/>
          <w:szCs w:val="18"/>
          <w:lang w:eastAsia="es-MX"/>
        </w:rPr>
      </w:pPr>
      <w:hyperlink r:id="rId34"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9015DF" w14:paraId="2E8467CC"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36F31B75" w14:textId="77777777" w:rsidR="009015DF" w:rsidRDefault="009015DF"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6B0EA63A" w14:textId="77777777" w:rsidR="009015DF" w:rsidRPr="009015DF" w:rsidRDefault="009015DF" w:rsidP="009015DF">
            <w:pPr>
              <w:pStyle w:val="Texto"/>
              <w:spacing w:line="224" w:lineRule="exact"/>
              <w:rPr>
                <w:rFonts w:ascii="ITC Avant Garde Std Bk" w:hAnsi="ITC Avant Garde Std Bk"/>
                <w:szCs w:val="23"/>
                <w:lang w:val="es-MX"/>
              </w:rPr>
            </w:pPr>
            <w:r w:rsidRPr="009015DF">
              <w:rPr>
                <w:rFonts w:ascii="ITC Avant Garde Std Bk" w:hAnsi="ITC Avant Garde Std Bk"/>
                <w:b/>
                <w:bCs/>
                <w:szCs w:val="23"/>
                <w:lang w:val="es-MX"/>
              </w:rPr>
              <w:t>2.2.1</w:t>
            </w:r>
            <w:r w:rsidRPr="009015DF">
              <w:rPr>
                <w:rFonts w:ascii="ITC Avant Garde Std Bk" w:hAnsi="ITC Avant Garde Std Bk"/>
                <w:b/>
                <w:bCs/>
                <w:szCs w:val="23"/>
                <w:lang w:val="es-MX"/>
              </w:rPr>
              <w:tab/>
            </w:r>
            <w:r w:rsidRPr="009015DF">
              <w:rPr>
                <w:rFonts w:ascii="ITC Avant Garde Std Bk" w:hAnsi="ITC Avant Garde Std Bk"/>
                <w:szCs w:val="23"/>
                <w:lang w:val="es-MX"/>
              </w:rPr>
              <w:t>No se permite la operación en la banda de frecuencias 57-64 GHz de los siguientes sistemas, dispositivos, equipos o estaciones:</w:t>
            </w:r>
          </w:p>
          <w:p w14:paraId="2C0BE832" w14:textId="77777777" w:rsidR="009015DF" w:rsidRPr="009015DF" w:rsidRDefault="009015DF" w:rsidP="009015DF">
            <w:pPr>
              <w:pStyle w:val="Texto"/>
              <w:spacing w:line="224" w:lineRule="exact"/>
              <w:rPr>
                <w:rFonts w:ascii="ITC Avant Garde Std Bk" w:hAnsi="ITC Avant Garde Std Bk"/>
                <w:szCs w:val="23"/>
                <w:lang w:val="es-MX"/>
              </w:rPr>
            </w:pPr>
            <w:r w:rsidRPr="009015DF">
              <w:rPr>
                <w:rFonts w:ascii="ITC Avant Garde Std Bk" w:hAnsi="ITC Avant Garde Std Bk"/>
                <w:szCs w:val="23"/>
                <w:lang w:val="es-MX"/>
              </w:rPr>
              <w:t>a)</w:t>
            </w:r>
            <w:r w:rsidRPr="009015DF">
              <w:rPr>
                <w:rFonts w:ascii="ITC Avant Garde Std Bk" w:hAnsi="ITC Avant Garde Std Bk"/>
                <w:szCs w:val="23"/>
                <w:lang w:val="es-MX"/>
              </w:rPr>
              <w:tab/>
              <w:t>Equipos o dispositivos utilizados en aeronaves o satélites.</w:t>
            </w:r>
          </w:p>
          <w:p w14:paraId="09376E05" w14:textId="5FD79A02" w:rsidR="009015DF" w:rsidRDefault="009015DF" w:rsidP="009015DF">
            <w:pPr>
              <w:pStyle w:val="Texto"/>
              <w:spacing w:line="224" w:lineRule="exact"/>
              <w:ind w:firstLine="0"/>
              <w:rPr>
                <w:rFonts w:ascii="ITC Avant Garde" w:hAnsi="ITC Avant Garde"/>
                <w:b/>
              </w:rPr>
            </w:pPr>
            <w:r w:rsidRPr="009015DF">
              <w:rPr>
                <w:rFonts w:ascii="ITC Avant Garde Std Bk" w:hAnsi="ITC Avant Garde Std Bk"/>
                <w:szCs w:val="23"/>
                <w:lang w:val="es-MX"/>
              </w:rPr>
              <w:t>b)</w:t>
            </w:r>
            <w:r w:rsidRPr="009015DF">
              <w:rPr>
                <w:rFonts w:ascii="ITC Avant Garde Std Bk" w:hAnsi="ITC Avant Garde Std Bk"/>
                <w:szCs w:val="23"/>
                <w:lang w:val="es-MX"/>
              </w:rPr>
              <w:tab/>
              <w:t xml:space="preserve">Sensores de perturbación de campo, los cuales incluyen sistemas de radar vehiculares, excepto que dichos sensores sean empleados para: i) operaciones fijas, incluyendo los sensores de perturbación de campo instalados en equipo fijo, aun cuando el sensor se mueva dentro del equipo; </w:t>
            </w:r>
            <w:proofErr w:type="spellStart"/>
            <w:r w:rsidRPr="009015DF">
              <w:rPr>
                <w:rFonts w:ascii="ITC Avant Garde Std Bk" w:hAnsi="ITC Avant Garde Std Bk"/>
                <w:szCs w:val="23"/>
                <w:lang w:val="es-MX"/>
              </w:rPr>
              <w:t>ii</w:t>
            </w:r>
            <w:proofErr w:type="spellEnd"/>
            <w:r w:rsidRPr="009015DF">
              <w:rPr>
                <w:rFonts w:ascii="ITC Avant Garde Std Bk" w:hAnsi="ITC Avant Garde Std Bk"/>
                <w:szCs w:val="23"/>
                <w:lang w:val="es-MX"/>
              </w:rPr>
              <w:t>) o como dispositivos de corto alcance para detección de movimiento interactivo.</w:t>
            </w:r>
          </w:p>
        </w:tc>
      </w:tr>
    </w:tbl>
    <w:p w14:paraId="69D3E3AB" w14:textId="77777777" w:rsidR="009015DF" w:rsidRPr="009015DF" w:rsidRDefault="009015DF" w:rsidP="009015DF">
      <w:pPr>
        <w:pStyle w:val="Texto"/>
        <w:spacing w:before="120" w:after="120"/>
        <w:ind w:left="1418" w:hanging="567"/>
        <w:rPr>
          <w:rFonts w:ascii="ITC Avant Garde Std Bk" w:hAnsi="ITC Avant Garde Std Bk"/>
          <w:szCs w:val="18"/>
          <w:lang w:val="es-MX" w:eastAsia="es-MX"/>
        </w:rPr>
      </w:pPr>
      <w:r w:rsidRPr="009015DF">
        <w:rPr>
          <w:rFonts w:ascii="ITC Avant Garde Std Bk" w:hAnsi="ITC Avant Garde Std Bk"/>
          <w:b/>
          <w:bCs/>
          <w:szCs w:val="18"/>
          <w:lang w:val="es-MX" w:eastAsia="es-MX"/>
        </w:rPr>
        <w:t xml:space="preserve">2.2.1 bis  </w:t>
      </w:r>
      <w:r w:rsidRPr="009015DF">
        <w:rPr>
          <w:rFonts w:ascii="ITC Avant Garde Std Bk" w:hAnsi="ITC Avant Garde Std Bk"/>
          <w:szCs w:val="18"/>
          <w:lang w:val="es-MX" w:eastAsia="es-MX"/>
        </w:rPr>
        <w:t xml:space="preserve">       Se permite la operación de dispositivos dentro de aeronaves </w:t>
      </w:r>
      <w:proofErr w:type="gramStart"/>
      <w:r w:rsidRPr="009015DF">
        <w:rPr>
          <w:rFonts w:ascii="ITC Avant Garde Std Bk" w:hAnsi="ITC Avant Garde Std Bk"/>
          <w:szCs w:val="18"/>
          <w:lang w:val="es-MX" w:eastAsia="es-MX"/>
        </w:rPr>
        <w:t>grandes(</w:t>
      </w:r>
      <w:proofErr w:type="gramEnd"/>
      <w:r w:rsidRPr="009015DF">
        <w:rPr>
          <w:rFonts w:ascii="ITC Avant Garde Std Bk" w:hAnsi="ITC Avant Garde Std Bk"/>
          <w:szCs w:val="18"/>
          <w:lang w:val="es-MX" w:eastAsia="es-MX"/>
        </w:rPr>
        <w:t>46) bajo las siguientes condiciones:</w:t>
      </w:r>
    </w:p>
    <w:p w14:paraId="00D204E5" w14:textId="77777777" w:rsidR="009015DF" w:rsidRPr="009015DF" w:rsidRDefault="009015DF" w:rsidP="009015DF">
      <w:pPr>
        <w:pStyle w:val="Texto"/>
        <w:spacing w:before="120" w:after="120"/>
        <w:ind w:left="1418" w:hanging="142"/>
        <w:rPr>
          <w:rFonts w:ascii="ITC Avant Garde Std Bk" w:hAnsi="ITC Avant Garde Std Bk"/>
          <w:szCs w:val="18"/>
          <w:lang w:val="es-MX" w:eastAsia="es-MX"/>
        </w:rPr>
      </w:pPr>
      <w:r w:rsidRPr="009015DF">
        <w:rPr>
          <w:rFonts w:ascii="ITC Avant Garde Std Bk" w:hAnsi="ITC Avant Garde Std Bk"/>
          <w:szCs w:val="18"/>
          <w:lang w:val="es-MX" w:eastAsia="es-MX"/>
        </w:rPr>
        <w:t>a)   Cuando la aeronave se encuentre en tierra.</w:t>
      </w:r>
    </w:p>
    <w:p w14:paraId="14127CA4" w14:textId="77777777" w:rsidR="009015DF" w:rsidRPr="009015DF" w:rsidRDefault="009015DF" w:rsidP="009015DF">
      <w:pPr>
        <w:pStyle w:val="Texto"/>
        <w:spacing w:before="120" w:after="120"/>
        <w:ind w:left="1418" w:hanging="142"/>
        <w:rPr>
          <w:rFonts w:ascii="ITC Avant Garde Std Bk" w:hAnsi="ITC Avant Garde Std Bk"/>
          <w:szCs w:val="18"/>
          <w:lang w:val="es-MX" w:eastAsia="es-MX"/>
        </w:rPr>
      </w:pPr>
      <w:r w:rsidRPr="009015DF">
        <w:rPr>
          <w:rFonts w:ascii="ITC Avant Garde Std Bk" w:hAnsi="ITC Avant Garde Std Bk"/>
          <w:szCs w:val="18"/>
          <w:lang w:val="es-MX" w:eastAsia="es-MX"/>
        </w:rPr>
        <w:t>b)   Mientras la aeronave se encuentre en el aire y que no se encuentre en proceso de despegue o aterrizaje, o conforme las disposiciones aeronáuticas aplicables, siempre y cuando sean implementados en redes de comunicación cerradas y exclusivas a bordo de la aeronave, con las siguientes excepciones:</w:t>
      </w:r>
    </w:p>
    <w:p w14:paraId="244462F1" w14:textId="77777777" w:rsidR="009015DF" w:rsidRPr="009015DF" w:rsidRDefault="009015DF" w:rsidP="009015DF">
      <w:pPr>
        <w:pStyle w:val="Texto"/>
        <w:spacing w:before="120" w:after="120"/>
        <w:ind w:left="1418" w:firstLine="142"/>
        <w:rPr>
          <w:rFonts w:ascii="ITC Avant Garde Std Bk" w:hAnsi="ITC Avant Garde Std Bk"/>
          <w:szCs w:val="18"/>
          <w:lang w:val="es-MX" w:eastAsia="es-MX"/>
        </w:rPr>
      </w:pPr>
      <w:r w:rsidRPr="009015DF">
        <w:rPr>
          <w:rFonts w:ascii="ITC Avant Garde Std Bk" w:hAnsi="ITC Avant Garde Std Bk"/>
          <w:szCs w:val="18"/>
          <w:lang w:val="es-MX" w:eastAsia="es-MX"/>
        </w:rPr>
        <w:t xml:space="preserve">i.    Los equipos no deben utilizarse en aplicaciones de sistemas </w:t>
      </w:r>
      <w:proofErr w:type="spellStart"/>
      <w:r w:rsidRPr="009015DF">
        <w:rPr>
          <w:rFonts w:ascii="ITC Avant Garde Std Bk" w:hAnsi="ITC Avant Garde Std Bk"/>
          <w:szCs w:val="18"/>
          <w:lang w:val="es-MX" w:eastAsia="es-MX"/>
        </w:rPr>
        <w:t>aviónicos</w:t>
      </w:r>
      <w:proofErr w:type="spellEnd"/>
      <w:r w:rsidRPr="009015DF">
        <w:rPr>
          <w:rFonts w:ascii="ITC Avant Garde Std Bk" w:hAnsi="ITC Avant Garde Std Bk"/>
          <w:szCs w:val="18"/>
          <w:lang w:val="es-MX" w:eastAsia="es-MX"/>
        </w:rPr>
        <w:t xml:space="preserve"> de comunicaciones inalámbricas internas en las que se monten sensores o cámaras en el exterior de la estructura de la aeronave.</w:t>
      </w:r>
    </w:p>
    <w:p w14:paraId="6E9481D7" w14:textId="77777777" w:rsidR="009015DF" w:rsidRPr="009015DF" w:rsidRDefault="009015DF" w:rsidP="009015DF">
      <w:pPr>
        <w:pStyle w:val="Texto"/>
        <w:spacing w:before="120" w:after="120"/>
        <w:ind w:left="1418" w:firstLine="142"/>
        <w:rPr>
          <w:rFonts w:ascii="ITC Avant Garde Std Bk" w:hAnsi="ITC Avant Garde Std Bk"/>
          <w:szCs w:val="18"/>
          <w:lang w:val="es-MX" w:eastAsia="es-MX"/>
        </w:rPr>
      </w:pPr>
      <w:proofErr w:type="spellStart"/>
      <w:r w:rsidRPr="009015DF">
        <w:rPr>
          <w:rFonts w:ascii="ITC Avant Garde Std Bk" w:hAnsi="ITC Avant Garde Std Bk"/>
          <w:szCs w:val="18"/>
          <w:lang w:val="es-MX" w:eastAsia="es-MX"/>
        </w:rPr>
        <w:t>ii</w:t>
      </w:r>
      <w:proofErr w:type="spellEnd"/>
      <w:r w:rsidRPr="009015DF">
        <w:rPr>
          <w:rFonts w:ascii="ITC Avant Garde Std Bk" w:hAnsi="ITC Avant Garde Std Bk"/>
          <w:szCs w:val="18"/>
          <w:lang w:val="es-MX" w:eastAsia="es-MX"/>
        </w:rPr>
        <w:t xml:space="preserve">.    Los equipos no deben utilizarse en aeronaves que no tienen o tienen poca atenuación de señales de radio frecuencia, debido a la estructura (cuerpo o </w:t>
      </w:r>
      <w:r w:rsidRPr="009015DF">
        <w:rPr>
          <w:rFonts w:ascii="ITC Avant Garde Std Bk" w:hAnsi="ITC Avant Garde Std Bk"/>
          <w:szCs w:val="18"/>
          <w:lang w:val="es-MX" w:eastAsia="es-MX"/>
        </w:rPr>
        <w:lastRenderedPageBreak/>
        <w:t xml:space="preserve">fuselaje) de la aeronave, excepto cuando se instalen en aeronaves no tripuladas y cumplan con lo establecido en el numeral 2.1.5 </w:t>
      </w:r>
      <w:proofErr w:type="spellStart"/>
      <w:r w:rsidRPr="009015DF">
        <w:rPr>
          <w:rFonts w:ascii="ITC Avant Garde Std Bk" w:hAnsi="ITC Avant Garde Std Bk"/>
          <w:szCs w:val="18"/>
          <w:lang w:val="es-MX" w:eastAsia="es-MX"/>
        </w:rPr>
        <w:t>quater</w:t>
      </w:r>
      <w:proofErr w:type="spellEnd"/>
      <w:r w:rsidRPr="009015DF">
        <w:rPr>
          <w:rFonts w:ascii="ITC Avant Garde Std Bk" w:hAnsi="ITC Avant Garde Std Bk"/>
          <w:szCs w:val="18"/>
          <w:lang w:val="es-MX" w:eastAsia="es-MX"/>
        </w:rPr>
        <w:t>.</w:t>
      </w:r>
    </w:p>
    <w:p w14:paraId="37CB527C" w14:textId="524605D6" w:rsidR="009015DF" w:rsidRDefault="009015DF" w:rsidP="009015DF">
      <w:pPr>
        <w:pStyle w:val="Texto"/>
        <w:spacing w:before="120" w:after="120" w:line="240" w:lineRule="auto"/>
        <w:ind w:left="1418" w:firstLine="142"/>
        <w:rPr>
          <w:rFonts w:ascii="ITC Avant Garde Std Bk" w:hAnsi="ITC Avant Garde Std Bk"/>
          <w:szCs w:val="18"/>
          <w:lang w:val="es-MX" w:eastAsia="es-MX"/>
        </w:rPr>
      </w:pPr>
      <w:proofErr w:type="spellStart"/>
      <w:r w:rsidRPr="009015DF">
        <w:rPr>
          <w:rFonts w:ascii="ITC Avant Garde Std Bk" w:hAnsi="ITC Avant Garde Std Bk"/>
          <w:szCs w:val="18"/>
          <w:lang w:val="es-MX" w:eastAsia="es-MX"/>
        </w:rPr>
        <w:t>iii</w:t>
      </w:r>
      <w:proofErr w:type="spellEnd"/>
      <w:r w:rsidRPr="009015DF">
        <w:rPr>
          <w:rFonts w:ascii="ITC Avant Garde Std Bk" w:hAnsi="ITC Avant Garde Std Bk"/>
          <w:szCs w:val="18"/>
          <w:lang w:val="es-MX" w:eastAsia="es-MX"/>
        </w:rPr>
        <w:t>.   Los sensores de perturbación de campo solo pueden operar en la banda de frecuencias 59.3-64 GHz mientras se encuentren instalados en equipos electrónicos portátiles y personales de los pasajeros (por ejemplo, teléfonos inteligentes, tabletas, relojes inteligentes, computadoras portátiles, entre otros), siempre y cuando cumplan con lo señalado en el inciso i. de esta sección y los requerimientos relevantes establecidos en los numerales 2.1.4 al 2.1.6.</w:t>
      </w:r>
    </w:p>
    <w:p w14:paraId="3142B699" w14:textId="77777777" w:rsidR="009015DF" w:rsidRDefault="009015DF" w:rsidP="009015DF">
      <w:pPr>
        <w:pStyle w:val="Texto"/>
        <w:spacing w:before="120" w:after="120" w:line="240" w:lineRule="auto"/>
        <w:ind w:left="1080" w:firstLine="0"/>
        <w:jc w:val="right"/>
        <w:rPr>
          <w:rFonts w:ascii="ITC Avant Garde Std Bk" w:hAnsi="ITC Avant Garde Std Bk"/>
          <w:szCs w:val="18"/>
          <w:lang w:eastAsia="es-MX"/>
        </w:rPr>
      </w:pPr>
      <w:hyperlink r:id="rId35" w:anchor="gsc.tab=0" w:history="1">
        <w:r w:rsidRPr="000B782D">
          <w:rPr>
            <w:rStyle w:val="Hipervnculo"/>
            <w:rFonts w:ascii="ITC Avant Garde Std Bk" w:hAnsi="ITC Avant Garde Std Bk"/>
            <w:szCs w:val="18"/>
            <w:lang w:eastAsia="es-MX"/>
          </w:rPr>
          <w:t>Adición publicada en el DOF el 10/09/2024</w:t>
        </w:r>
      </w:hyperlink>
    </w:p>
    <w:p w14:paraId="57530857" w14:textId="77777777" w:rsidR="009015DF" w:rsidRDefault="00A96541" w:rsidP="009015DF">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2.2.2</w:t>
      </w:r>
      <w:r w:rsidRPr="00E443DD">
        <w:rPr>
          <w:rFonts w:ascii="ITC Avant Garde Std Bk" w:hAnsi="ITC Avant Garde Std Bk"/>
          <w:b/>
          <w:szCs w:val="18"/>
          <w:lang w:val="es-MX" w:eastAsia="es-MX"/>
        </w:rPr>
        <w:tab/>
      </w:r>
      <w:r w:rsidR="009015DF" w:rsidRPr="009015DF">
        <w:rPr>
          <w:rFonts w:ascii="ITC Avant Garde Std Bk" w:hAnsi="ITC Avant Garde Std Bk"/>
          <w:szCs w:val="18"/>
          <w:lang w:eastAsia="es-MX"/>
        </w:rPr>
        <w:t>Fuera de la banda de frecuencias 57-64 GHz, la densidad espectral de potencia de cualquier emisión proveniente de sistemas, dispositivos, equipos o estaciones que operen en la banda de frecuencias 57-64 GHz, deberá consistir únicamente de emisiones no esenciales."</w:t>
      </w:r>
    </w:p>
    <w:p w14:paraId="77800B40" w14:textId="42B93C81" w:rsidR="009015DF" w:rsidRDefault="009015DF" w:rsidP="009015DF">
      <w:pPr>
        <w:pStyle w:val="Texto"/>
        <w:spacing w:before="120" w:after="120" w:line="240" w:lineRule="auto"/>
        <w:ind w:left="1350" w:hanging="630"/>
        <w:jc w:val="right"/>
        <w:rPr>
          <w:rFonts w:ascii="ITC Avant Garde Std Bk" w:hAnsi="ITC Avant Garde Std Bk"/>
          <w:szCs w:val="18"/>
          <w:lang w:eastAsia="es-MX"/>
        </w:rPr>
      </w:pPr>
      <w:hyperlink r:id="rId36" w:anchor="gsc.tab=0" w:history="1">
        <w:r>
          <w:rPr>
            <w:rStyle w:val="Hipervnculo"/>
            <w:rFonts w:ascii="ITC Avant Garde Std Bk" w:hAnsi="ITC Avant Garde Std Bk"/>
            <w:szCs w:val="18"/>
            <w:lang w:eastAsia="es-MX"/>
          </w:rPr>
          <w:t>Modificación</w:t>
        </w:r>
        <w:r w:rsidRPr="000B782D">
          <w:rPr>
            <w:rStyle w:val="Hipervnculo"/>
            <w:rFonts w:ascii="ITC Avant Garde Std Bk" w:hAnsi="ITC Avant Garde Std Bk"/>
            <w:szCs w:val="18"/>
            <w:lang w:eastAsia="es-MX"/>
          </w:rPr>
          <w:t xml:space="preserve"> publicada en el DOF el 10/09/2024</w:t>
        </w:r>
      </w:hyperlink>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9015DF" w14:paraId="6C0FB27D" w14:textId="77777777" w:rsidTr="00770143">
        <w:tc>
          <w:tcPr>
            <w:tcW w:w="8364" w:type="dxa"/>
            <w:tcBorders>
              <w:top w:val="single" w:sz="4" w:space="0" w:color="auto"/>
              <w:left w:val="single" w:sz="4" w:space="0" w:color="auto"/>
              <w:bottom w:val="single" w:sz="4" w:space="0" w:color="auto"/>
              <w:right w:val="single" w:sz="4" w:space="0" w:color="auto"/>
            </w:tcBorders>
            <w:shd w:val="clear" w:color="auto" w:fill="E2EFD9"/>
            <w:hideMark/>
          </w:tcPr>
          <w:p w14:paraId="063C8D8A" w14:textId="77777777" w:rsidR="009015DF" w:rsidRDefault="009015DF" w:rsidP="00770143">
            <w:pPr>
              <w:pStyle w:val="Texto"/>
              <w:spacing w:line="224" w:lineRule="exact"/>
              <w:ind w:firstLine="0"/>
              <w:rPr>
                <w:rFonts w:ascii="ITC Avant Garde" w:hAnsi="ITC Avant Garde"/>
                <w:b/>
              </w:rPr>
            </w:pPr>
            <w:r>
              <w:rPr>
                <w:rFonts w:ascii="ITC Avant Garde" w:hAnsi="ITC Avant Garde"/>
                <w:b/>
              </w:rPr>
              <w:t>T</w:t>
            </w:r>
            <w:r>
              <w:rPr>
                <w:b/>
              </w:rPr>
              <w:t>exto</w:t>
            </w:r>
            <w:r>
              <w:rPr>
                <w:rFonts w:ascii="ITC Avant Garde" w:hAnsi="ITC Avant Garde"/>
                <w:b/>
              </w:rPr>
              <w:t xml:space="preserve"> original</w:t>
            </w:r>
          </w:p>
          <w:p w14:paraId="340983BD" w14:textId="19BBB936" w:rsidR="009015DF" w:rsidRDefault="009015DF" w:rsidP="00770143">
            <w:pPr>
              <w:pStyle w:val="Texto"/>
              <w:spacing w:line="224" w:lineRule="exact"/>
              <w:ind w:firstLine="0"/>
              <w:rPr>
                <w:rFonts w:ascii="ITC Avant Garde" w:hAnsi="ITC Avant Garde"/>
                <w:b/>
              </w:rPr>
            </w:pPr>
            <w:r w:rsidRPr="009015DF">
              <w:rPr>
                <w:rFonts w:ascii="ITC Avant Garde Std Bk" w:hAnsi="ITC Avant Garde Std Bk"/>
                <w:b/>
                <w:bCs/>
                <w:szCs w:val="23"/>
                <w:lang w:val="es-MX"/>
              </w:rPr>
              <w:t>2.2.2</w:t>
            </w:r>
            <w:r w:rsidRPr="009015DF">
              <w:rPr>
                <w:rFonts w:ascii="ITC Avant Garde Std Bk" w:hAnsi="ITC Avant Garde Std Bk"/>
                <w:b/>
                <w:bCs/>
                <w:szCs w:val="23"/>
                <w:lang w:val="es-MX"/>
              </w:rPr>
              <w:tab/>
            </w:r>
            <w:r w:rsidRPr="009015DF">
              <w:rPr>
                <w:rFonts w:ascii="ITC Avant Garde Std Bk" w:hAnsi="ITC Avant Garde Std Bk"/>
                <w:szCs w:val="23"/>
                <w:lang w:val="es-MX"/>
              </w:rPr>
              <w:t>Fuera de la banda de frecuencias 57-64 GHz, la densidad de potencia de cualquier emisión deberá consistir únicamente de emisiones no esenciales.</w:t>
            </w:r>
          </w:p>
        </w:tc>
      </w:tr>
    </w:tbl>
    <w:p w14:paraId="586D631C" w14:textId="77777777" w:rsidR="009015DF" w:rsidRPr="009015DF" w:rsidRDefault="009015DF" w:rsidP="00A96541">
      <w:pPr>
        <w:pStyle w:val="Texto"/>
        <w:spacing w:before="120" w:after="120" w:line="240" w:lineRule="auto"/>
        <w:ind w:left="1350" w:hanging="630"/>
        <w:rPr>
          <w:rFonts w:ascii="ITC Avant Garde Std Bk" w:hAnsi="ITC Avant Garde Std Bk"/>
          <w:szCs w:val="18"/>
          <w:lang w:val="es-MX" w:eastAsia="es-MX"/>
        </w:rPr>
      </w:pPr>
    </w:p>
    <w:p w14:paraId="4E2C6D35"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2.2.3</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 xml:space="preserve">El nivel de emisiones no esenciales, entre 40 GHz y 200 GHz, no deberá exceder 90 </w:t>
      </w:r>
      <w:proofErr w:type="spellStart"/>
      <w:r w:rsidRPr="00E443DD">
        <w:rPr>
          <w:rFonts w:ascii="ITC Avant Garde Std Bk" w:hAnsi="ITC Avant Garde Std Bk"/>
          <w:szCs w:val="18"/>
          <w:lang w:eastAsia="es-MX"/>
        </w:rPr>
        <w:t>pW</w:t>
      </w:r>
      <w:proofErr w:type="spellEnd"/>
      <w:r w:rsidRPr="00E443DD">
        <w:rPr>
          <w:rFonts w:ascii="ITC Avant Garde Std Bk" w:hAnsi="ITC Avant Garde Std Bk"/>
          <w:szCs w:val="18"/>
          <w:lang w:eastAsia="es-MX"/>
        </w:rPr>
        <w:t>/cm</w:t>
      </w:r>
      <w:r w:rsidRPr="00E443DD">
        <w:rPr>
          <w:rFonts w:ascii="ITC Avant Garde Std Bk" w:hAnsi="ITC Avant Garde Std Bk"/>
          <w:position w:val="4"/>
          <w:szCs w:val="18"/>
          <w:lang w:eastAsia="es-MX"/>
        </w:rPr>
        <w:t>2</w:t>
      </w:r>
      <w:r w:rsidRPr="00E443DD">
        <w:rPr>
          <w:rFonts w:ascii="ITC Avant Garde Std Bk" w:hAnsi="ITC Avant Garde Std Bk"/>
          <w:szCs w:val="18"/>
          <w:lang w:eastAsia="es-MX"/>
        </w:rPr>
        <w:t>, medido a una distancia de 3 metros del punto de radiación.</w:t>
      </w:r>
    </w:p>
    <w:p w14:paraId="19665662"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2.2.4</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niveles de las emisiones no esenciales no deberán exceder el nivel de la emisión fundamental.</w:t>
      </w:r>
    </w:p>
    <w:p w14:paraId="060CB610"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2.2.5</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Esta banda de frecuencias no podrá ser utilizada para la operación de radioenlaces que crucen las fronteras del país.</w:t>
      </w:r>
    </w:p>
    <w:p w14:paraId="30B129BA" w14:textId="77777777" w:rsidR="00A96541" w:rsidRPr="00E443DD" w:rsidRDefault="00A96541" w:rsidP="00A96541">
      <w:pPr>
        <w:pStyle w:val="Texto"/>
        <w:spacing w:before="120" w:after="120" w:line="240" w:lineRule="auto"/>
        <w:rPr>
          <w:rFonts w:ascii="ITC Avant Garde Std Bk" w:hAnsi="ITC Avant Garde Std Bk"/>
          <w:b/>
          <w:szCs w:val="18"/>
          <w:lang w:eastAsia="es-MX"/>
        </w:rPr>
      </w:pPr>
      <w:r w:rsidRPr="00E443DD">
        <w:rPr>
          <w:rFonts w:ascii="ITC Avant Garde Std Bk" w:hAnsi="ITC Avant Garde Std Bk"/>
          <w:b/>
          <w:szCs w:val="18"/>
          <w:lang w:val="es-MX" w:eastAsia="es-MX"/>
        </w:rPr>
        <w:t>2.3</w:t>
      </w:r>
      <w:r w:rsidRPr="00E443DD">
        <w:rPr>
          <w:rFonts w:ascii="ITC Avant Garde Std Bk" w:hAnsi="ITC Avant Garde Std Bk"/>
          <w:b/>
          <w:szCs w:val="18"/>
          <w:lang w:val="es-MX" w:eastAsia="es-MX"/>
        </w:rPr>
        <w:tab/>
      </w:r>
      <w:r w:rsidRPr="00E443DD">
        <w:rPr>
          <w:rFonts w:ascii="ITC Avant Garde Std Bk" w:hAnsi="ITC Avant Garde Std Bk"/>
          <w:b/>
          <w:szCs w:val="18"/>
          <w:lang w:eastAsia="es-MX"/>
        </w:rPr>
        <w:t>Condiciones de Coexistencia.</w:t>
      </w:r>
    </w:p>
    <w:p w14:paraId="179A9AF7"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2.3.1</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sistemas, dispositivos, equipos o estaciones que operen en esta banda de frecuencias no provocarán interferencia perjudicial a sistemas, dispositivos, equipos o estaciones de usuarios que cuenten con un título habilitante para hacer uso del espectro radioeléctrico.</w:t>
      </w:r>
    </w:p>
    <w:p w14:paraId="2137B9C4"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2.3.2</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w:t>
      </w:r>
    </w:p>
    <w:p w14:paraId="71DE6B58"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2.3.3</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Los sistemas, dispositivos, equipos o estaciones operando en esta banda de frecuencias que causen interferencias perjudiciales a usuarios que cuenten con un título habilitante para hacer uso del espectro radioeléctrico, deberán cesar operaciones hasta que se elimine la interferencia perjudicial, aun cuando el dispositivo, equipo o producto se encuentre debidamente homologado.</w:t>
      </w:r>
    </w:p>
    <w:p w14:paraId="7CC8F252" w14:textId="77777777" w:rsidR="00A96541" w:rsidRPr="00E443DD" w:rsidRDefault="00A96541" w:rsidP="00A96541">
      <w:pPr>
        <w:pStyle w:val="Texto"/>
        <w:spacing w:before="120" w:after="120" w:line="240" w:lineRule="auto"/>
        <w:ind w:left="1350" w:hanging="630"/>
        <w:rPr>
          <w:rFonts w:ascii="ITC Avant Garde Std Bk" w:hAnsi="ITC Avant Garde Std Bk"/>
          <w:szCs w:val="18"/>
          <w:lang w:eastAsia="es-MX"/>
        </w:rPr>
      </w:pPr>
      <w:r w:rsidRPr="00E443DD">
        <w:rPr>
          <w:rFonts w:ascii="ITC Avant Garde Std Bk" w:hAnsi="ITC Avant Garde Std Bk"/>
          <w:b/>
          <w:szCs w:val="18"/>
          <w:lang w:val="es-MX" w:eastAsia="es-MX"/>
        </w:rPr>
        <w:t>2.3.4</w:t>
      </w:r>
      <w:r w:rsidRPr="00E443DD">
        <w:rPr>
          <w:rFonts w:ascii="ITC Avant Garde Std Bk" w:hAnsi="ITC Avant Garde Std Bk"/>
          <w:b/>
          <w:szCs w:val="18"/>
          <w:lang w:val="es-MX" w:eastAsia="es-MX"/>
        </w:rPr>
        <w:tab/>
      </w:r>
      <w:r w:rsidRPr="00E443DD">
        <w:rPr>
          <w:rFonts w:ascii="ITC Avant Garde Std Bk" w:hAnsi="ITC Avant Garde Std Bk"/>
          <w:szCs w:val="18"/>
          <w:lang w:eastAsia="es-MX"/>
        </w:rPr>
        <w:t xml:space="preserve">Los sistemas, dispositivos, equipos o estaciones que operen en esta banda de frecuencias no podrán reclamar protección contra interferencias perjudiciales </w:t>
      </w:r>
      <w:r w:rsidRPr="00E443DD">
        <w:rPr>
          <w:rFonts w:ascii="ITC Avant Garde Std Bk" w:hAnsi="ITC Avant Garde Std Bk"/>
          <w:szCs w:val="18"/>
          <w:lang w:eastAsia="es-MX"/>
        </w:rPr>
        <w:lastRenderedPageBreak/>
        <w:t>provenientes de otros sistemas, dispositivos, equipos o estaciones que operen bajo lo establecido en el presente documento.</w:t>
      </w:r>
    </w:p>
    <w:p w14:paraId="44052E99" w14:textId="77777777" w:rsidR="00A96541" w:rsidRPr="00E443DD" w:rsidRDefault="00A96541" w:rsidP="00A96541">
      <w:pPr>
        <w:pStyle w:val="Texto"/>
        <w:spacing w:before="120" w:after="120" w:line="240" w:lineRule="auto"/>
        <w:ind w:firstLine="0"/>
        <w:jc w:val="center"/>
        <w:rPr>
          <w:szCs w:val="18"/>
        </w:rPr>
      </w:pPr>
      <w:r w:rsidRPr="00E443DD">
        <w:rPr>
          <w:rFonts w:ascii="ITC Avant Garde Std Bk" w:hAnsi="ITC Avant Garde Std Bk"/>
          <w:szCs w:val="18"/>
        </w:rPr>
        <w:t>_____________________</w:t>
      </w:r>
    </w:p>
    <w:p w14:paraId="15D97256" w14:textId="248C18CA" w:rsidR="009015DF" w:rsidRDefault="009015DF">
      <w:pPr>
        <w:spacing w:after="160" w:line="259" w:lineRule="auto"/>
        <w:jc w:val="left"/>
      </w:pPr>
      <w:r>
        <w:br w:type="page"/>
      </w:r>
    </w:p>
    <w:p w14:paraId="65FF8F2C" w14:textId="77777777" w:rsidR="009015DF" w:rsidRDefault="009015DF" w:rsidP="009015DF">
      <w:pPr>
        <w:spacing w:before="120" w:after="120"/>
        <w:ind w:firstLine="288"/>
        <w:jc w:val="center"/>
        <w:rPr>
          <w:rFonts w:ascii="ITC Avant Garde Std Bk" w:hAnsi="ITC Avant Garde Std Bk" w:cs="Arial"/>
          <w:b/>
          <w:bCs/>
          <w:color w:val="000000"/>
          <w:sz w:val="21"/>
          <w:szCs w:val="21"/>
          <w:lang w:val="es-MX" w:eastAsia="es-MX"/>
        </w:rPr>
      </w:pPr>
    </w:p>
    <w:p w14:paraId="182481C0" w14:textId="77777777" w:rsidR="009015DF" w:rsidRPr="00C21D39" w:rsidRDefault="009015DF" w:rsidP="009015DF">
      <w:pPr>
        <w:spacing w:before="120" w:after="120"/>
        <w:ind w:firstLine="288"/>
        <w:jc w:val="center"/>
        <w:rPr>
          <w:rFonts w:ascii="ITC Avant Garde Std Bk" w:hAnsi="ITC Avant Garde Std Bk" w:cs="Arial"/>
          <w:b/>
          <w:bCs/>
          <w:color w:val="000000"/>
          <w:sz w:val="21"/>
          <w:szCs w:val="21"/>
          <w:lang w:val="es-MX" w:eastAsia="es-MX"/>
        </w:rPr>
      </w:pPr>
      <w:r w:rsidRPr="00C21D39">
        <w:rPr>
          <w:rFonts w:ascii="ITC Avant Garde Std Bk" w:hAnsi="ITC Avant Garde Std Bk" w:cs="Arial"/>
          <w:b/>
          <w:bCs/>
          <w:color w:val="000000"/>
          <w:sz w:val="21"/>
          <w:szCs w:val="21"/>
          <w:lang w:val="es-MX" w:eastAsia="es-MX"/>
        </w:rPr>
        <w:t>ARTÍCULOS TRANSITORIOS DE LAS MODIFICACIONES PUBLICADAS</w:t>
      </w:r>
    </w:p>
    <w:p w14:paraId="2A2BD915" w14:textId="449509C0" w:rsidR="009015DF" w:rsidRPr="009015DF" w:rsidRDefault="009015DF" w:rsidP="009015DF">
      <w:pPr>
        <w:spacing w:before="120" w:after="120"/>
        <w:ind w:firstLine="288"/>
        <w:jc w:val="center"/>
        <w:rPr>
          <w:rFonts w:ascii="ITC Avant Garde Std Bk" w:hAnsi="ITC Avant Garde Std Bk" w:cs="Arial"/>
          <w:b/>
          <w:bCs/>
          <w:color w:val="000000"/>
          <w:sz w:val="21"/>
          <w:szCs w:val="21"/>
          <w:lang w:val="es-MX" w:eastAsia="es-MX"/>
        </w:rPr>
      </w:pPr>
      <w:r w:rsidRPr="009015DF">
        <w:rPr>
          <w:rFonts w:ascii="ITC Avant Garde Std Bk" w:hAnsi="ITC Avant Garde Std Bk" w:cs="Arial"/>
          <w:b/>
          <w:bCs/>
          <w:color w:val="000000"/>
          <w:sz w:val="21"/>
          <w:szCs w:val="21"/>
          <w:lang w:val="es-MX" w:eastAsia="es-MX"/>
        </w:rPr>
        <w:t>A</w:t>
      </w:r>
      <w:r>
        <w:rPr>
          <w:rFonts w:ascii="ITC Avant Garde Std Bk" w:hAnsi="ITC Avant Garde Std Bk" w:cs="Arial"/>
          <w:b/>
          <w:bCs/>
          <w:color w:val="000000"/>
          <w:sz w:val="21"/>
          <w:szCs w:val="21"/>
          <w:lang w:val="es-MX" w:eastAsia="es-MX"/>
        </w:rPr>
        <w:t>cuerdo</w:t>
      </w:r>
      <w:r w:rsidRPr="009015DF">
        <w:rPr>
          <w:rFonts w:ascii="ITC Avant Garde Std Bk" w:hAnsi="ITC Avant Garde Std Bk" w:cs="Arial"/>
          <w:b/>
          <w:bCs/>
          <w:color w:val="000000"/>
          <w:sz w:val="21"/>
          <w:szCs w:val="21"/>
          <w:lang w:val="es-MX" w:eastAsia="es-MX"/>
        </w:rPr>
        <w:t> mediante el cual el Pleno del Instituto Federal de Telecomunicaciones modifica las condiciones técnicas de operación para el uso de la banda de frecuencias 57 - 64 GHz, clasificada como espectro libre.</w:t>
      </w:r>
    </w:p>
    <w:p w14:paraId="47702756" w14:textId="77777777" w:rsidR="009015DF" w:rsidRDefault="009015DF" w:rsidP="009015DF">
      <w:pPr>
        <w:spacing w:before="120" w:after="120"/>
        <w:ind w:firstLine="288"/>
        <w:jc w:val="center"/>
        <w:rPr>
          <w:rFonts w:ascii="ITC Avant Garde Std Bk" w:hAnsi="ITC Avant Garde Std Bk" w:cs="Arial"/>
          <w:b/>
          <w:bCs/>
          <w:color w:val="000000"/>
          <w:sz w:val="21"/>
          <w:szCs w:val="21"/>
          <w:lang w:val="es-MX" w:eastAsia="es-MX"/>
        </w:rPr>
      </w:pPr>
    </w:p>
    <w:p w14:paraId="34A1F9FD" w14:textId="6A0DE7E4" w:rsidR="009015DF" w:rsidRPr="009015DF" w:rsidRDefault="009015DF" w:rsidP="009015DF">
      <w:pPr>
        <w:spacing w:before="120" w:after="120"/>
        <w:ind w:firstLine="288"/>
        <w:jc w:val="center"/>
        <w:rPr>
          <w:rStyle w:val="Hipervnculo"/>
          <w:rFonts w:ascii="ITC Avant Garde Std Bk" w:hAnsi="ITC Avant Garde Std Bk"/>
          <w:b/>
          <w:bCs/>
          <w:sz w:val="16"/>
          <w:szCs w:val="16"/>
          <w:lang w:val="es-MX" w:eastAsia="es-MX"/>
        </w:rPr>
      </w:pPr>
      <w:r>
        <w:rPr>
          <w:rFonts w:ascii="ITC Avant Garde Std Bk" w:hAnsi="ITC Avant Garde Std Bk"/>
          <w:b/>
          <w:bCs/>
          <w:color w:val="0070C0"/>
          <w:sz w:val="16"/>
          <w:szCs w:val="16"/>
          <w:lang w:val="es-MX" w:eastAsia="es-MX"/>
        </w:rPr>
        <w:fldChar w:fldCharType="begin"/>
      </w:r>
      <w:r>
        <w:rPr>
          <w:rFonts w:ascii="ITC Avant Garde Std Bk" w:hAnsi="ITC Avant Garde Std Bk"/>
          <w:b/>
          <w:bCs/>
          <w:color w:val="0070C0"/>
          <w:sz w:val="16"/>
          <w:szCs w:val="16"/>
          <w:lang w:val="es-MX" w:eastAsia="es-MX"/>
        </w:rPr>
        <w:instrText>HYPERLINK "https://www.dof.gob.mx/nota_detalle.php?codigo=5738654&amp;fecha=10/09/2024" \l "gsc.tab=0"</w:instrText>
      </w:r>
      <w:r>
        <w:rPr>
          <w:rFonts w:ascii="ITC Avant Garde Std Bk" w:hAnsi="ITC Avant Garde Std Bk"/>
          <w:b/>
          <w:bCs/>
          <w:color w:val="0070C0"/>
          <w:sz w:val="16"/>
          <w:szCs w:val="16"/>
          <w:lang w:val="es-MX" w:eastAsia="es-MX"/>
        </w:rPr>
      </w:r>
      <w:r>
        <w:rPr>
          <w:rFonts w:ascii="ITC Avant Garde Std Bk" w:hAnsi="ITC Avant Garde Std Bk"/>
          <w:b/>
          <w:bCs/>
          <w:color w:val="0070C0"/>
          <w:sz w:val="16"/>
          <w:szCs w:val="16"/>
          <w:lang w:val="es-MX" w:eastAsia="es-MX"/>
        </w:rPr>
        <w:fldChar w:fldCharType="separate"/>
      </w:r>
      <w:r w:rsidRPr="009015DF">
        <w:rPr>
          <w:rStyle w:val="Hipervnculo"/>
          <w:rFonts w:ascii="ITC Avant Garde Std Bk" w:hAnsi="ITC Avant Garde Std Bk"/>
          <w:b/>
          <w:bCs/>
          <w:sz w:val="16"/>
          <w:szCs w:val="16"/>
          <w:lang w:val="es-MX" w:eastAsia="es-MX"/>
        </w:rPr>
        <w:t>Publicación en el Diario Oficial de la Federación el 1</w:t>
      </w:r>
      <w:r w:rsidRPr="009015DF">
        <w:rPr>
          <w:rStyle w:val="Hipervnculo"/>
          <w:rFonts w:ascii="ITC Avant Garde Std Bk" w:hAnsi="ITC Avant Garde Std Bk"/>
          <w:b/>
          <w:bCs/>
          <w:sz w:val="16"/>
          <w:szCs w:val="16"/>
          <w:lang w:val="es-MX" w:eastAsia="es-MX"/>
        </w:rPr>
        <w:t>0</w:t>
      </w:r>
      <w:r w:rsidRPr="009015DF">
        <w:rPr>
          <w:rStyle w:val="Hipervnculo"/>
          <w:rFonts w:ascii="ITC Avant Garde Std Bk" w:hAnsi="ITC Avant Garde Std Bk"/>
          <w:b/>
          <w:bCs/>
          <w:sz w:val="16"/>
          <w:szCs w:val="16"/>
          <w:lang w:val="es-MX" w:eastAsia="es-MX"/>
        </w:rPr>
        <w:t xml:space="preserve"> de </w:t>
      </w:r>
      <w:r w:rsidRPr="009015DF">
        <w:rPr>
          <w:rStyle w:val="Hipervnculo"/>
          <w:rFonts w:ascii="ITC Avant Garde Std Bk" w:hAnsi="ITC Avant Garde Std Bk"/>
          <w:b/>
          <w:bCs/>
          <w:sz w:val="16"/>
          <w:szCs w:val="16"/>
          <w:lang w:val="es-MX" w:eastAsia="es-MX"/>
        </w:rPr>
        <w:t>septiembre</w:t>
      </w:r>
      <w:r w:rsidRPr="009015DF">
        <w:rPr>
          <w:rStyle w:val="Hipervnculo"/>
          <w:rFonts w:ascii="ITC Avant Garde Std Bk" w:hAnsi="ITC Avant Garde Std Bk"/>
          <w:b/>
          <w:bCs/>
          <w:sz w:val="16"/>
          <w:szCs w:val="16"/>
          <w:lang w:val="es-MX" w:eastAsia="es-MX"/>
        </w:rPr>
        <w:t xml:space="preserve"> de 20</w:t>
      </w:r>
      <w:r w:rsidRPr="009015DF">
        <w:rPr>
          <w:rStyle w:val="Hipervnculo"/>
          <w:rFonts w:ascii="ITC Avant Garde Std Bk" w:hAnsi="ITC Avant Garde Std Bk"/>
          <w:b/>
          <w:bCs/>
          <w:sz w:val="16"/>
          <w:szCs w:val="16"/>
          <w:lang w:val="es-MX" w:eastAsia="es-MX"/>
        </w:rPr>
        <w:t>24</w:t>
      </w:r>
    </w:p>
    <w:p w14:paraId="45004064" w14:textId="4D208713" w:rsidR="009015DF" w:rsidRDefault="009015DF" w:rsidP="009015DF">
      <w:pPr>
        <w:spacing w:before="120" w:after="120"/>
        <w:ind w:firstLine="288"/>
        <w:jc w:val="center"/>
        <w:rPr>
          <w:rFonts w:ascii="ITC Avant Garde Std Bk" w:hAnsi="ITC Avant Garde Std Bk"/>
          <w:b/>
          <w:bCs/>
          <w:color w:val="0070C0"/>
          <w:sz w:val="16"/>
          <w:szCs w:val="16"/>
          <w:lang w:val="es-MX" w:eastAsia="es-MX"/>
        </w:rPr>
      </w:pPr>
      <w:r>
        <w:rPr>
          <w:rFonts w:ascii="ITC Avant Garde Std Bk" w:hAnsi="ITC Avant Garde Std Bk"/>
          <w:b/>
          <w:bCs/>
          <w:color w:val="0070C0"/>
          <w:sz w:val="16"/>
          <w:szCs w:val="16"/>
          <w:lang w:val="es-MX" w:eastAsia="es-MX"/>
        </w:rPr>
        <w:fldChar w:fldCharType="end"/>
      </w:r>
    </w:p>
    <w:p w14:paraId="35B3223B" w14:textId="77777777" w:rsidR="009015DF" w:rsidRDefault="009015DF" w:rsidP="009015DF">
      <w:pPr>
        <w:spacing w:before="120" w:after="120"/>
        <w:ind w:firstLine="288"/>
        <w:rPr>
          <w:rFonts w:ascii="ITC Avant Garde Std Bk" w:hAnsi="ITC Avant Garde Std Bk" w:cs="Arial"/>
          <w:b/>
          <w:bCs/>
          <w:color w:val="000000"/>
          <w:szCs w:val="18"/>
          <w:lang w:val="es-MX" w:eastAsia="es-MX"/>
        </w:rPr>
      </w:pPr>
      <w:r w:rsidRPr="00C21D39">
        <w:rPr>
          <w:rFonts w:ascii="ITC Avant Garde Std Bk" w:hAnsi="ITC Avant Garde Std Bk" w:cs="Arial"/>
          <w:b/>
          <w:bCs/>
          <w:color w:val="000000"/>
          <w:szCs w:val="18"/>
          <w:lang w:val="es-MX" w:eastAsia="es-MX"/>
        </w:rPr>
        <w:t>……….</w:t>
      </w:r>
    </w:p>
    <w:p w14:paraId="34350C79" w14:textId="77777777" w:rsidR="009015DF" w:rsidRPr="002664C3" w:rsidRDefault="009015DF" w:rsidP="009015DF">
      <w:pPr>
        <w:spacing w:before="120" w:after="120"/>
        <w:ind w:firstLine="288"/>
        <w:jc w:val="center"/>
        <w:rPr>
          <w:rFonts w:ascii="ITC Avant Garde Std Bk" w:hAnsi="ITC Avant Garde Std Bk"/>
          <w:b/>
          <w:bCs/>
          <w:color w:val="0070C0"/>
          <w:sz w:val="16"/>
          <w:szCs w:val="16"/>
          <w:lang w:val="es-MX" w:eastAsia="es-MX"/>
        </w:rPr>
      </w:pPr>
    </w:p>
    <w:p w14:paraId="47E78719" w14:textId="77777777" w:rsidR="00D16765" w:rsidRPr="00D16765" w:rsidRDefault="00D16765" w:rsidP="00D16765">
      <w:pPr>
        <w:spacing w:before="120" w:after="120"/>
        <w:ind w:firstLine="288"/>
        <w:jc w:val="center"/>
        <w:rPr>
          <w:rFonts w:ascii="ITC Avant Garde Std Bk" w:hAnsi="ITC Avant Garde Std Bk"/>
          <w:b/>
          <w:bCs/>
          <w:color w:val="000000"/>
          <w:szCs w:val="18"/>
          <w:lang w:val="es-MX" w:eastAsia="es-MX"/>
        </w:rPr>
      </w:pPr>
      <w:r w:rsidRPr="00D16765">
        <w:rPr>
          <w:rFonts w:ascii="ITC Avant Garde Std Bk" w:hAnsi="ITC Avant Garde Std Bk"/>
          <w:b/>
          <w:bCs/>
          <w:color w:val="000000"/>
          <w:szCs w:val="18"/>
          <w:lang w:val="es-MX" w:eastAsia="es-MX"/>
        </w:rPr>
        <w:t>Acuerdo</w:t>
      </w:r>
    </w:p>
    <w:p w14:paraId="0E97EA81" w14:textId="77777777" w:rsidR="00D16765" w:rsidRDefault="00D16765" w:rsidP="00D16765">
      <w:pPr>
        <w:spacing w:before="120" w:after="120"/>
        <w:ind w:firstLine="288"/>
        <w:rPr>
          <w:rFonts w:ascii="ITC Avant Garde Std Bk" w:hAnsi="ITC Avant Garde Std Bk"/>
          <w:color w:val="000000"/>
          <w:szCs w:val="18"/>
          <w:lang w:val="es-MX" w:eastAsia="es-MX"/>
        </w:rPr>
      </w:pPr>
      <w:r w:rsidRPr="00D16765">
        <w:rPr>
          <w:rFonts w:ascii="ITC Avant Garde Std Bk" w:hAnsi="ITC Avant Garde Std Bk"/>
          <w:b/>
          <w:bCs/>
          <w:color w:val="000000"/>
          <w:szCs w:val="18"/>
          <w:lang w:val="es-MX" w:eastAsia="es-MX"/>
        </w:rPr>
        <w:t xml:space="preserve">Primero.- SE MODIFICAN </w:t>
      </w:r>
      <w:r w:rsidRPr="00D16765">
        <w:rPr>
          <w:rFonts w:ascii="ITC Avant Garde Std Bk" w:hAnsi="ITC Avant Garde Std Bk"/>
          <w:color w:val="000000"/>
          <w:szCs w:val="18"/>
          <w:lang w:val="es-MX" w:eastAsia="es-MX"/>
        </w:rPr>
        <w:t xml:space="preserve">la denominación y los numerales 1.1.4, 1.1.10, 1.1.12, 2, 2.1.3, 2.1.4, 2.1.5, 2.1.6, 2.1.8, 2.1.9, 2.2.1 y 2.2.2 y </w:t>
      </w:r>
      <w:r w:rsidRPr="00D16765">
        <w:rPr>
          <w:rFonts w:ascii="ITC Avant Garde Std Bk" w:hAnsi="ITC Avant Garde Std Bk"/>
          <w:b/>
          <w:bCs/>
          <w:color w:val="000000"/>
          <w:szCs w:val="18"/>
          <w:lang w:val="es-MX" w:eastAsia="es-MX"/>
        </w:rPr>
        <w:t>SE ADICIONAN</w:t>
      </w:r>
      <w:r w:rsidRPr="00D16765">
        <w:rPr>
          <w:rFonts w:ascii="ITC Avant Garde Std Bk" w:hAnsi="ITC Avant Garde Std Bk"/>
          <w:color w:val="000000"/>
          <w:szCs w:val="18"/>
          <w:lang w:val="es-MX" w:eastAsia="es-MX"/>
        </w:rPr>
        <w:t xml:space="preserve"> los numerales 1.1.3 bis, 1.1.6 bis, 1.1.7 bis, 1.1.11 bis, 1.1.11 ter, 2.1.5 bis, 2.1.5 ter, 2.1.5 </w:t>
      </w:r>
      <w:proofErr w:type="spellStart"/>
      <w:r w:rsidRPr="00D16765">
        <w:rPr>
          <w:rFonts w:ascii="ITC Avant Garde Std Bk" w:hAnsi="ITC Avant Garde Std Bk"/>
          <w:color w:val="000000"/>
          <w:szCs w:val="18"/>
          <w:lang w:val="es-MX" w:eastAsia="es-MX"/>
        </w:rPr>
        <w:t>quater</w:t>
      </w:r>
      <w:proofErr w:type="spellEnd"/>
      <w:r w:rsidRPr="00D16765">
        <w:rPr>
          <w:rFonts w:ascii="ITC Avant Garde Std Bk" w:hAnsi="ITC Avant Garde Std Bk"/>
          <w:color w:val="000000"/>
          <w:szCs w:val="18"/>
          <w:lang w:val="es-MX" w:eastAsia="es-MX"/>
        </w:rPr>
        <w:t xml:space="preserve"> y 2.2.1 bis, del Anexo 1 del "Acuerdo mediante el cual el Pleno del Instituto Federal de Telecomunicaciones clasifica la banda de frecuencias 57-64 GHz como espectro libre y</w:t>
      </w:r>
      <w:r>
        <w:rPr>
          <w:rFonts w:ascii="ITC Avant Garde Std Bk" w:hAnsi="ITC Avant Garde Std Bk"/>
          <w:color w:val="000000"/>
          <w:szCs w:val="18"/>
          <w:lang w:val="es-MX" w:eastAsia="es-MX"/>
        </w:rPr>
        <w:t xml:space="preserve"> </w:t>
      </w:r>
      <w:r w:rsidRPr="00D16765">
        <w:rPr>
          <w:rFonts w:ascii="ITC Avant Garde Std Bk" w:hAnsi="ITC Avant Garde Std Bk"/>
          <w:color w:val="000000"/>
          <w:szCs w:val="18"/>
          <w:lang w:val="es-MX" w:eastAsia="es-MX"/>
        </w:rPr>
        <w:t>expide las condiciones técnicas de operación", publicado el 9 de mayo de 2017 en el Diario Oficial de la Federación, para quedar como sigue:</w:t>
      </w:r>
    </w:p>
    <w:p w14:paraId="1CFC02A0" w14:textId="342BC7AC" w:rsidR="009015DF" w:rsidRPr="002664C3" w:rsidRDefault="009015DF" w:rsidP="00D16765">
      <w:pPr>
        <w:spacing w:before="120" w:after="120"/>
        <w:ind w:firstLine="288"/>
        <w:rPr>
          <w:rFonts w:ascii="ITC Avant Garde Std Bk" w:hAnsi="ITC Avant Garde Std Bk"/>
          <w:color w:val="000000"/>
          <w:szCs w:val="18"/>
          <w:lang w:val="es-MX" w:eastAsia="es-MX"/>
        </w:rPr>
      </w:pPr>
      <w:r w:rsidRPr="00C21D39">
        <w:rPr>
          <w:rFonts w:ascii="ITC Avant Garde Std Bk" w:hAnsi="ITC Avant Garde Std Bk"/>
          <w:color w:val="000000"/>
          <w:szCs w:val="18"/>
          <w:lang w:val="es-MX" w:eastAsia="es-MX"/>
        </w:rPr>
        <w:t>……….</w:t>
      </w:r>
    </w:p>
    <w:p w14:paraId="654896EA" w14:textId="77777777" w:rsidR="00D16765" w:rsidRPr="00D16765" w:rsidRDefault="00D16765" w:rsidP="00D16765">
      <w:pPr>
        <w:spacing w:before="120" w:after="120"/>
        <w:jc w:val="center"/>
        <w:rPr>
          <w:rFonts w:ascii="ITC Avant Garde Std Bk" w:hAnsi="ITC Avant Garde Std Bk"/>
          <w:b/>
          <w:bCs/>
          <w:color w:val="000000"/>
          <w:szCs w:val="18"/>
          <w:lang w:val="es-MX" w:eastAsia="es-MX"/>
        </w:rPr>
      </w:pPr>
      <w:r w:rsidRPr="00D16765">
        <w:rPr>
          <w:rFonts w:ascii="ITC Avant Garde Std Bk" w:hAnsi="ITC Avant Garde Std Bk"/>
          <w:b/>
          <w:bCs/>
          <w:color w:val="000000"/>
          <w:szCs w:val="18"/>
          <w:lang w:val="es-MX" w:eastAsia="es-MX"/>
        </w:rPr>
        <w:t>Transitorios</w:t>
      </w:r>
    </w:p>
    <w:p w14:paraId="2CD28253" w14:textId="77777777" w:rsidR="00D16765" w:rsidRPr="00D16765" w:rsidRDefault="00D16765" w:rsidP="00D16765">
      <w:pPr>
        <w:spacing w:before="120" w:after="120"/>
        <w:rPr>
          <w:rFonts w:ascii="ITC Avant Garde Std Bk" w:hAnsi="ITC Avant Garde Std Bk"/>
          <w:b/>
          <w:bCs/>
          <w:color w:val="000000"/>
          <w:szCs w:val="18"/>
          <w:lang w:val="es-MX" w:eastAsia="es-MX"/>
        </w:rPr>
      </w:pPr>
      <w:proofErr w:type="gramStart"/>
      <w:r w:rsidRPr="00D16765">
        <w:rPr>
          <w:rFonts w:ascii="ITC Avant Garde Std Bk" w:hAnsi="ITC Avant Garde Std Bk"/>
          <w:b/>
          <w:bCs/>
          <w:color w:val="000000"/>
          <w:szCs w:val="18"/>
          <w:lang w:val="es-MX" w:eastAsia="es-MX"/>
        </w:rPr>
        <w:t>Primero.-</w:t>
      </w:r>
      <w:proofErr w:type="gramEnd"/>
      <w:r w:rsidRPr="00D16765">
        <w:rPr>
          <w:rFonts w:ascii="ITC Avant Garde Std Bk" w:hAnsi="ITC Avant Garde Std Bk"/>
          <w:b/>
          <w:bCs/>
          <w:color w:val="000000"/>
          <w:szCs w:val="18"/>
          <w:lang w:val="es-MX" w:eastAsia="es-MX"/>
        </w:rPr>
        <w:t xml:space="preserve"> </w:t>
      </w:r>
      <w:r w:rsidRPr="00D16765">
        <w:rPr>
          <w:rFonts w:ascii="ITC Avant Garde Std Bk" w:hAnsi="ITC Avant Garde Std Bk"/>
          <w:color w:val="000000"/>
          <w:szCs w:val="18"/>
          <w:lang w:val="es-MX" w:eastAsia="es-MX"/>
        </w:rPr>
        <w:t>Publíquese el presente Acuerdo en el Diario Oficial de la Federación, de conformidad con lo establecido en el artículo 46 de la Ley Federal de Telecomunicaciones y Radiodifusión, así como en el portal de Internet del Instituto.</w:t>
      </w:r>
    </w:p>
    <w:p w14:paraId="22DE7289" w14:textId="77777777" w:rsidR="00D16765" w:rsidRPr="00D16765" w:rsidRDefault="00D16765" w:rsidP="00D16765">
      <w:pPr>
        <w:spacing w:before="120" w:after="120"/>
        <w:rPr>
          <w:rFonts w:ascii="ITC Avant Garde Std Bk" w:hAnsi="ITC Avant Garde Std Bk"/>
          <w:b/>
          <w:bCs/>
          <w:color w:val="000000"/>
          <w:szCs w:val="18"/>
          <w:lang w:val="es-MX" w:eastAsia="es-MX"/>
        </w:rPr>
      </w:pPr>
      <w:proofErr w:type="gramStart"/>
      <w:r w:rsidRPr="00D16765">
        <w:rPr>
          <w:rFonts w:ascii="ITC Avant Garde Std Bk" w:hAnsi="ITC Avant Garde Std Bk"/>
          <w:b/>
          <w:bCs/>
          <w:color w:val="000000"/>
          <w:szCs w:val="18"/>
          <w:lang w:val="es-MX" w:eastAsia="es-MX"/>
        </w:rPr>
        <w:t>Segundo.-</w:t>
      </w:r>
      <w:proofErr w:type="gramEnd"/>
      <w:r w:rsidRPr="00D16765">
        <w:rPr>
          <w:rFonts w:ascii="ITC Avant Garde Std Bk" w:hAnsi="ITC Avant Garde Std Bk"/>
          <w:b/>
          <w:bCs/>
          <w:color w:val="000000"/>
          <w:szCs w:val="18"/>
          <w:lang w:val="es-MX" w:eastAsia="es-MX"/>
        </w:rPr>
        <w:t xml:space="preserve"> </w:t>
      </w:r>
      <w:r w:rsidRPr="00D16765">
        <w:rPr>
          <w:rFonts w:ascii="ITC Avant Garde Std Bk" w:hAnsi="ITC Avant Garde Std Bk"/>
          <w:color w:val="000000"/>
          <w:szCs w:val="18"/>
          <w:lang w:val="es-MX" w:eastAsia="es-MX"/>
        </w:rPr>
        <w:t>El presente Acuerdo entrará en vigor al día siguiente de su publicación en el Diario Oficial de la Federación.</w:t>
      </w:r>
    </w:p>
    <w:p w14:paraId="4ADCB714" w14:textId="77777777" w:rsidR="00D16765" w:rsidRPr="00D16765" w:rsidRDefault="00D16765" w:rsidP="00D16765">
      <w:pPr>
        <w:spacing w:before="120" w:after="120"/>
        <w:rPr>
          <w:rFonts w:ascii="ITC Avant Garde Std Bk" w:hAnsi="ITC Avant Garde Std Bk"/>
          <w:b/>
          <w:bCs/>
          <w:color w:val="000000"/>
          <w:szCs w:val="18"/>
          <w:lang w:val="es-MX" w:eastAsia="es-MX"/>
        </w:rPr>
      </w:pPr>
      <w:proofErr w:type="gramStart"/>
      <w:r w:rsidRPr="00D16765">
        <w:rPr>
          <w:rFonts w:ascii="ITC Avant Garde Std Bk" w:hAnsi="ITC Avant Garde Std Bk"/>
          <w:b/>
          <w:bCs/>
          <w:color w:val="000000"/>
          <w:szCs w:val="18"/>
          <w:lang w:val="es-MX" w:eastAsia="es-MX"/>
        </w:rPr>
        <w:t>Tercero.-</w:t>
      </w:r>
      <w:proofErr w:type="gramEnd"/>
      <w:r w:rsidRPr="00D16765">
        <w:rPr>
          <w:rFonts w:ascii="ITC Avant Garde Std Bk" w:hAnsi="ITC Avant Garde Std Bk"/>
          <w:b/>
          <w:bCs/>
          <w:color w:val="000000"/>
          <w:szCs w:val="18"/>
          <w:lang w:val="es-MX" w:eastAsia="es-MX"/>
        </w:rPr>
        <w:t xml:space="preserve"> </w:t>
      </w:r>
      <w:r w:rsidRPr="00D16765">
        <w:rPr>
          <w:rFonts w:ascii="ITC Avant Garde Std Bk" w:hAnsi="ITC Avant Garde Std Bk"/>
          <w:color w:val="000000"/>
          <w:szCs w:val="18"/>
          <w:lang w:val="es-MX" w:eastAsia="es-MX"/>
        </w:rPr>
        <w:t>Los dispositivos, equipos o sistemas de radiocomunicación cuyas operaciones en la banda de frecuencias 57-64 GHz se encuentren al amparo de un certificado de homologación vigente, podrán continuar operando de conformidad con lo indicado en el Considerando Sexto del presente Acuerdo.</w:t>
      </w:r>
    </w:p>
    <w:p w14:paraId="106854C8" w14:textId="77777777" w:rsidR="00D16765" w:rsidRPr="00D16765" w:rsidRDefault="00D16765" w:rsidP="00D16765">
      <w:pPr>
        <w:spacing w:before="120" w:after="120"/>
        <w:rPr>
          <w:rFonts w:ascii="ITC Avant Garde Std Bk" w:hAnsi="ITC Avant Garde Std Bk"/>
          <w:b/>
          <w:bCs/>
          <w:color w:val="000000"/>
          <w:szCs w:val="18"/>
          <w:lang w:val="es-MX" w:eastAsia="es-MX"/>
        </w:rPr>
      </w:pPr>
      <w:r w:rsidRPr="00D16765">
        <w:rPr>
          <w:rFonts w:ascii="ITC Avant Garde Std Bk" w:hAnsi="ITC Avant Garde Std Bk"/>
          <w:color w:val="000000"/>
          <w:szCs w:val="18"/>
          <w:lang w:val="es-MX" w:eastAsia="es-MX"/>
        </w:rPr>
        <w:t>Comisionado Presidente</w:t>
      </w:r>
      <w:r w:rsidRPr="00D16765">
        <w:rPr>
          <w:rFonts w:ascii="ITC Avant Garde Std Bk" w:hAnsi="ITC Avant Garde Std Bk"/>
          <w:b/>
          <w:bCs/>
          <w:color w:val="000000"/>
          <w:szCs w:val="18"/>
          <w:lang w:val="es-MX" w:eastAsia="es-MX"/>
        </w:rPr>
        <w:t xml:space="preserve">*, Javier Juárez </w:t>
      </w:r>
      <w:proofErr w:type="gramStart"/>
      <w:r w:rsidRPr="00D16765">
        <w:rPr>
          <w:rFonts w:ascii="ITC Avant Garde Std Bk" w:hAnsi="ITC Avant Garde Std Bk"/>
          <w:b/>
          <w:bCs/>
          <w:color w:val="000000"/>
          <w:szCs w:val="18"/>
          <w:lang w:val="es-MX" w:eastAsia="es-MX"/>
        </w:rPr>
        <w:t>Mojica.-</w:t>
      </w:r>
      <w:proofErr w:type="gramEnd"/>
      <w:r w:rsidRPr="00D16765">
        <w:rPr>
          <w:rFonts w:ascii="ITC Avant Garde Std Bk" w:hAnsi="ITC Avant Garde Std Bk"/>
          <w:color w:val="000000"/>
          <w:szCs w:val="18"/>
          <w:lang w:val="es-MX" w:eastAsia="es-MX"/>
        </w:rPr>
        <w:t xml:space="preserve"> Firmado electrónicamente.- Comisionados:</w:t>
      </w:r>
      <w:r w:rsidRPr="00D16765">
        <w:rPr>
          <w:rFonts w:ascii="ITC Avant Garde Std Bk" w:hAnsi="ITC Avant Garde Std Bk"/>
          <w:b/>
          <w:bCs/>
          <w:color w:val="000000"/>
          <w:szCs w:val="18"/>
          <w:lang w:val="es-MX" w:eastAsia="es-MX"/>
        </w:rPr>
        <w:t xml:space="preserve"> Arturo Robles </w:t>
      </w:r>
      <w:proofErr w:type="spellStart"/>
      <w:r w:rsidRPr="00D16765">
        <w:rPr>
          <w:rFonts w:ascii="ITC Avant Garde Std Bk" w:hAnsi="ITC Avant Garde Std Bk"/>
          <w:b/>
          <w:bCs/>
          <w:color w:val="000000"/>
          <w:szCs w:val="18"/>
          <w:lang w:val="es-MX" w:eastAsia="es-MX"/>
        </w:rPr>
        <w:t>Rovalo</w:t>
      </w:r>
      <w:proofErr w:type="spellEnd"/>
      <w:r w:rsidRPr="00D16765">
        <w:rPr>
          <w:rFonts w:ascii="ITC Avant Garde Std Bk" w:hAnsi="ITC Avant Garde Std Bk"/>
          <w:b/>
          <w:bCs/>
          <w:color w:val="000000"/>
          <w:szCs w:val="18"/>
          <w:lang w:val="es-MX" w:eastAsia="es-MX"/>
        </w:rPr>
        <w:t xml:space="preserve">, </w:t>
      </w:r>
      <w:proofErr w:type="spellStart"/>
      <w:r w:rsidRPr="00D16765">
        <w:rPr>
          <w:rFonts w:ascii="ITC Avant Garde Std Bk" w:hAnsi="ITC Avant Garde Std Bk"/>
          <w:b/>
          <w:bCs/>
          <w:color w:val="000000"/>
          <w:szCs w:val="18"/>
          <w:lang w:val="es-MX" w:eastAsia="es-MX"/>
        </w:rPr>
        <w:t>Sóstenes</w:t>
      </w:r>
      <w:proofErr w:type="spellEnd"/>
      <w:r w:rsidRPr="00D16765">
        <w:rPr>
          <w:rFonts w:ascii="ITC Avant Garde Std Bk" w:hAnsi="ITC Avant Garde Std Bk"/>
          <w:b/>
          <w:bCs/>
          <w:color w:val="000000"/>
          <w:szCs w:val="18"/>
          <w:lang w:val="es-MX" w:eastAsia="es-MX"/>
        </w:rPr>
        <w:t xml:space="preserve"> Díaz González, Ramiro Camacho Castillo.- </w:t>
      </w:r>
      <w:r w:rsidRPr="00D16765">
        <w:rPr>
          <w:rFonts w:ascii="ITC Avant Garde Std Bk" w:hAnsi="ITC Avant Garde Std Bk"/>
          <w:color w:val="000000"/>
          <w:szCs w:val="18"/>
          <w:lang w:val="es-MX" w:eastAsia="es-MX"/>
        </w:rPr>
        <w:t>Firmado electrónicamente.</w:t>
      </w:r>
    </w:p>
    <w:p w14:paraId="0D894052" w14:textId="77777777" w:rsidR="00D16765" w:rsidRPr="00D16765" w:rsidRDefault="00D16765" w:rsidP="00D16765">
      <w:pPr>
        <w:spacing w:before="120" w:after="120"/>
        <w:rPr>
          <w:rFonts w:ascii="ITC Avant Garde Std Bk" w:hAnsi="ITC Avant Garde Std Bk"/>
          <w:color w:val="000000"/>
          <w:szCs w:val="18"/>
          <w:lang w:val="es-MX" w:eastAsia="es-MX"/>
        </w:rPr>
      </w:pPr>
      <w:r w:rsidRPr="00D16765">
        <w:rPr>
          <w:rFonts w:ascii="ITC Avant Garde Std Bk" w:hAnsi="ITC Avant Garde Std Bk"/>
          <w:color w:val="000000"/>
          <w:szCs w:val="18"/>
          <w:lang w:val="es-MX" w:eastAsia="es-MX"/>
        </w:rPr>
        <w:t>Acuerdo P/IFT/210824/297, aprobado por unanimidad en la XXI Sesión Ordinaria del Pleno del Instituto Federal de Telecomunicaciones, celebrada el 21 de agosto de 2024.</w:t>
      </w:r>
    </w:p>
    <w:p w14:paraId="65753E16" w14:textId="77777777" w:rsidR="00D16765" w:rsidRPr="00D16765" w:rsidRDefault="00D16765" w:rsidP="00D16765">
      <w:pPr>
        <w:spacing w:before="120" w:after="120"/>
        <w:rPr>
          <w:rFonts w:ascii="ITC Avant Garde Std Bk" w:hAnsi="ITC Avant Garde Std Bk"/>
          <w:color w:val="000000"/>
          <w:szCs w:val="18"/>
          <w:lang w:val="es-MX" w:eastAsia="es-MX"/>
        </w:rPr>
      </w:pPr>
      <w:r w:rsidRPr="00D16765">
        <w:rPr>
          <w:rFonts w:ascii="ITC Avant Garde Std Bk" w:hAnsi="ITC Avant Garde Std Bk"/>
          <w:color w:val="000000"/>
          <w:szCs w:val="18"/>
          <w:lang w:val="es-MX" w:eastAsia="es-MX"/>
        </w:rPr>
        <w:t xml:space="preserve">Lo anterior, con fundamento en los artículos 28, </w:t>
      </w:r>
      <w:proofErr w:type="gramStart"/>
      <w:r w:rsidRPr="00D16765">
        <w:rPr>
          <w:rFonts w:ascii="ITC Avant Garde Std Bk" w:hAnsi="ITC Avant Garde Std Bk"/>
          <w:color w:val="000000"/>
          <w:szCs w:val="18"/>
          <w:lang w:val="es-MX" w:eastAsia="es-MX"/>
        </w:rPr>
        <w:t>párrafos décimo quinto</w:t>
      </w:r>
      <w:proofErr w:type="gramEnd"/>
      <w:r w:rsidRPr="00D16765">
        <w:rPr>
          <w:rFonts w:ascii="ITC Avant Garde Std Bk" w:hAnsi="ITC Avant Garde Std Bk"/>
          <w:color w:val="000000"/>
          <w:szCs w:val="18"/>
          <w:lang w:val="es-MX" w:eastAsia="es-MX"/>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5DDBC9F3" w14:textId="77777777" w:rsidR="00D16765" w:rsidRPr="00D16765" w:rsidRDefault="00D16765" w:rsidP="00D16765">
      <w:pPr>
        <w:spacing w:before="120" w:after="120"/>
        <w:rPr>
          <w:rFonts w:ascii="ITC Avant Garde Std Bk" w:hAnsi="ITC Avant Garde Std Bk"/>
          <w:b/>
          <w:bCs/>
          <w:color w:val="000000"/>
          <w:szCs w:val="18"/>
          <w:lang w:val="es-MX" w:eastAsia="es-MX"/>
        </w:rPr>
      </w:pPr>
      <w:r w:rsidRPr="00D16765">
        <w:rPr>
          <w:rFonts w:ascii="ITC Avant Garde Std Bk" w:hAnsi="ITC Avant Garde Std Bk"/>
          <w:b/>
          <w:bCs/>
          <w:color w:val="000000"/>
          <w:szCs w:val="18"/>
          <w:lang w:val="es-MX" w:eastAsia="es-MX"/>
        </w:rPr>
        <w:t>_________________________</w:t>
      </w:r>
    </w:p>
    <w:p w14:paraId="53DF6810" w14:textId="77777777" w:rsidR="00D16765" w:rsidRPr="00D16765" w:rsidRDefault="00D16765" w:rsidP="00D16765">
      <w:pPr>
        <w:spacing w:before="120" w:after="120"/>
        <w:rPr>
          <w:rFonts w:ascii="ITC Avant Garde Std Bk" w:hAnsi="ITC Avant Garde Std Bk"/>
          <w:color w:val="000000"/>
          <w:szCs w:val="18"/>
          <w:lang w:val="es-MX" w:eastAsia="es-MX"/>
        </w:rPr>
      </w:pPr>
      <w:r w:rsidRPr="00D16765">
        <w:rPr>
          <w:rFonts w:ascii="ITC Avant Garde Std Bk" w:hAnsi="ITC Avant Garde Std Bk"/>
          <w:color w:val="000000"/>
          <w:szCs w:val="18"/>
          <w:lang w:val="es-MX" w:eastAsia="es-MX"/>
        </w:rPr>
        <w:lastRenderedPageBreak/>
        <w:t xml:space="preserve">* En suplencia por ausencia del Comisionado </w:t>
      </w:r>
      <w:proofErr w:type="gramStart"/>
      <w:r w:rsidRPr="00D16765">
        <w:rPr>
          <w:rFonts w:ascii="ITC Avant Garde Std Bk" w:hAnsi="ITC Avant Garde Std Bk"/>
          <w:color w:val="000000"/>
          <w:szCs w:val="18"/>
          <w:lang w:val="es-MX" w:eastAsia="es-MX"/>
        </w:rPr>
        <w:t>Presidente</w:t>
      </w:r>
      <w:proofErr w:type="gramEnd"/>
      <w:r w:rsidRPr="00D16765">
        <w:rPr>
          <w:rFonts w:ascii="ITC Avant Garde Std Bk" w:hAnsi="ITC Avant Garde Std Bk"/>
          <w:color w:val="000000"/>
          <w:szCs w:val="18"/>
          <w:lang w:val="es-MX" w:eastAsia="es-MX"/>
        </w:rPr>
        <w:t xml:space="preserve"> del Instituto Federal de Telecomunicaciones, suscribe el Comisionado Javier Juárez Mojica, con fundamento en el artículo 19 de la Ley Federal de Telecomunicaciones y Radiodifusión.</w:t>
      </w:r>
    </w:p>
    <w:p w14:paraId="3CA80029" w14:textId="77777777" w:rsidR="00D16765" w:rsidRPr="00D16765" w:rsidRDefault="00D16765" w:rsidP="00D16765">
      <w:pPr>
        <w:spacing w:before="120" w:after="120"/>
        <w:rPr>
          <w:rFonts w:ascii="ITC Avant Garde Std Bk" w:hAnsi="ITC Avant Garde Std Bk"/>
          <w:color w:val="000000"/>
          <w:szCs w:val="18"/>
          <w:lang w:val="es-MX" w:eastAsia="es-MX"/>
        </w:rPr>
      </w:pPr>
      <w:r w:rsidRPr="00D16765">
        <w:rPr>
          <w:rFonts w:ascii="ITC Avant Garde Std Bk" w:hAnsi="ITC Avant Garde Std Bk"/>
          <w:b/>
          <w:bCs/>
          <w:color w:val="000000"/>
          <w:szCs w:val="18"/>
          <w:lang w:val="es-MX" w:eastAsia="es-MX"/>
        </w:rPr>
        <w:t>DAVID GORRA FLOTA, SECRETARIO TÉCNICO DEL PLENO DEL INSTITUTO FEDERAL DE TELECOMUNICACIONES,</w:t>
      </w:r>
      <w:r w:rsidRPr="00D16765">
        <w:rPr>
          <w:rFonts w:ascii="ITC Avant Garde Std Bk" w:hAnsi="ITC Avant Garde Std Bk"/>
          <w:color w:val="000000"/>
          <w:szCs w:val="18"/>
          <w:lang w:val="es-MX" w:eastAsia="es-MX"/>
        </w:rPr>
        <w:t xml:space="preserve">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D16765">
        <w:rPr>
          <w:rFonts w:ascii="ITC Avant Garde Std Bk" w:hAnsi="ITC Avant Garde Std Bk"/>
          <w:b/>
          <w:bCs/>
          <w:color w:val="000000"/>
          <w:szCs w:val="18"/>
          <w:lang w:val="es-MX" w:eastAsia="es-MX"/>
        </w:rPr>
        <w:t>CERTIFICA</w:t>
      </w:r>
      <w:r w:rsidRPr="00D16765">
        <w:rPr>
          <w:rFonts w:ascii="ITC Avant Garde Std Bk" w:hAnsi="ITC Avant Garde Std Bk"/>
          <w:color w:val="000000"/>
          <w:szCs w:val="18"/>
          <w:lang w:val="es-MX" w:eastAsia="es-MX"/>
        </w:rPr>
        <w:t>: Que el presente documento, constante de cuarenta y cuatro fojas útiles, es una representación impresa que corresponde fielmente con el documento electrónico original suscrito con Firma Electrónica Avanzada emitida por el Servicio de Administración Tributaria, del "</w:t>
      </w:r>
      <w:r w:rsidRPr="00D16765">
        <w:rPr>
          <w:rFonts w:ascii="ITC Avant Garde Std Bk" w:hAnsi="ITC Avant Garde Std Bk"/>
          <w:b/>
          <w:bCs/>
          <w:i/>
          <w:iCs/>
          <w:color w:val="000000"/>
          <w:szCs w:val="18"/>
          <w:lang w:val="es-MX" w:eastAsia="es-MX"/>
        </w:rPr>
        <w:t>Acuerdo mediante el cual el Pleno del Instituto Federal de Telecomunicaciones modifica las condiciones técnicas de operación para el uso de la banda de frecuencias 57 - 64 GHz, clasificada como espectro libre.</w:t>
      </w:r>
      <w:r w:rsidRPr="00D16765">
        <w:rPr>
          <w:rFonts w:ascii="ITC Avant Garde Std Bk" w:hAnsi="ITC Avant Garde Std Bk"/>
          <w:color w:val="000000"/>
          <w:szCs w:val="18"/>
          <w:lang w:val="es-MX" w:eastAsia="es-MX"/>
        </w:rPr>
        <w:t>", aprobado por el Pleno del Instituto Federal de Telecomunicaciones en su XXI Sesión Ordinaria, celebrada el 21 de agosto de dos mil veinticuatro, identificado con el número P/IFT/210824/297.</w:t>
      </w:r>
    </w:p>
    <w:p w14:paraId="141AF047" w14:textId="77777777" w:rsidR="00D16765" w:rsidRPr="00D16765" w:rsidRDefault="00D16765" w:rsidP="00D16765">
      <w:pPr>
        <w:spacing w:before="120" w:after="120"/>
        <w:rPr>
          <w:rFonts w:ascii="ITC Avant Garde Std Bk" w:hAnsi="ITC Avant Garde Std Bk"/>
          <w:color w:val="000000"/>
          <w:szCs w:val="18"/>
          <w:lang w:val="es-MX" w:eastAsia="es-MX"/>
        </w:rPr>
      </w:pPr>
      <w:r w:rsidRPr="00D16765">
        <w:rPr>
          <w:rFonts w:ascii="ITC Avant Garde Std Bk" w:hAnsi="ITC Avant Garde Std Bk"/>
          <w:color w:val="000000"/>
          <w:szCs w:val="18"/>
          <w:lang w:val="es-MX" w:eastAsia="es-MX"/>
        </w:rPr>
        <w:t>Se certifica con la finalidad de que se publique en el Diario Oficial de la Federación.</w:t>
      </w:r>
    </w:p>
    <w:p w14:paraId="6A09ED9D" w14:textId="68807CED" w:rsidR="009015DF" w:rsidRPr="00D16765" w:rsidRDefault="00D16765" w:rsidP="00D16765">
      <w:pPr>
        <w:spacing w:before="120" w:after="120"/>
        <w:rPr>
          <w:rFonts w:ascii="ITC Avant Garde Std Bk" w:hAnsi="ITC Avant Garde Std Bk"/>
          <w:szCs w:val="18"/>
          <w:lang w:val="es-MX" w:eastAsia="es-MX"/>
        </w:rPr>
      </w:pPr>
      <w:r w:rsidRPr="00D16765">
        <w:rPr>
          <w:rFonts w:ascii="ITC Avant Garde Std Bk" w:hAnsi="ITC Avant Garde Std Bk"/>
          <w:color w:val="000000"/>
          <w:szCs w:val="18"/>
          <w:lang w:val="es-MX" w:eastAsia="es-MX"/>
        </w:rPr>
        <w:t xml:space="preserve">Ciudad de México, a 27 de agosto de dos mil </w:t>
      </w:r>
      <w:proofErr w:type="gramStart"/>
      <w:r w:rsidRPr="00D16765">
        <w:rPr>
          <w:rFonts w:ascii="ITC Avant Garde Std Bk" w:hAnsi="ITC Avant Garde Std Bk"/>
          <w:color w:val="000000"/>
          <w:szCs w:val="18"/>
          <w:lang w:val="es-MX" w:eastAsia="es-MX"/>
        </w:rPr>
        <w:t>veinticuatro.-</w:t>
      </w:r>
      <w:proofErr w:type="gramEnd"/>
      <w:r w:rsidRPr="00D16765">
        <w:rPr>
          <w:rFonts w:ascii="ITC Avant Garde Std Bk" w:hAnsi="ITC Avant Garde Std Bk"/>
          <w:color w:val="000000"/>
          <w:szCs w:val="18"/>
          <w:lang w:val="es-MX" w:eastAsia="es-MX"/>
        </w:rPr>
        <w:t xml:space="preserve"> Rúbrica.</w:t>
      </w:r>
    </w:p>
    <w:p w14:paraId="2D9FC970" w14:textId="77777777" w:rsidR="00A96541" w:rsidRPr="009015DF" w:rsidRDefault="00A96541">
      <w:pPr>
        <w:rPr>
          <w:lang w:val="es-MX"/>
        </w:rPr>
      </w:pPr>
    </w:p>
    <w:sectPr w:rsidR="00A96541" w:rsidRPr="009015DF" w:rsidSect="000431D3">
      <w:headerReference w:type="even" r:id="rId37"/>
      <w:headerReference w:type="default" r:id="rId38"/>
      <w:footerReference w:type="default" r:id="rId39"/>
      <w:headerReference w:type="first" r:id="rId40"/>
      <w:footerReference w:type="first" r:id="rId41"/>
      <w:pgSz w:w="12240" w:h="15840"/>
      <w:pgMar w:top="2410" w:right="1701" w:bottom="2126"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04540" w14:textId="77777777" w:rsidR="003D2E4A" w:rsidRDefault="003D2E4A">
      <w:r>
        <w:separator/>
      </w:r>
    </w:p>
  </w:endnote>
  <w:endnote w:type="continuationSeparator" w:id="0">
    <w:p w14:paraId="4C1F3483" w14:textId="77777777" w:rsidR="003D2E4A" w:rsidRDefault="003D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144CA" w14:textId="77777777" w:rsidR="00000000" w:rsidRPr="00C74B45" w:rsidRDefault="00F77791" w:rsidP="00E443DD">
    <w:pPr>
      <w:pStyle w:val="Piedepgina"/>
      <w:jc w:val="right"/>
      <w:rPr>
        <w:sz w:val="21"/>
        <w:szCs w:val="21"/>
      </w:rPr>
    </w:pPr>
    <w:r w:rsidRPr="00C74B45">
      <w:rPr>
        <w:sz w:val="21"/>
        <w:szCs w:val="21"/>
      </w:rPr>
      <w:t xml:space="preserve">Página </w:t>
    </w:r>
    <w:r w:rsidRPr="00C74B45">
      <w:rPr>
        <w:b/>
        <w:bCs/>
        <w:sz w:val="21"/>
        <w:szCs w:val="21"/>
      </w:rPr>
      <w:fldChar w:fldCharType="begin"/>
    </w:r>
    <w:r w:rsidRPr="00C74B45">
      <w:rPr>
        <w:b/>
        <w:bCs/>
        <w:sz w:val="21"/>
        <w:szCs w:val="21"/>
      </w:rPr>
      <w:instrText>PAGE</w:instrText>
    </w:r>
    <w:r w:rsidRPr="00C74B45">
      <w:rPr>
        <w:b/>
        <w:bCs/>
        <w:sz w:val="21"/>
        <w:szCs w:val="21"/>
      </w:rPr>
      <w:fldChar w:fldCharType="separate"/>
    </w:r>
    <w:r>
      <w:rPr>
        <w:b/>
        <w:bCs/>
        <w:noProof/>
        <w:sz w:val="21"/>
        <w:szCs w:val="21"/>
      </w:rPr>
      <w:t>2</w:t>
    </w:r>
    <w:r w:rsidRPr="00C74B45">
      <w:rPr>
        <w:b/>
        <w:bCs/>
        <w:sz w:val="21"/>
        <w:szCs w:val="21"/>
      </w:rPr>
      <w:fldChar w:fldCharType="end"/>
    </w:r>
    <w:r w:rsidRPr="00C74B45">
      <w:rPr>
        <w:sz w:val="21"/>
        <w:szCs w:val="21"/>
      </w:rPr>
      <w:t xml:space="preserve"> de </w:t>
    </w:r>
    <w:r w:rsidRPr="00C74B45">
      <w:rPr>
        <w:b/>
        <w:bCs/>
        <w:sz w:val="21"/>
        <w:szCs w:val="21"/>
      </w:rPr>
      <w:fldChar w:fldCharType="begin"/>
    </w:r>
    <w:r w:rsidRPr="00C74B45">
      <w:rPr>
        <w:b/>
        <w:bCs/>
        <w:sz w:val="21"/>
        <w:szCs w:val="21"/>
      </w:rPr>
      <w:instrText>NUMPAGES</w:instrText>
    </w:r>
    <w:r w:rsidRPr="00C74B45">
      <w:rPr>
        <w:b/>
        <w:bCs/>
        <w:sz w:val="21"/>
        <w:szCs w:val="21"/>
      </w:rPr>
      <w:fldChar w:fldCharType="separate"/>
    </w:r>
    <w:r>
      <w:rPr>
        <w:b/>
        <w:bCs/>
        <w:noProof/>
        <w:sz w:val="21"/>
        <w:szCs w:val="21"/>
      </w:rPr>
      <w:t>4</w:t>
    </w:r>
    <w:r w:rsidRPr="00C74B45">
      <w:rPr>
        <w:b/>
        <w:bCs/>
        <w:sz w:val="21"/>
        <w:szCs w:val="21"/>
      </w:rPr>
      <w:fldChar w:fldCharType="end"/>
    </w:r>
  </w:p>
  <w:p w14:paraId="30A8C48A"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CAEA" w14:textId="77777777" w:rsidR="00000000" w:rsidRPr="007A3D1B" w:rsidRDefault="00F77791" w:rsidP="000431D3">
    <w:pPr>
      <w:pStyle w:val="Piedepgina"/>
      <w:jc w:val="right"/>
      <w:rPr>
        <w:rFonts w:ascii="ITC Avant Garde Std Bk" w:hAnsi="ITC Avant Garde Std Bk"/>
        <w:sz w:val="20"/>
        <w:szCs w:val="16"/>
      </w:rPr>
    </w:pPr>
    <w:r w:rsidRPr="007A3D1B">
      <w:rPr>
        <w:rFonts w:ascii="ITC Avant Garde Std Bk" w:hAnsi="ITC Avant Garde Std Bk"/>
        <w:sz w:val="20"/>
        <w:szCs w:val="16"/>
      </w:rPr>
      <w:t xml:space="preserve">Página </w:t>
    </w:r>
    <w:r w:rsidRPr="007A3D1B">
      <w:rPr>
        <w:rFonts w:ascii="ITC Avant Garde Std Bk" w:hAnsi="ITC Avant Garde Std Bk"/>
        <w:b/>
        <w:bCs/>
        <w:sz w:val="20"/>
        <w:szCs w:val="16"/>
      </w:rPr>
      <w:fldChar w:fldCharType="begin"/>
    </w:r>
    <w:r w:rsidRPr="007A3D1B">
      <w:rPr>
        <w:rFonts w:ascii="ITC Avant Garde Std Bk" w:hAnsi="ITC Avant Garde Std Bk"/>
        <w:b/>
        <w:bCs/>
        <w:sz w:val="20"/>
        <w:szCs w:val="16"/>
      </w:rPr>
      <w:instrText>PAGE</w:instrText>
    </w:r>
    <w:r w:rsidRPr="007A3D1B">
      <w:rPr>
        <w:rFonts w:ascii="ITC Avant Garde Std Bk" w:hAnsi="ITC Avant Garde Std Bk"/>
        <w:b/>
        <w:bCs/>
        <w:sz w:val="20"/>
        <w:szCs w:val="16"/>
      </w:rPr>
      <w:fldChar w:fldCharType="separate"/>
    </w:r>
    <w:r>
      <w:rPr>
        <w:rFonts w:ascii="ITC Avant Garde Std Bk" w:hAnsi="ITC Avant Garde Std Bk"/>
        <w:b/>
        <w:bCs/>
        <w:noProof/>
        <w:sz w:val="20"/>
        <w:szCs w:val="16"/>
      </w:rPr>
      <w:t>1</w:t>
    </w:r>
    <w:r w:rsidRPr="007A3D1B">
      <w:rPr>
        <w:rFonts w:ascii="ITC Avant Garde Std Bk" w:hAnsi="ITC Avant Garde Std Bk"/>
        <w:b/>
        <w:bCs/>
        <w:sz w:val="20"/>
        <w:szCs w:val="16"/>
      </w:rPr>
      <w:fldChar w:fldCharType="end"/>
    </w:r>
    <w:r w:rsidRPr="007A3D1B">
      <w:rPr>
        <w:rFonts w:ascii="ITC Avant Garde Std Bk" w:hAnsi="ITC Avant Garde Std Bk"/>
        <w:sz w:val="20"/>
        <w:szCs w:val="16"/>
      </w:rPr>
      <w:t xml:space="preserve"> de </w:t>
    </w:r>
    <w:r w:rsidRPr="007A3D1B">
      <w:rPr>
        <w:rFonts w:ascii="ITC Avant Garde Std Bk" w:hAnsi="ITC Avant Garde Std Bk"/>
        <w:b/>
        <w:bCs/>
        <w:sz w:val="20"/>
        <w:szCs w:val="16"/>
      </w:rPr>
      <w:fldChar w:fldCharType="begin"/>
    </w:r>
    <w:r w:rsidRPr="007A3D1B">
      <w:rPr>
        <w:rFonts w:ascii="ITC Avant Garde Std Bk" w:hAnsi="ITC Avant Garde Std Bk"/>
        <w:b/>
        <w:bCs/>
        <w:sz w:val="20"/>
        <w:szCs w:val="16"/>
      </w:rPr>
      <w:instrText>NUMPAGES</w:instrText>
    </w:r>
    <w:r w:rsidRPr="007A3D1B">
      <w:rPr>
        <w:rFonts w:ascii="ITC Avant Garde Std Bk" w:hAnsi="ITC Avant Garde Std Bk"/>
        <w:b/>
        <w:bCs/>
        <w:sz w:val="20"/>
        <w:szCs w:val="16"/>
      </w:rPr>
      <w:fldChar w:fldCharType="separate"/>
    </w:r>
    <w:r>
      <w:rPr>
        <w:rFonts w:ascii="ITC Avant Garde Std Bk" w:hAnsi="ITC Avant Garde Std Bk"/>
        <w:b/>
        <w:bCs/>
        <w:noProof/>
        <w:sz w:val="20"/>
        <w:szCs w:val="16"/>
      </w:rPr>
      <w:t>4</w:t>
    </w:r>
    <w:r w:rsidRPr="007A3D1B">
      <w:rPr>
        <w:rFonts w:ascii="ITC Avant Garde Std Bk" w:hAnsi="ITC Avant Garde Std Bk"/>
        <w:b/>
        <w:bCs/>
        <w:sz w:val="20"/>
        <w:szCs w:val="16"/>
      </w:rPr>
      <w:fldChar w:fldCharType="end"/>
    </w:r>
  </w:p>
  <w:p w14:paraId="00382331"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41539" w14:textId="77777777" w:rsidR="003D2E4A" w:rsidRDefault="003D2E4A">
      <w:r>
        <w:separator/>
      </w:r>
    </w:p>
  </w:footnote>
  <w:footnote w:type="continuationSeparator" w:id="0">
    <w:p w14:paraId="44DDAD38" w14:textId="77777777" w:rsidR="003D2E4A" w:rsidRDefault="003D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CF29" w14:textId="3DEB0C2D" w:rsidR="00000000" w:rsidRPr="00803642" w:rsidRDefault="00F77791" w:rsidP="007F0DE3">
    <w:pPr>
      <w:pStyle w:val="Fechas"/>
      <w:rPr>
        <w:rFonts w:cs="Times New Roman"/>
      </w:rPr>
    </w:pPr>
    <w:r w:rsidRPr="00803642">
      <w:rPr>
        <w:rFonts w:cs="Times New Roman"/>
      </w:rPr>
      <w:t xml:space="preserve"> (Primera Sección)</w:t>
    </w:r>
    <w:r w:rsidRPr="00803642">
      <w:rPr>
        <w:rFonts w:cs="Times New Roman"/>
      </w:rPr>
      <w:tab/>
      <w:t>DIARIO OFICIAL</w:t>
    </w:r>
    <w:r w:rsidRPr="00803642">
      <w:rPr>
        <w:rFonts w:cs="Times New Roman"/>
      </w:rPr>
      <w:tab/>
    </w:r>
    <w:proofErr w:type="gramStart"/>
    <w:r w:rsidRPr="00803642">
      <w:rPr>
        <w:rFonts w:cs="Times New Roman"/>
      </w:rPr>
      <w:t>Martes</w:t>
    </w:r>
    <w:proofErr w:type="gramEnd"/>
    <w:r w:rsidRPr="00803642">
      <w:rPr>
        <w:rFonts w:cs="Times New Roman"/>
      </w:rPr>
      <w:t xml:space="preserve"> 9 de mayo de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FDAA" w14:textId="77777777" w:rsidR="00000000" w:rsidRPr="00E443DD" w:rsidRDefault="00A96541" w:rsidP="00E443DD">
    <w:pPr>
      <w:pStyle w:val="Encabezado"/>
      <w:jc w:val="right"/>
    </w:pPr>
    <w:r w:rsidRPr="008567C6">
      <w:rPr>
        <w:noProof/>
        <w:lang w:val="es-MX" w:eastAsia="es-MX"/>
      </w:rPr>
      <w:drawing>
        <wp:inline distT="0" distB="0" distL="0" distR="0" wp14:anchorId="2C6D2179" wp14:editId="346AF5B2">
          <wp:extent cx="1001395" cy="694690"/>
          <wp:effectExtent l="0" t="0" r="8255" b="0"/>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6946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1670E" w14:textId="77777777" w:rsidR="00000000" w:rsidRDefault="00A96541">
    <w:pPr>
      <w:pStyle w:val="Encabezado"/>
    </w:pPr>
    <w:r>
      <w:rPr>
        <w:noProof/>
        <w:lang w:val="es-MX" w:eastAsia="es-MX"/>
      </w:rPr>
      <w:drawing>
        <wp:anchor distT="0" distB="0" distL="114300" distR="114300" simplePos="0" relativeHeight="251659264" behindDoc="1" locked="0" layoutInCell="1" allowOverlap="1" wp14:anchorId="20712F15" wp14:editId="06607812">
          <wp:simplePos x="0" y="0"/>
          <wp:positionH relativeFrom="column">
            <wp:posOffset>-1192530</wp:posOffset>
          </wp:positionH>
          <wp:positionV relativeFrom="paragraph">
            <wp:posOffset>-441960</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0F23F7"/>
    <w:multiLevelType w:val="hybridMultilevel"/>
    <w:tmpl w:val="D5BC2ADC"/>
    <w:lvl w:ilvl="0" w:tplc="EA6A68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11740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41"/>
    <w:rsid w:val="000B782D"/>
    <w:rsid w:val="00185F89"/>
    <w:rsid w:val="00372EB3"/>
    <w:rsid w:val="003D2E4A"/>
    <w:rsid w:val="003D3B4A"/>
    <w:rsid w:val="003E7A15"/>
    <w:rsid w:val="00454FD7"/>
    <w:rsid w:val="00573ECB"/>
    <w:rsid w:val="00797303"/>
    <w:rsid w:val="007A2653"/>
    <w:rsid w:val="007F094A"/>
    <w:rsid w:val="009015DF"/>
    <w:rsid w:val="00943CA0"/>
    <w:rsid w:val="00A96541"/>
    <w:rsid w:val="00D16765"/>
    <w:rsid w:val="00DB1A0B"/>
    <w:rsid w:val="00F777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6AC2B"/>
  <w15:chartTrackingRefBased/>
  <w15:docId w15:val="{3DC2C50A-F989-4B3A-8F40-785E0F1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791"/>
    <w:pPr>
      <w:spacing w:after="0" w:line="240" w:lineRule="auto"/>
      <w:jc w:val="both"/>
    </w:pPr>
    <w:rPr>
      <w:rFonts w:ascii="ITC Avant Garde" w:eastAsia="Times New Roman" w:hAnsi="ITC Avant Garde" w:cs="Times New Roman"/>
      <w:sz w:val="18"/>
      <w:szCs w:val="24"/>
      <w:lang w:val="es-ES" w:eastAsia="es-ES"/>
    </w:rPr>
  </w:style>
  <w:style w:type="paragraph" w:styleId="Ttulo1">
    <w:name w:val="heading 1"/>
    <w:basedOn w:val="Normal"/>
    <w:next w:val="Normal"/>
    <w:link w:val="Ttulo1Car"/>
    <w:uiPriority w:val="9"/>
    <w:qFormat/>
    <w:rsid w:val="00372EB3"/>
    <w:pPr>
      <w:keepNext/>
      <w:keepLines/>
      <w:spacing w:before="24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372EB3"/>
    <w:pPr>
      <w:keepNext/>
      <w:keepLines/>
      <w:spacing w:before="40"/>
      <w:outlineLvl w:val="1"/>
    </w:pPr>
    <w:rPr>
      <w:rFonts w:eastAsiaTheme="majorEastAsia" w:cstheme="majorBidi"/>
      <w:b/>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96541"/>
    <w:pPr>
      <w:spacing w:after="101" w:line="216" w:lineRule="exact"/>
      <w:ind w:firstLine="288"/>
    </w:pPr>
    <w:rPr>
      <w:rFonts w:ascii="Arial" w:hAnsi="Arial" w:cs="Arial"/>
      <w:szCs w:val="20"/>
    </w:rPr>
  </w:style>
  <w:style w:type="paragraph" w:customStyle="1" w:styleId="Fechas">
    <w:name w:val="Fechas"/>
    <w:basedOn w:val="Texto"/>
    <w:autoRedefine/>
    <w:rsid w:val="00A9654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A96541"/>
    <w:pPr>
      <w:spacing w:before="101" w:after="101" w:line="216" w:lineRule="atLeast"/>
      <w:jc w:val="center"/>
    </w:pPr>
    <w:rPr>
      <w:b/>
      <w:szCs w:val="20"/>
      <w:lang w:val="es-ES_tradnl"/>
    </w:rPr>
  </w:style>
  <w:style w:type="paragraph" w:styleId="Encabezado">
    <w:name w:val="header"/>
    <w:basedOn w:val="Normal"/>
    <w:link w:val="EncabezadoCar"/>
    <w:rsid w:val="00A96541"/>
    <w:pPr>
      <w:tabs>
        <w:tab w:val="center" w:pos="4419"/>
        <w:tab w:val="right" w:pos="8838"/>
      </w:tabs>
    </w:pPr>
  </w:style>
  <w:style w:type="character" w:customStyle="1" w:styleId="EncabezadoCar">
    <w:name w:val="Encabezado Car"/>
    <w:basedOn w:val="Fuentedeprrafopredeter"/>
    <w:link w:val="Encabezado"/>
    <w:rsid w:val="00A96541"/>
    <w:rPr>
      <w:rFonts w:ascii="Times New Roman" w:eastAsia="Times New Roman" w:hAnsi="Times New Roman" w:cs="Times New Roman"/>
      <w:sz w:val="24"/>
      <w:szCs w:val="24"/>
      <w:lang w:val="es-ES" w:eastAsia="es-ES"/>
    </w:rPr>
  </w:style>
  <w:style w:type="character" w:customStyle="1" w:styleId="TextoCar">
    <w:name w:val="Texto Car"/>
    <w:link w:val="Texto"/>
    <w:locked/>
    <w:rsid w:val="00A96541"/>
    <w:rPr>
      <w:rFonts w:ascii="Arial" w:eastAsia="Times New Roman" w:hAnsi="Arial" w:cs="Arial"/>
      <w:sz w:val="18"/>
      <w:szCs w:val="20"/>
      <w:lang w:val="es-ES" w:eastAsia="es-ES"/>
    </w:rPr>
  </w:style>
  <w:style w:type="character" w:customStyle="1" w:styleId="ANOTACIONCar">
    <w:name w:val="ANOTACION Car"/>
    <w:link w:val="ANOTACION"/>
    <w:locked/>
    <w:rsid w:val="00A96541"/>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A96541"/>
    <w:pPr>
      <w:tabs>
        <w:tab w:val="center" w:pos="4419"/>
        <w:tab w:val="right" w:pos="8838"/>
      </w:tabs>
    </w:pPr>
  </w:style>
  <w:style w:type="character" w:customStyle="1" w:styleId="PiedepginaCar">
    <w:name w:val="Pie de página Car"/>
    <w:basedOn w:val="Fuentedeprrafopredeter"/>
    <w:link w:val="Piedepgina"/>
    <w:rsid w:val="00A96541"/>
    <w:rPr>
      <w:rFonts w:ascii="Times New Roman" w:eastAsia="Times New Roman" w:hAnsi="Times New Roman" w:cs="Times New Roman"/>
      <w:sz w:val="24"/>
      <w:szCs w:val="24"/>
      <w:lang w:val="es-ES" w:eastAsia="es-ES"/>
    </w:rPr>
  </w:style>
  <w:style w:type="character" w:styleId="Hipervnculo">
    <w:name w:val="Hyperlink"/>
    <w:uiPriority w:val="99"/>
    <w:rsid w:val="00A96541"/>
    <w:rPr>
      <w:color w:val="0563C1"/>
      <w:u w:val="single"/>
    </w:rPr>
  </w:style>
  <w:style w:type="character" w:customStyle="1" w:styleId="Ttulo1Car">
    <w:name w:val="Título 1 Car"/>
    <w:basedOn w:val="Fuentedeprrafopredeter"/>
    <w:link w:val="Ttulo1"/>
    <w:uiPriority w:val="9"/>
    <w:rsid w:val="00372EB3"/>
    <w:rPr>
      <w:rFonts w:ascii="ITC Avant Garde" w:eastAsiaTheme="majorEastAsia" w:hAnsi="ITC Avant Garde" w:cstheme="majorBidi"/>
      <w:b/>
      <w:sz w:val="24"/>
      <w:szCs w:val="32"/>
      <w:lang w:val="es-ES" w:eastAsia="es-ES"/>
    </w:rPr>
  </w:style>
  <w:style w:type="character" w:customStyle="1" w:styleId="Ttulo2Car">
    <w:name w:val="Título 2 Car"/>
    <w:basedOn w:val="Fuentedeprrafopredeter"/>
    <w:link w:val="Ttulo2"/>
    <w:uiPriority w:val="9"/>
    <w:rsid w:val="00372EB3"/>
    <w:rPr>
      <w:rFonts w:ascii="ITC Avant Garde" w:eastAsiaTheme="majorEastAsia" w:hAnsi="ITC Avant Garde" w:cstheme="majorBidi"/>
      <w:b/>
      <w:sz w:val="18"/>
      <w:szCs w:val="26"/>
      <w:lang w:val="es-ES" w:eastAsia="es-ES"/>
    </w:rPr>
  </w:style>
  <w:style w:type="paragraph" w:styleId="TtuloTDC">
    <w:name w:val="TOC Heading"/>
    <w:basedOn w:val="Ttulo1"/>
    <w:next w:val="Normal"/>
    <w:uiPriority w:val="39"/>
    <w:unhideWhenUsed/>
    <w:qFormat/>
    <w:rsid w:val="00F77791"/>
    <w:pPr>
      <w:spacing w:line="259" w:lineRule="auto"/>
      <w:jc w:val="left"/>
      <w:outlineLvl w:val="9"/>
    </w:pPr>
    <w:rPr>
      <w:rFonts w:asciiTheme="majorHAnsi" w:hAnsiTheme="majorHAnsi"/>
      <w:b w:val="0"/>
      <w:color w:val="2F5496" w:themeColor="accent1" w:themeShade="BF"/>
      <w:sz w:val="32"/>
      <w:lang w:val="es-MX" w:eastAsia="es-MX"/>
    </w:rPr>
  </w:style>
  <w:style w:type="paragraph" w:styleId="TDC1">
    <w:name w:val="toc 1"/>
    <w:basedOn w:val="Normal"/>
    <w:next w:val="Normal"/>
    <w:autoRedefine/>
    <w:uiPriority w:val="39"/>
    <w:unhideWhenUsed/>
    <w:rsid w:val="00F77791"/>
    <w:pPr>
      <w:spacing w:after="100"/>
    </w:pPr>
  </w:style>
  <w:style w:type="paragraph" w:styleId="TDC2">
    <w:name w:val="toc 2"/>
    <w:basedOn w:val="Normal"/>
    <w:next w:val="Normal"/>
    <w:autoRedefine/>
    <w:uiPriority w:val="39"/>
    <w:unhideWhenUsed/>
    <w:rsid w:val="00F77791"/>
    <w:pPr>
      <w:spacing w:after="100"/>
      <w:ind w:left="240"/>
    </w:pPr>
  </w:style>
  <w:style w:type="character" w:styleId="Mencinsinresolver">
    <w:name w:val="Unresolved Mention"/>
    <w:basedOn w:val="Fuentedeprrafopredeter"/>
    <w:uiPriority w:val="99"/>
    <w:semiHidden/>
    <w:unhideWhenUsed/>
    <w:rsid w:val="000B7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89611">
      <w:bodyDiv w:val="1"/>
      <w:marLeft w:val="0"/>
      <w:marRight w:val="0"/>
      <w:marTop w:val="0"/>
      <w:marBottom w:val="0"/>
      <w:divBdr>
        <w:top w:val="none" w:sz="0" w:space="0" w:color="auto"/>
        <w:left w:val="none" w:sz="0" w:space="0" w:color="auto"/>
        <w:bottom w:val="none" w:sz="0" w:space="0" w:color="auto"/>
        <w:right w:val="none" w:sz="0" w:space="0" w:color="auto"/>
      </w:divBdr>
      <w:divsChild>
        <w:div w:id="687831878">
          <w:marLeft w:val="2340"/>
          <w:marRight w:val="0"/>
          <w:marTop w:val="0"/>
          <w:marBottom w:val="101"/>
          <w:divBdr>
            <w:top w:val="none" w:sz="0" w:space="0" w:color="auto"/>
            <w:left w:val="none" w:sz="0" w:space="0" w:color="auto"/>
            <w:bottom w:val="none" w:sz="0" w:space="0" w:color="auto"/>
            <w:right w:val="none" w:sz="0" w:space="0" w:color="auto"/>
          </w:divBdr>
        </w:div>
        <w:div w:id="1344749866">
          <w:marLeft w:val="2340"/>
          <w:marRight w:val="0"/>
          <w:marTop w:val="0"/>
          <w:marBottom w:val="101"/>
          <w:divBdr>
            <w:top w:val="none" w:sz="0" w:space="0" w:color="auto"/>
            <w:left w:val="none" w:sz="0" w:space="0" w:color="auto"/>
            <w:bottom w:val="none" w:sz="0" w:space="0" w:color="auto"/>
            <w:right w:val="none" w:sz="0" w:space="0" w:color="auto"/>
          </w:divBdr>
        </w:div>
      </w:divsChild>
    </w:div>
    <w:div w:id="289868313">
      <w:bodyDiv w:val="1"/>
      <w:marLeft w:val="0"/>
      <w:marRight w:val="0"/>
      <w:marTop w:val="0"/>
      <w:marBottom w:val="0"/>
      <w:divBdr>
        <w:top w:val="none" w:sz="0" w:space="0" w:color="auto"/>
        <w:left w:val="none" w:sz="0" w:space="0" w:color="auto"/>
        <w:bottom w:val="none" w:sz="0" w:space="0" w:color="auto"/>
        <w:right w:val="none" w:sz="0" w:space="0" w:color="auto"/>
      </w:divBdr>
    </w:div>
    <w:div w:id="344357465">
      <w:bodyDiv w:val="1"/>
      <w:marLeft w:val="0"/>
      <w:marRight w:val="0"/>
      <w:marTop w:val="0"/>
      <w:marBottom w:val="0"/>
      <w:divBdr>
        <w:top w:val="none" w:sz="0" w:space="0" w:color="auto"/>
        <w:left w:val="none" w:sz="0" w:space="0" w:color="auto"/>
        <w:bottom w:val="none" w:sz="0" w:space="0" w:color="auto"/>
        <w:right w:val="none" w:sz="0" w:space="0" w:color="auto"/>
      </w:divBdr>
    </w:div>
    <w:div w:id="412750329">
      <w:bodyDiv w:val="1"/>
      <w:marLeft w:val="0"/>
      <w:marRight w:val="0"/>
      <w:marTop w:val="0"/>
      <w:marBottom w:val="0"/>
      <w:divBdr>
        <w:top w:val="none" w:sz="0" w:space="0" w:color="auto"/>
        <w:left w:val="none" w:sz="0" w:space="0" w:color="auto"/>
        <w:bottom w:val="none" w:sz="0" w:space="0" w:color="auto"/>
        <w:right w:val="none" w:sz="0" w:space="0" w:color="auto"/>
      </w:divBdr>
      <w:divsChild>
        <w:div w:id="396903670">
          <w:marLeft w:val="0"/>
          <w:marRight w:val="0"/>
          <w:marTop w:val="101"/>
          <w:marBottom w:val="101"/>
          <w:divBdr>
            <w:top w:val="none" w:sz="0" w:space="0" w:color="auto"/>
            <w:left w:val="none" w:sz="0" w:space="0" w:color="auto"/>
            <w:bottom w:val="none" w:sz="0" w:space="0" w:color="auto"/>
            <w:right w:val="none" w:sz="0" w:space="0" w:color="auto"/>
          </w:divBdr>
        </w:div>
        <w:div w:id="696544232">
          <w:marLeft w:val="0"/>
          <w:marRight w:val="0"/>
          <w:marTop w:val="0"/>
          <w:marBottom w:val="101"/>
          <w:divBdr>
            <w:top w:val="none" w:sz="0" w:space="0" w:color="auto"/>
            <w:left w:val="none" w:sz="0" w:space="0" w:color="auto"/>
            <w:bottom w:val="none" w:sz="0" w:space="0" w:color="auto"/>
            <w:right w:val="none" w:sz="0" w:space="0" w:color="auto"/>
          </w:divBdr>
        </w:div>
        <w:div w:id="1552228552">
          <w:marLeft w:val="0"/>
          <w:marRight w:val="0"/>
          <w:marTop w:val="0"/>
          <w:marBottom w:val="101"/>
          <w:divBdr>
            <w:top w:val="none" w:sz="0" w:space="0" w:color="auto"/>
            <w:left w:val="none" w:sz="0" w:space="0" w:color="auto"/>
            <w:bottom w:val="none" w:sz="0" w:space="0" w:color="auto"/>
            <w:right w:val="none" w:sz="0" w:space="0" w:color="auto"/>
          </w:divBdr>
        </w:div>
      </w:divsChild>
    </w:div>
    <w:div w:id="452947477">
      <w:bodyDiv w:val="1"/>
      <w:marLeft w:val="0"/>
      <w:marRight w:val="0"/>
      <w:marTop w:val="0"/>
      <w:marBottom w:val="0"/>
      <w:divBdr>
        <w:top w:val="none" w:sz="0" w:space="0" w:color="auto"/>
        <w:left w:val="none" w:sz="0" w:space="0" w:color="auto"/>
        <w:bottom w:val="none" w:sz="0" w:space="0" w:color="auto"/>
        <w:right w:val="none" w:sz="0" w:space="0" w:color="auto"/>
      </w:divBdr>
      <w:divsChild>
        <w:div w:id="2135976730">
          <w:marLeft w:val="1980"/>
          <w:marRight w:val="0"/>
          <w:marTop w:val="0"/>
          <w:marBottom w:val="101"/>
          <w:divBdr>
            <w:top w:val="none" w:sz="0" w:space="0" w:color="auto"/>
            <w:left w:val="none" w:sz="0" w:space="0" w:color="auto"/>
            <w:bottom w:val="none" w:sz="0" w:space="0" w:color="auto"/>
            <w:right w:val="none" w:sz="0" w:space="0" w:color="auto"/>
          </w:divBdr>
        </w:div>
        <w:div w:id="1648511341">
          <w:marLeft w:val="2340"/>
          <w:marRight w:val="0"/>
          <w:marTop w:val="0"/>
          <w:marBottom w:val="101"/>
          <w:divBdr>
            <w:top w:val="none" w:sz="0" w:space="0" w:color="auto"/>
            <w:left w:val="none" w:sz="0" w:space="0" w:color="auto"/>
            <w:bottom w:val="none" w:sz="0" w:space="0" w:color="auto"/>
            <w:right w:val="none" w:sz="0" w:space="0" w:color="auto"/>
          </w:divBdr>
        </w:div>
        <w:div w:id="1753041289">
          <w:marLeft w:val="2340"/>
          <w:marRight w:val="0"/>
          <w:marTop w:val="0"/>
          <w:marBottom w:val="101"/>
          <w:divBdr>
            <w:top w:val="none" w:sz="0" w:space="0" w:color="auto"/>
            <w:left w:val="none" w:sz="0" w:space="0" w:color="auto"/>
            <w:bottom w:val="none" w:sz="0" w:space="0" w:color="auto"/>
            <w:right w:val="none" w:sz="0" w:space="0" w:color="auto"/>
          </w:divBdr>
        </w:div>
        <w:div w:id="782723864">
          <w:marLeft w:val="2700"/>
          <w:marRight w:val="0"/>
          <w:marTop w:val="0"/>
          <w:marBottom w:val="101"/>
          <w:divBdr>
            <w:top w:val="none" w:sz="0" w:space="0" w:color="auto"/>
            <w:left w:val="none" w:sz="0" w:space="0" w:color="auto"/>
            <w:bottom w:val="none" w:sz="0" w:space="0" w:color="auto"/>
            <w:right w:val="none" w:sz="0" w:space="0" w:color="auto"/>
          </w:divBdr>
        </w:div>
        <w:div w:id="540361274">
          <w:marLeft w:val="2700"/>
          <w:marRight w:val="0"/>
          <w:marTop w:val="0"/>
          <w:marBottom w:val="101"/>
          <w:divBdr>
            <w:top w:val="none" w:sz="0" w:space="0" w:color="auto"/>
            <w:left w:val="none" w:sz="0" w:space="0" w:color="auto"/>
            <w:bottom w:val="none" w:sz="0" w:space="0" w:color="auto"/>
            <w:right w:val="none" w:sz="0" w:space="0" w:color="auto"/>
          </w:divBdr>
        </w:div>
        <w:div w:id="1387677785">
          <w:marLeft w:val="2700"/>
          <w:marRight w:val="0"/>
          <w:marTop w:val="0"/>
          <w:marBottom w:val="101"/>
          <w:divBdr>
            <w:top w:val="none" w:sz="0" w:space="0" w:color="auto"/>
            <w:left w:val="none" w:sz="0" w:space="0" w:color="auto"/>
            <w:bottom w:val="none" w:sz="0" w:space="0" w:color="auto"/>
            <w:right w:val="none" w:sz="0" w:space="0" w:color="auto"/>
          </w:divBdr>
        </w:div>
      </w:divsChild>
    </w:div>
    <w:div w:id="542601522">
      <w:bodyDiv w:val="1"/>
      <w:marLeft w:val="0"/>
      <w:marRight w:val="0"/>
      <w:marTop w:val="0"/>
      <w:marBottom w:val="0"/>
      <w:divBdr>
        <w:top w:val="none" w:sz="0" w:space="0" w:color="auto"/>
        <w:left w:val="none" w:sz="0" w:space="0" w:color="auto"/>
        <w:bottom w:val="none" w:sz="0" w:space="0" w:color="auto"/>
        <w:right w:val="none" w:sz="0" w:space="0" w:color="auto"/>
      </w:divBdr>
      <w:divsChild>
        <w:div w:id="1389107848">
          <w:marLeft w:val="1980"/>
          <w:marRight w:val="0"/>
          <w:marTop w:val="0"/>
          <w:marBottom w:val="80"/>
          <w:divBdr>
            <w:top w:val="none" w:sz="0" w:space="0" w:color="auto"/>
            <w:left w:val="none" w:sz="0" w:space="0" w:color="auto"/>
            <w:bottom w:val="none" w:sz="0" w:space="0" w:color="auto"/>
            <w:right w:val="none" w:sz="0" w:space="0" w:color="auto"/>
          </w:divBdr>
        </w:div>
        <w:div w:id="1857117675">
          <w:marLeft w:val="1980"/>
          <w:marRight w:val="0"/>
          <w:marTop w:val="0"/>
          <w:marBottom w:val="101"/>
          <w:divBdr>
            <w:top w:val="none" w:sz="0" w:space="0" w:color="auto"/>
            <w:left w:val="none" w:sz="0" w:space="0" w:color="auto"/>
            <w:bottom w:val="none" w:sz="0" w:space="0" w:color="auto"/>
            <w:right w:val="none" w:sz="0" w:space="0" w:color="auto"/>
          </w:divBdr>
        </w:div>
      </w:divsChild>
    </w:div>
    <w:div w:id="699091480">
      <w:bodyDiv w:val="1"/>
      <w:marLeft w:val="0"/>
      <w:marRight w:val="0"/>
      <w:marTop w:val="0"/>
      <w:marBottom w:val="0"/>
      <w:divBdr>
        <w:top w:val="none" w:sz="0" w:space="0" w:color="auto"/>
        <w:left w:val="none" w:sz="0" w:space="0" w:color="auto"/>
        <w:bottom w:val="none" w:sz="0" w:space="0" w:color="auto"/>
        <w:right w:val="none" w:sz="0" w:space="0" w:color="auto"/>
      </w:divBdr>
      <w:divsChild>
        <w:div w:id="2014798366">
          <w:marLeft w:val="1980"/>
          <w:marRight w:val="0"/>
          <w:marTop w:val="0"/>
          <w:marBottom w:val="101"/>
          <w:divBdr>
            <w:top w:val="none" w:sz="0" w:space="0" w:color="auto"/>
            <w:left w:val="none" w:sz="0" w:space="0" w:color="auto"/>
            <w:bottom w:val="none" w:sz="0" w:space="0" w:color="auto"/>
            <w:right w:val="none" w:sz="0" w:space="0" w:color="auto"/>
          </w:divBdr>
        </w:div>
        <w:div w:id="798838169">
          <w:marLeft w:val="2340"/>
          <w:marRight w:val="0"/>
          <w:marTop w:val="0"/>
          <w:marBottom w:val="101"/>
          <w:divBdr>
            <w:top w:val="none" w:sz="0" w:space="0" w:color="auto"/>
            <w:left w:val="none" w:sz="0" w:space="0" w:color="auto"/>
            <w:bottom w:val="none" w:sz="0" w:space="0" w:color="auto"/>
            <w:right w:val="none" w:sz="0" w:space="0" w:color="auto"/>
          </w:divBdr>
        </w:div>
        <w:div w:id="101338923">
          <w:marLeft w:val="2340"/>
          <w:marRight w:val="0"/>
          <w:marTop w:val="0"/>
          <w:marBottom w:val="101"/>
          <w:divBdr>
            <w:top w:val="none" w:sz="0" w:space="0" w:color="auto"/>
            <w:left w:val="none" w:sz="0" w:space="0" w:color="auto"/>
            <w:bottom w:val="none" w:sz="0" w:space="0" w:color="auto"/>
            <w:right w:val="none" w:sz="0" w:space="0" w:color="auto"/>
          </w:divBdr>
        </w:div>
        <w:div w:id="1002853164">
          <w:marLeft w:val="2700"/>
          <w:marRight w:val="0"/>
          <w:marTop w:val="0"/>
          <w:marBottom w:val="101"/>
          <w:divBdr>
            <w:top w:val="none" w:sz="0" w:space="0" w:color="auto"/>
            <w:left w:val="none" w:sz="0" w:space="0" w:color="auto"/>
            <w:bottom w:val="none" w:sz="0" w:space="0" w:color="auto"/>
            <w:right w:val="none" w:sz="0" w:space="0" w:color="auto"/>
          </w:divBdr>
        </w:div>
        <w:div w:id="1570263110">
          <w:marLeft w:val="2700"/>
          <w:marRight w:val="0"/>
          <w:marTop w:val="0"/>
          <w:marBottom w:val="101"/>
          <w:divBdr>
            <w:top w:val="none" w:sz="0" w:space="0" w:color="auto"/>
            <w:left w:val="none" w:sz="0" w:space="0" w:color="auto"/>
            <w:bottom w:val="none" w:sz="0" w:space="0" w:color="auto"/>
            <w:right w:val="none" w:sz="0" w:space="0" w:color="auto"/>
          </w:divBdr>
        </w:div>
        <w:div w:id="1043556447">
          <w:marLeft w:val="2700"/>
          <w:marRight w:val="0"/>
          <w:marTop w:val="0"/>
          <w:marBottom w:val="101"/>
          <w:divBdr>
            <w:top w:val="none" w:sz="0" w:space="0" w:color="auto"/>
            <w:left w:val="none" w:sz="0" w:space="0" w:color="auto"/>
            <w:bottom w:val="none" w:sz="0" w:space="0" w:color="auto"/>
            <w:right w:val="none" w:sz="0" w:space="0" w:color="auto"/>
          </w:divBdr>
        </w:div>
      </w:divsChild>
    </w:div>
    <w:div w:id="740249321">
      <w:bodyDiv w:val="1"/>
      <w:marLeft w:val="0"/>
      <w:marRight w:val="0"/>
      <w:marTop w:val="0"/>
      <w:marBottom w:val="0"/>
      <w:divBdr>
        <w:top w:val="none" w:sz="0" w:space="0" w:color="auto"/>
        <w:left w:val="none" w:sz="0" w:space="0" w:color="auto"/>
        <w:bottom w:val="none" w:sz="0" w:space="0" w:color="auto"/>
        <w:right w:val="none" w:sz="0" w:space="0" w:color="auto"/>
      </w:divBdr>
      <w:divsChild>
        <w:div w:id="2008746248">
          <w:marLeft w:val="2340"/>
          <w:marRight w:val="0"/>
          <w:marTop w:val="0"/>
          <w:marBottom w:val="101"/>
          <w:divBdr>
            <w:top w:val="none" w:sz="0" w:space="0" w:color="auto"/>
            <w:left w:val="none" w:sz="0" w:space="0" w:color="auto"/>
            <w:bottom w:val="none" w:sz="0" w:space="0" w:color="auto"/>
            <w:right w:val="none" w:sz="0" w:space="0" w:color="auto"/>
          </w:divBdr>
        </w:div>
        <w:div w:id="165168884">
          <w:marLeft w:val="2340"/>
          <w:marRight w:val="0"/>
          <w:marTop w:val="0"/>
          <w:marBottom w:val="101"/>
          <w:divBdr>
            <w:top w:val="none" w:sz="0" w:space="0" w:color="auto"/>
            <w:left w:val="none" w:sz="0" w:space="0" w:color="auto"/>
            <w:bottom w:val="none" w:sz="0" w:space="0" w:color="auto"/>
            <w:right w:val="none" w:sz="0" w:space="0" w:color="auto"/>
          </w:divBdr>
        </w:div>
      </w:divsChild>
    </w:div>
    <w:div w:id="827479303">
      <w:bodyDiv w:val="1"/>
      <w:marLeft w:val="0"/>
      <w:marRight w:val="0"/>
      <w:marTop w:val="0"/>
      <w:marBottom w:val="0"/>
      <w:divBdr>
        <w:top w:val="none" w:sz="0" w:space="0" w:color="auto"/>
        <w:left w:val="none" w:sz="0" w:space="0" w:color="auto"/>
        <w:bottom w:val="none" w:sz="0" w:space="0" w:color="auto"/>
        <w:right w:val="none" w:sz="0" w:space="0" w:color="auto"/>
      </w:divBdr>
    </w:div>
    <w:div w:id="858931068">
      <w:bodyDiv w:val="1"/>
      <w:marLeft w:val="0"/>
      <w:marRight w:val="0"/>
      <w:marTop w:val="0"/>
      <w:marBottom w:val="0"/>
      <w:divBdr>
        <w:top w:val="none" w:sz="0" w:space="0" w:color="auto"/>
        <w:left w:val="none" w:sz="0" w:space="0" w:color="auto"/>
        <w:bottom w:val="none" w:sz="0" w:space="0" w:color="auto"/>
        <w:right w:val="none" w:sz="0" w:space="0" w:color="auto"/>
      </w:divBdr>
    </w:div>
    <w:div w:id="890727491">
      <w:bodyDiv w:val="1"/>
      <w:marLeft w:val="0"/>
      <w:marRight w:val="0"/>
      <w:marTop w:val="0"/>
      <w:marBottom w:val="0"/>
      <w:divBdr>
        <w:top w:val="none" w:sz="0" w:space="0" w:color="auto"/>
        <w:left w:val="none" w:sz="0" w:space="0" w:color="auto"/>
        <w:bottom w:val="none" w:sz="0" w:space="0" w:color="auto"/>
        <w:right w:val="none" w:sz="0" w:space="0" w:color="auto"/>
      </w:divBdr>
      <w:divsChild>
        <w:div w:id="439960993">
          <w:marLeft w:val="1980"/>
          <w:marRight w:val="0"/>
          <w:marTop w:val="0"/>
          <w:marBottom w:val="80"/>
          <w:divBdr>
            <w:top w:val="none" w:sz="0" w:space="0" w:color="auto"/>
            <w:left w:val="none" w:sz="0" w:space="0" w:color="auto"/>
            <w:bottom w:val="none" w:sz="0" w:space="0" w:color="auto"/>
            <w:right w:val="none" w:sz="0" w:space="0" w:color="auto"/>
          </w:divBdr>
        </w:div>
        <w:div w:id="1023704341">
          <w:marLeft w:val="1980"/>
          <w:marRight w:val="0"/>
          <w:marTop w:val="0"/>
          <w:marBottom w:val="80"/>
          <w:divBdr>
            <w:top w:val="none" w:sz="0" w:space="0" w:color="auto"/>
            <w:left w:val="none" w:sz="0" w:space="0" w:color="auto"/>
            <w:bottom w:val="none" w:sz="0" w:space="0" w:color="auto"/>
            <w:right w:val="none" w:sz="0" w:space="0" w:color="auto"/>
          </w:divBdr>
        </w:div>
      </w:divsChild>
    </w:div>
    <w:div w:id="1182283647">
      <w:bodyDiv w:val="1"/>
      <w:marLeft w:val="0"/>
      <w:marRight w:val="0"/>
      <w:marTop w:val="0"/>
      <w:marBottom w:val="0"/>
      <w:divBdr>
        <w:top w:val="none" w:sz="0" w:space="0" w:color="auto"/>
        <w:left w:val="none" w:sz="0" w:space="0" w:color="auto"/>
        <w:bottom w:val="none" w:sz="0" w:space="0" w:color="auto"/>
        <w:right w:val="none" w:sz="0" w:space="0" w:color="auto"/>
      </w:divBdr>
      <w:divsChild>
        <w:div w:id="2096003172">
          <w:marLeft w:val="1980"/>
          <w:marRight w:val="0"/>
          <w:marTop w:val="0"/>
          <w:marBottom w:val="101"/>
          <w:divBdr>
            <w:top w:val="none" w:sz="0" w:space="0" w:color="auto"/>
            <w:left w:val="none" w:sz="0" w:space="0" w:color="auto"/>
            <w:bottom w:val="none" w:sz="0" w:space="0" w:color="auto"/>
            <w:right w:val="none" w:sz="0" w:space="0" w:color="auto"/>
          </w:divBdr>
        </w:div>
        <w:div w:id="865018360">
          <w:marLeft w:val="1980"/>
          <w:marRight w:val="0"/>
          <w:marTop w:val="0"/>
          <w:marBottom w:val="101"/>
          <w:divBdr>
            <w:top w:val="none" w:sz="0" w:space="0" w:color="auto"/>
            <w:left w:val="none" w:sz="0" w:space="0" w:color="auto"/>
            <w:bottom w:val="none" w:sz="0" w:space="0" w:color="auto"/>
            <w:right w:val="none" w:sz="0" w:space="0" w:color="auto"/>
          </w:divBdr>
        </w:div>
        <w:div w:id="1103106811">
          <w:marLeft w:val="1980"/>
          <w:marRight w:val="0"/>
          <w:marTop w:val="0"/>
          <w:marBottom w:val="101"/>
          <w:divBdr>
            <w:top w:val="none" w:sz="0" w:space="0" w:color="auto"/>
            <w:left w:val="none" w:sz="0" w:space="0" w:color="auto"/>
            <w:bottom w:val="none" w:sz="0" w:space="0" w:color="auto"/>
            <w:right w:val="none" w:sz="0" w:space="0" w:color="auto"/>
          </w:divBdr>
        </w:div>
      </w:divsChild>
    </w:div>
    <w:div w:id="1307516979">
      <w:bodyDiv w:val="1"/>
      <w:marLeft w:val="0"/>
      <w:marRight w:val="0"/>
      <w:marTop w:val="0"/>
      <w:marBottom w:val="0"/>
      <w:divBdr>
        <w:top w:val="none" w:sz="0" w:space="0" w:color="auto"/>
        <w:left w:val="none" w:sz="0" w:space="0" w:color="auto"/>
        <w:bottom w:val="none" w:sz="0" w:space="0" w:color="auto"/>
        <w:right w:val="none" w:sz="0" w:space="0" w:color="auto"/>
      </w:divBdr>
      <w:divsChild>
        <w:div w:id="1389954930">
          <w:marLeft w:val="0"/>
          <w:marRight w:val="0"/>
          <w:marTop w:val="101"/>
          <w:marBottom w:val="101"/>
          <w:divBdr>
            <w:top w:val="none" w:sz="0" w:space="0" w:color="auto"/>
            <w:left w:val="none" w:sz="0" w:space="0" w:color="auto"/>
            <w:bottom w:val="none" w:sz="0" w:space="0" w:color="auto"/>
            <w:right w:val="none" w:sz="0" w:space="0" w:color="auto"/>
          </w:divBdr>
        </w:div>
        <w:div w:id="753354156">
          <w:marLeft w:val="0"/>
          <w:marRight w:val="0"/>
          <w:marTop w:val="0"/>
          <w:marBottom w:val="101"/>
          <w:divBdr>
            <w:top w:val="none" w:sz="0" w:space="0" w:color="auto"/>
            <w:left w:val="none" w:sz="0" w:space="0" w:color="auto"/>
            <w:bottom w:val="none" w:sz="0" w:space="0" w:color="auto"/>
            <w:right w:val="none" w:sz="0" w:space="0" w:color="auto"/>
          </w:divBdr>
        </w:div>
        <w:div w:id="93867054">
          <w:marLeft w:val="0"/>
          <w:marRight w:val="0"/>
          <w:marTop w:val="0"/>
          <w:marBottom w:val="101"/>
          <w:divBdr>
            <w:top w:val="none" w:sz="0" w:space="0" w:color="auto"/>
            <w:left w:val="none" w:sz="0" w:space="0" w:color="auto"/>
            <w:bottom w:val="none" w:sz="0" w:space="0" w:color="auto"/>
            <w:right w:val="none" w:sz="0" w:space="0" w:color="auto"/>
          </w:divBdr>
        </w:div>
        <w:div w:id="617639700">
          <w:marLeft w:val="0"/>
          <w:marRight w:val="0"/>
          <w:marTop w:val="0"/>
          <w:marBottom w:val="101"/>
          <w:divBdr>
            <w:top w:val="none" w:sz="0" w:space="0" w:color="auto"/>
            <w:left w:val="none" w:sz="0" w:space="0" w:color="auto"/>
            <w:bottom w:val="none" w:sz="0" w:space="0" w:color="auto"/>
            <w:right w:val="none" w:sz="0" w:space="0" w:color="auto"/>
          </w:divBdr>
        </w:div>
        <w:div w:id="1953632262">
          <w:marLeft w:val="0"/>
          <w:marRight w:val="0"/>
          <w:marTop w:val="0"/>
          <w:marBottom w:val="101"/>
          <w:divBdr>
            <w:top w:val="none" w:sz="0" w:space="0" w:color="auto"/>
            <w:left w:val="none" w:sz="0" w:space="0" w:color="auto"/>
            <w:bottom w:val="none" w:sz="0" w:space="0" w:color="auto"/>
            <w:right w:val="none" w:sz="0" w:space="0" w:color="auto"/>
          </w:divBdr>
        </w:div>
        <w:div w:id="955331903">
          <w:marLeft w:val="0"/>
          <w:marRight w:val="0"/>
          <w:marTop w:val="0"/>
          <w:marBottom w:val="101"/>
          <w:divBdr>
            <w:top w:val="none" w:sz="0" w:space="0" w:color="auto"/>
            <w:left w:val="none" w:sz="0" w:space="0" w:color="auto"/>
            <w:bottom w:val="none" w:sz="0" w:space="0" w:color="auto"/>
            <w:right w:val="none" w:sz="0" w:space="0" w:color="auto"/>
          </w:divBdr>
        </w:div>
        <w:div w:id="1421413147">
          <w:marLeft w:val="0"/>
          <w:marRight w:val="0"/>
          <w:marTop w:val="0"/>
          <w:marBottom w:val="101"/>
          <w:divBdr>
            <w:top w:val="none" w:sz="0" w:space="0" w:color="auto"/>
            <w:left w:val="none" w:sz="0" w:space="0" w:color="auto"/>
            <w:bottom w:val="none" w:sz="0" w:space="0" w:color="auto"/>
            <w:right w:val="none" w:sz="0" w:space="0" w:color="auto"/>
          </w:divBdr>
        </w:div>
        <w:div w:id="98835571">
          <w:marLeft w:val="0"/>
          <w:marRight w:val="0"/>
          <w:marTop w:val="0"/>
          <w:marBottom w:val="101"/>
          <w:divBdr>
            <w:top w:val="none" w:sz="0" w:space="0" w:color="auto"/>
            <w:left w:val="none" w:sz="0" w:space="0" w:color="auto"/>
            <w:bottom w:val="none" w:sz="0" w:space="0" w:color="auto"/>
            <w:right w:val="none" w:sz="0" w:space="0" w:color="auto"/>
          </w:divBdr>
        </w:div>
        <w:div w:id="1813866690">
          <w:marLeft w:val="0"/>
          <w:marRight w:val="0"/>
          <w:marTop w:val="0"/>
          <w:marBottom w:val="101"/>
          <w:divBdr>
            <w:top w:val="none" w:sz="0" w:space="0" w:color="auto"/>
            <w:left w:val="none" w:sz="0" w:space="0" w:color="auto"/>
            <w:bottom w:val="none" w:sz="0" w:space="0" w:color="auto"/>
            <w:right w:val="none" w:sz="0" w:space="0" w:color="auto"/>
          </w:divBdr>
        </w:div>
        <w:div w:id="1941722948">
          <w:marLeft w:val="0"/>
          <w:marRight w:val="0"/>
          <w:marTop w:val="0"/>
          <w:marBottom w:val="101"/>
          <w:divBdr>
            <w:top w:val="none" w:sz="0" w:space="0" w:color="auto"/>
            <w:left w:val="none" w:sz="0" w:space="0" w:color="auto"/>
            <w:bottom w:val="none" w:sz="0" w:space="0" w:color="auto"/>
            <w:right w:val="none" w:sz="0" w:space="0" w:color="auto"/>
          </w:divBdr>
        </w:div>
        <w:div w:id="2086872990">
          <w:marLeft w:val="0"/>
          <w:marRight w:val="0"/>
          <w:marTop w:val="0"/>
          <w:marBottom w:val="101"/>
          <w:divBdr>
            <w:top w:val="none" w:sz="0" w:space="0" w:color="auto"/>
            <w:left w:val="none" w:sz="0" w:space="0" w:color="auto"/>
            <w:bottom w:val="none" w:sz="0" w:space="0" w:color="auto"/>
            <w:right w:val="none" w:sz="0" w:space="0" w:color="auto"/>
          </w:divBdr>
        </w:div>
        <w:div w:id="1701398545">
          <w:marLeft w:val="0"/>
          <w:marRight w:val="0"/>
          <w:marTop w:val="0"/>
          <w:marBottom w:val="101"/>
          <w:divBdr>
            <w:top w:val="none" w:sz="0" w:space="0" w:color="auto"/>
            <w:left w:val="none" w:sz="0" w:space="0" w:color="auto"/>
            <w:bottom w:val="none" w:sz="0" w:space="0" w:color="auto"/>
            <w:right w:val="none" w:sz="0" w:space="0" w:color="auto"/>
          </w:divBdr>
        </w:div>
      </w:divsChild>
    </w:div>
    <w:div w:id="1454860205">
      <w:bodyDiv w:val="1"/>
      <w:marLeft w:val="0"/>
      <w:marRight w:val="0"/>
      <w:marTop w:val="0"/>
      <w:marBottom w:val="0"/>
      <w:divBdr>
        <w:top w:val="none" w:sz="0" w:space="0" w:color="auto"/>
        <w:left w:val="none" w:sz="0" w:space="0" w:color="auto"/>
        <w:bottom w:val="none" w:sz="0" w:space="0" w:color="auto"/>
        <w:right w:val="none" w:sz="0" w:space="0" w:color="auto"/>
      </w:divBdr>
      <w:divsChild>
        <w:div w:id="1506552025">
          <w:marLeft w:val="1980"/>
          <w:marRight w:val="0"/>
          <w:marTop w:val="0"/>
          <w:marBottom w:val="80"/>
          <w:divBdr>
            <w:top w:val="none" w:sz="0" w:space="0" w:color="auto"/>
            <w:left w:val="none" w:sz="0" w:space="0" w:color="auto"/>
            <w:bottom w:val="none" w:sz="0" w:space="0" w:color="auto"/>
            <w:right w:val="none" w:sz="0" w:space="0" w:color="auto"/>
          </w:divBdr>
        </w:div>
        <w:div w:id="516433261">
          <w:marLeft w:val="1980"/>
          <w:marRight w:val="0"/>
          <w:marTop w:val="0"/>
          <w:marBottom w:val="101"/>
          <w:divBdr>
            <w:top w:val="none" w:sz="0" w:space="0" w:color="auto"/>
            <w:left w:val="none" w:sz="0" w:space="0" w:color="auto"/>
            <w:bottom w:val="none" w:sz="0" w:space="0" w:color="auto"/>
            <w:right w:val="none" w:sz="0" w:space="0" w:color="auto"/>
          </w:divBdr>
        </w:div>
      </w:divsChild>
    </w:div>
    <w:div w:id="1589340752">
      <w:bodyDiv w:val="1"/>
      <w:marLeft w:val="0"/>
      <w:marRight w:val="0"/>
      <w:marTop w:val="0"/>
      <w:marBottom w:val="0"/>
      <w:divBdr>
        <w:top w:val="none" w:sz="0" w:space="0" w:color="auto"/>
        <w:left w:val="none" w:sz="0" w:space="0" w:color="auto"/>
        <w:bottom w:val="none" w:sz="0" w:space="0" w:color="auto"/>
        <w:right w:val="none" w:sz="0" w:space="0" w:color="auto"/>
      </w:divBdr>
      <w:divsChild>
        <w:div w:id="1458916958">
          <w:marLeft w:val="1980"/>
          <w:marRight w:val="0"/>
          <w:marTop w:val="0"/>
          <w:marBottom w:val="80"/>
          <w:divBdr>
            <w:top w:val="none" w:sz="0" w:space="0" w:color="auto"/>
            <w:left w:val="none" w:sz="0" w:space="0" w:color="auto"/>
            <w:bottom w:val="none" w:sz="0" w:space="0" w:color="auto"/>
            <w:right w:val="none" w:sz="0" w:space="0" w:color="auto"/>
          </w:divBdr>
        </w:div>
        <w:div w:id="291374990">
          <w:marLeft w:val="1980"/>
          <w:marRight w:val="0"/>
          <w:marTop w:val="0"/>
          <w:marBottom w:val="80"/>
          <w:divBdr>
            <w:top w:val="none" w:sz="0" w:space="0" w:color="auto"/>
            <w:left w:val="none" w:sz="0" w:space="0" w:color="auto"/>
            <w:bottom w:val="none" w:sz="0" w:space="0" w:color="auto"/>
            <w:right w:val="none" w:sz="0" w:space="0" w:color="auto"/>
          </w:divBdr>
        </w:div>
      </w:divsChild>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sChild>
        <w:div w:id="195316491">
          <w:marLeft w:val="1980"/>
          <w:marRight w:val="0"/>
          <w:marTop w:val="0"/>
          <w:marBottom w:val="101"/>
          <w:divBdr>
            <w:top w:val="none" w:sz="0" w:space="0" w:color="auto"/>
            <w:left w:val="none" w:sz="0" w:space="0" w:color="auto"/>
            <w:bottom w:val="none" w:sz="0" w:space="0" w:color="auto"/>
            <w:right w:val="none" w:sz="0" w:space="0" w:color="auto"/>
          </w:divBdr>
        </w:div>
        <w:div w:id="143393321">
          <w:marLeft w:val="1980"/>
          <w:marRight w:val="0"/>
          <w:marTop w:val="0"/>
          <w:marBottom w:val="101"/>
          <w:divBdr>
            <w:top w:val="none" w:sz="0" w:space="0" w:color="auto"/>
            <w:left w:val="none" w:sz="0" w:space="0" w:color="auto"/>
            <w:bottom w:val="none" w:sz="0" w:space="0" w:color="auto"/>
            <w:right w:val="none" w:sz="0" w:space="0" w:color="auto"/>
          </w:divBdr>
        </w:div>
        <w:div w:id="1663505813">
          <w:marLeft w:val="1980"/>
          <w:marRight w:val="0"/>
          <w:marTop w:val="0"/>
          <w:marBottom w:val="101"/>
          <w:divBdr>
            <w:top w:val="none" w:sz="0" w:space="0" w:color="auto"/>
            <w:left w:val="none" w:sz="0" w:space="0" w:color="auto"/>
            <w:bottom w:val="none" w:sz="0" w:space="0" w:color="auto"/>
            <w:right w:val="none" w:sz="0" w:space="0" w:color="auto"/>
          </w:divBdr>
        </w:div>
      </w:divsChild>
    </w:div>
    <w:div w:id="2037540271">
      <w:bodyDiv w:val="1"/>
      <w:marLeft w:val="0"/>
      <w:marRight w:val="0"/>
      <w:marTop w:val="0"/>
      <w:marBottom w:val="0"/>
      <w:divBdr>
        <w:top w:val="none" w:sz="0" w:space="0" w:color="auto"/>
        <w:left w:val="none" w:sz="0" w:space="0" w:color="auto"/>
        <w:bottom w:val="none" w:sz="0" w:space="0" w:color="auto"/>
        <w:right w:val="none" w:sz="0" w:space="0" w:color="auto"/>
      </w:divBdr>
      <w:divsChild>
        <w:div w:id="13504094">
          <w:marLeft w:val="0"/>
          <w:marRight w:val="0"/>
          <w:marTop w:val="101"/>
          <w:marBottom w:val="101"/>
          <w:divBdr>
            <w:top w:val="none" w:sz="0" w:space="0" w:color="auto"/>
            <w:left w:val="none" w:sz="0" w:space="0" w:color="auto"/>
            <w:bottom w:val="none" w:sz="0" w:space="0" w:color="auto"/>
            <w:right w:val="none" w:sz="0" w:space="0" w:color="auto"/>
          </w:divBdr>
        </w:div>
        <w:div w:id="779298812">
          <w:marLeft w:val="0"/>
          <w:marRight w:val="0"/>
          <w:marTop w:val="0"/>
          <w:marBottom w:val="101"/>
          <w:divBdr>
            <w:top w:val="none" w:sz="0" w:space="0" w:color="auto"/>
            <w:left w:val="none" w:sz="0" w:space="0" w:color="auto"/>
            <w:bottom w:val="none" w:sz="0" w:space="0" w:color="auto"/>
            <w:right w:val="none" w:sz="0" w:space="0" w:color="auto"/>
          </w:divBdr>
        </w:div>
        <w:div w:id="59595535">
          <w:marLeft w:val="0"/>
          <w:marRight w:val="0"/>
          <w:marTop w:val="0"/>
          <w:marBottom w:val="101"/>
          <w:divBdr>
            <w:top w:val="none" w:sz="0" w:space="0" w:color="auto"/>
            <w:left w:val="none" w:sz="0" w:space="0" w:color="auto"/>
            <w:bottom w:val="none" w:sz="0" w:space="0" w:color="auto"/>
            <w:right w:val="none" w:sz="0" w:space="0" w:color="auto"/>
          </w:divBdr>
        </w:div>
      </w:divsChild>
    </w:div>
    <w:div w:id="2101019145">
      <w:bodyDiv w:val="1"/>
      <w:marLeft w:val="0"/>
      <w:marRight w:val="0"/>
      <w:marTop w:val="0"/>
      <w:marBottom w:val="0"/>
      <w:divBdr>
        <w:top w:val="none" w:sz="0" w:space="0" w:color="auto"/>
        <w:left w:val="none" w:sz="0" w:space="0" w:color="auto"/>
        <w:bottom w:val="none" w:sz="0" w:space="0" w:color="auto"/>
        <w:right w:val="none" w:sz="0" w:space="0" w:color="auto"/>
      </w:divBdr>
      <w:divsChild>
        <w:div w:id="69156102">
          <w:marLeft w:val="0"/>
          <w:marRight w:val="0"/>
          <w:marTop w:val="101"/>
          <w:marBottom w:val="101"/>
          <w:divBdr>
            <w:top w:val="none" w:sz="0" w:space="0" w:color="auto"/>
            <w:left w:val="none" w:sz="0" w:space="0" w:color="auto"/>
            <w:bottom w:val="none" w:sz="0" w:space="0" w:color="auto"/>
            <w:right w:val="none" w:sz="0" w:space="0" w:color="auto"/>
          </w:divBdr>
        </w:div>
        <w:div w:id="912468656">
          <w:marLeft w:val="0"/>
          <w:marRight w:val="0"/>
          <w:marTop w:val="0"/>
          <w:marBottom w:val="101"/>
          <w:divBdr>
            <w:top w:val="none" w:sz="0" w:space="0" w:color="auto"/>
            <w:left w:val="none" w:sz="0" w:space="0" w:color="auto"/>
            <w:bottom w:val="none" w:sz="0" w:space="0" w:color="auto"/>
            <w:right w:val="none" w:sz="0" w:space="0" w:color="auto"/>
          </w:divBdr>
        </w:div>
        <w:div w:id="907619278">
          <w:marLeft w:val="0"/>
          <w:marRight w:val="0"/>
          <w:marTop w:val="0"/>
          <w:marBottom w:val="101"/>
          <w:divBdr>
            <w:top w:val="none" w:sz="0" w:space="0" w:color="auto"/>
            <w:left w:val="none" w:sz="0" w:space="0" w:color="auto"/>
            <w:bottom w:val="none" w:sz="0" w:space="0" w:color="auto"/>
            <w:right w:val="none" w:sz="0" w:space="0" w:color="auto"/>
          </w:divBdr>
        </w:div>
        <w:div w:id="59638406">
          <w:marLeft w:val="0"/>
          <w:marRight w:val="0"/>
          <w:marTop w:val="0"/>
          <w:marBottom w:val="101"/>
          <w:divBdr>
            <w:top w:val="none" w:sz="0" w:space="0" w:color="auto"/>
            <w:left w:val="none" w:sz="0" w:space="0" w:color="auto"/>
            <w:bottom w:val="none" w:sz="0" w:space="0" w:color="auto"/>
            <w:right w:val="none" w:sz="0" w:space="0" w:color="auto"/>
          </w:divBdr>
        </w:div>
        <w:div w:id="1209729812">
          <w:marLeft w:val="0"/>
          <w:marRight w:val="0"/>
          <w:marTop w:val="0"/>
          <w:marBottom w:val="101"/>
          <w:divBdr>
            <w:top w:val="none" w:sz="0" w:space="0" w:color="auto"/>
            <w:left w:val="none" w:sz="0" w:space="0" w:color="auto"/>
            <w:bottom w:val="none" w:sz="0" w:space="0" w:color="auto"/>
            <w:right w:val="none" w:sz="0" w:space="0" w:color="auto"/>
          </w:divBdr>
        </w:div>
        <w:div w:id="590046366">
          <w:marLeft w:val="0"/>
          <w:marRight w:val="0"/>
          <w:marTop w:val="0"/>
          <w:marBottom w:val="101"/>
          <w:divBdr>
            <w:top w:val="none" w:sz="0" w:space="0" w:color="auto"/>
            <w:left w:val="none" w:sz="0" w:space="0" w:color="auto"/>
            <w:bottom w:val="none" w:sz="0" w:space="0" w:color="auto"/>
            <w:right w:val="none" w:sz="0" w:space="0" w:color="auto"/>
          </w:divBdr>
        </w:div>
        <w:div w:id="516314469">
          <w:marLeft w:val="0"/>
          <w:marRight w:val="0"/>
          <w:marTop w:val="0"/>
          <w:marBottom w:val="101"/>
          <w:divBdr>
            <w:top w:val="none" w:sz="0" w:space="0" w:color="auto"/>
            <w:left w:val="none" w:sz="0" w:space="0" w:color="auto"/>
            <w:bottom w:val="none" w:sz="0" w:space="0" w:color="auto"/>
            <w:right w:val="none" w:sz="0" w:space="0" w:color="auto"/>
          </w:divBdr>
        </w:div>
        <w:div w:id="887301092">
          <w:marLeft w:val="0"/>
          <w:marRight w:val="0"/>
          <w:marTop w:val="0"/>
          <w:marBottom w:val="101"/>
          <w:divBdr>
            <w:top w:val="none" w:sz="0" w:space="0" w:color="auto"/>
            <w:left w:val="none" w:sz="0" w:space="0" w:color="auto"/>
            <w:bottom w:val="none" w:sz="0" w:space="0" w:color="auto"/>
            <w:right w:val="none" w:sz="0" w:space="0" w:color="auto"/>
          </w:divBdr>
        </w:div>
        <w:div w:id="2087878140">
          <w:marLeft w:val="0"/>
          <w:marRight w:val="0"/>
          <w:marTop w:val="0"/>
          <w:marBottom w:val="101"/>
          <w:divBdr>
            <w:top w:val="none" w:sz="0" w:space="0" w:color="auto"/>
            <w:left w:val="none" w:sz="0" w:space="0" w:color="auto"/>
            <w:bottom w:val="none" w:sz="0" w:space="0" w:color="auto"/>
            <w:right w:val="none" w:sz="0" w:space="0" w:color="auto"/>
          </w:divBdr>
        </w:div>
        <w:div w:id="1523282564">
          <w:marLeft w:val="0"/>
          <w:marRight w:val="0"/>
          <w:marTop w:val="0"/>
          <w:marBottom w:val="101"/>
          <w:divBdr>
            <w:top w:val="none" w:sz="0" w:space="0" w:color="auto"/>
            <w:left w:val="none" w:sz="0" w:space="0" w:color="auto"/>
            <w:bottom w:val="none" w:sz="0" w:space="0" w:color="auto"/>
            <w:right w:val="none" w:sz="0" w:space="0" w:color="auto"/>
          </w:divBdr>
        </w:div>
        <w:div w:id="1597784490">
          <w:marLeft w:val="0"/>
          <w:marRight w:val="0"/>
          <w:marTop w:val="0"/>
          <w:marBottom w:val="101"/>
          <w:divBdr>
            <w:top w:val="none" w:sz="0" w:space="0" w:color="auto"/>
            <w:left w:val="none" w:sz="0" w:space="0" w:color="auto"/>
            <w:bottom w:val="none" w:sz="0" w:space="0" w:color="auto"/>
            <w:right w:val="none" w:sz="0" w:space="0" w:color="auto"/>
          </w:divBdr>
        </w:div>
        <w:div w:id="7178203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f.gob.mx/nota_detalle.php?codigo=5738654&amp;fecha=10/09/2024" TargetMode="External"/><Relationship Id="rId18" Type="http://schemas.openxmlformats.org/officeDocument/2006/relationships/hyperlink" Target="https://www.dof.gob.mx/nota_detalle.php?codigo=5738654&amp;fecha=10/09/2024" TargetMode="External"/><Relationship Id="rId26" Type="http://schemas.openxmlformats.org/officeDocument/2006/relationships/hyperlink" Target="https://www.dof.gob.mx/nota_detalle.php?codigo=5738654&amp;fecha=10/09/2024" TargetMode="External"/><Relationship Id="rId39" Type="http://schemas.openxmlformats.org/officeDocument/2006/relationships/footer" Target="footer1.xml"/><Relationship Id="rId21" Type="http://schemas.openxmlformats.org/officeDocument/2006/relationships/hyperlink" Target="https://www.dof.gob.mx/nota_detalle.php?codigo=5738654&amp;fecha=10/09/2024" TargetMode="External"/><Relationship Id="rId34" Type="http://schemas.openxmlformats.org/officeDocument/2006/relationships/hyperlink" Target="https://www.dof.gob.mx/nota_detalle.php?codigo=5738654&amp;fecha=10/09/2024"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f.gob.mx/nota_detalle.php?codigo=5738654&amp;fecha=10/09/2024" TargetMode="External"/><Relationship Id="rId20" Type="http://schemas.openxmlformats.org/officeDocument/2006/relationships/hyperlink" Target="https://www.dof.gob.mx/nota_detalle.php?codigo=5738654&amp;fecha=10/09/2024" TargetMode="External"/><Relationship Id="rId29" Type="http://schemas.openxmlformats.org/officeDocument/2006/relationships/hyperlink" Target="https://www.dof.gob.mx/nota_detalle.php?codigo=5738654&amp;fecha=10/09/2024"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481920&amp;fecha=09/05/2017" TargetMode="External"/><Relationship Id="rId24" Type="http://schemas.openxmlformats.org/officeDocument/2006/relationships/hyperlink" Target="https://www.dof.gob.mx/nota_detalle.php?codigo=5738654&amp;fecha=10/09/2024" TargetMode="External"/><Relationship Id="rId32" Type="http://schemas.openxmlformats.org/officeDocument/2006/relationships/hyperlink" Target="https://www.dof.gob.mx/nota_detalle.php?codigo=5738654&amp;fecha=10/09/2024"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dof.gob.mx/nota_detalle.php?codigo=5738654&amp;fecha=10/09/2024" TargetMode="External"/><Relationship Id="rId23" Type="http://schemas.openxmlformats.org/officeDocument/2006/relationships/hyperlink" Target="https://www.dof.gob.mx/nota_detalle.php?codigo=5738654&amp;fecha=10/09/2024" TargetMode="External"/><Relationship Id="rId28" Type="http://schemas.openxmlformats.org/officeDocument/2006/relationships/hyperlink" Target="https://www.dof.gob.mx/nota_detalle.php?codigo=5738654&amp;fecha=10/09/2024" TargetMode="External"/><Relationship Id="rId36" Type="http://schemas.openxmlformats.org/officeDocument/2006/relationships/hyperlink" Target="https://www.dof.gob.mx/nota_detalle.php?codigo=5738654&amp;fecha=10/09/2024" TargetMode="External"/><Relationship Id="rId10" Type="http://schemas.openxmlformats.org/officeDocument/2006/relationships/endnotes" Target="endnotes.xml"/><Relationship Id="rId19" Type="http://schemas.openxmlformats.org/officeDocument/2006/relationships/hyperlink" Target="https://www.dof.gob.mx/nota_detalle.php?codigo=5738654&amp;fecha=10/09/2024" TargetMode="External"/><Relationship Id="rId31" Type="http://schemas.openxmlformats.org/officeDocument/2006/relationships/hyperlink" Target="https://www.dof.gob.mx/nota_detalle.php?codigo=5738654&amp;fecha=10/09/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f.gob.mx/nota_detalle.php?codigo=5738654&amp;fecha=10/09/2024" TargetMode="External"/><Relationship Id="rId22" Type="http://schemas.openxmlformats.org/officeDocument/2006/relationships/hyperlink" Target="https://www.dof.gob.mx/nota_detalle.php?codigo=5738654&amp;fecha=10/09/2024" TargetMode="External"/><Relationship Id="rId27" Type="http://schemas.openxmlformats.org/officeDocument/2006/relationships/hyperlink" Target="https://www.dof.gob.mx/nota_detalle.php?codigo=5738654&amp;fecha=10/09/2024" TargetMode="External"/><Relationship Id="rId30" Type="http://schemas.openxmlformats.org/officeDocument/2006/relationships/hyperlink" Target="https://www.dof.gob.mx/nota_detalle.php?codigo=5738654&amp;fecha=10/09/2024" TargetMode="External"/><Relationship Id="rId35" Type="http://schemas.openxmlformats.org/officeDocument/2006/relationships/hyperlink" Target="https://www.dof.gob.mx/nota_detalle.php?codigo=5738654&amp;fecha=10/09/2024"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f.gob.mx/nota_detalle.php?codigo=5738654&amp;fecha=10/09/2024" TargetMode="External"/><Relationship Id="rId17" Type="http://schemas.openxmlformats.org/officeDocument/2006/relationships/hyperlink" Target="https://www.dof.gob.mx/nota_detalle.php?codigo=5738654&amp;fecha=10/09/2024" TargetMode="External"/><Relationship Id="rId25" Type="http://schemas.openxmlformats.org/officeDocument/2006/relationships/image" Target="media/image1.png"/><Relationship Id="rId33" Type="http://schemas.openxmlformats.org/officeDocument/2006/relationships/hyperlink" Target="https://www.dof.gob.mx/nota_detalle.php?codigo=5738654&amp;fecha=10/09/2024"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1" ma:contentTypeDescription="Crear nuevo documento." ma:contentTypeScope="" ma:versionID="07a0a21e02fe841e6d63c7f21d602141">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fbae566ba4ea3f0b99ba07c478581933"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1CC3F-9549-40D8-9E5C-7AE2F9ADCA22}">
  <ds:schemaRefs>
    <ds:schemaRef ds:uri="http://schemas.microsoft.com/sharepoint/v3/contenttype/forms"/>
  </ds:schemaRefs>
</ds:datastoreItem>
</file>

<file path=customXml/itemProps2.xml><?xml version="1.0" encoding="utf-8"?>
<ds:datastoreItem xmlns:ds="http://schemas.openxmlformats.org/officeDocument/2006/customXml" ds:itemID="{99A781F2-AE4B-4814-B269-92053F2B99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C5F214-4F35-40C5-8D7F-60A3C89820D4}">
  <ds:schemaRefs>
    <ds:schemaRef ds:uri="http://schemas.openxmlformats.org/officeDocument/2006/bibliography"/>
  </ds:schemaRefs>
</ds:datastoreItem>
</file>

<file path=customXml/itemProps4.xml><?xml version="1.0" encoding="utf-8"?>
<ds:datastoreItem xmlns:ds="http://schemas.openxmlformats.org/officeDocument/2006/customXml" ds:itemID="{DB7004B6-38E1-4CAD-9358-AA7CF305D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4377</Words>
  <Characters>24078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Carolina Sanchez Alquicira</cp:lastModifiedBy>
  <cp:revision>6</cp:revision>
  <dcterms:created xsi:type="dcterms:W3CDTF">2022-09-05T18:53:00Z</dcterms:created>
  <dcterms:modified xsi:type="dcterms:W3CDTF">2024-09-13T00:43:00Z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