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BE401" w14:textId="77777777" w:rsidR="006166DB" w:rsidRPr="000F43C9"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F43C9">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0F43C9" w14:paraId="1B2E1BC8" w14:textId="77777777" w:rsidTr="00DF074B">
        <w:tc>
          <w:tcPr>
            <w:tcW w:w="8828" w:type="dxa"/>
          </w:tcPr>
          <w:p w14:paraId="5E631BCB" w14:textId="6AC8A7CD" w:rsidR="006166DB" w:rsidRPr="000F43C9" w:rsidRDefault="008D0C52" w:rsidP="002C29EE">
            <w:pPr>
              <w:contextualSpacing/>
              <w:mirrorIndents/>
              <w:jc w:val="both"/>
              <w:rPr>
                <w:rFonts w:ascii="ITC Avant Garde" w:hAnsi="ITC Avant Garde"/>
                <w:color w:val="000000" w:themeColor="text1"/>
                <w:sz w:val="21"/>
                <w:szCs w:val="21"/>
              </w:rPr>
            </w:pPr>
            <w:r w:rsidRPr="000F43C9">
              <w:rPr>
                <w:rFonts w:ascii="ITC Avant Garde" w:hAnsi="ITC Avant Garde"/>
                <w:color w:val="000000" w:themeColor="text1"/>
                <w:sz w:val="21"/>
                <w:szCs w:val="21"/>
              </w:rPr>
              <w:t>Acuerdo mediante el cual el Pleno del Instituto Federal de Telecomunicaciones aprueba el Cuadro Nacional de Atribución de Frecuencias.</w:t>
            </w:r>
          </w:p>
        </w:tc>
      </w:tr>
    </w:tbl>
    <w:p w14:paraId="52EC83BF" w14:textId="77777777" w:rsidR="006166DB" w:rsidRPr="000F43C9"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0F43C9"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F43C9">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0F43C9" w14:paraId="454C3A95" w14:textId="77777777" w:rsidTr="00DF074B">
        <w:tc>
          <w:tcPr>
            <w:tcW w:w="8828" w:type="dxa"/>
          </w:tcPr>
          <w:p w14:paraId="1A68E5FF" w14:textId="677A93E7" w:rsidR="006166DB" w:rsidRPr="000F43C9" w:rsidRDefault="006166DB" w:rsidP="002434FF">
            <w:pPr>
              <w:contextualSpacing/>
              <w:mirrorIndents/>
              <w:rPr>
                <w:rStyle w:val="Estilo4"/>
                <w:rFonts w:ascii="ITC Avant Garde" w:hAnsi="ITC Avant Garde"/>
                <w:sz w:val="21"/>
                <w:szCs w:val="21"/>
              </w:rPr>
            </w:pPr>
            <w:r w:rsidRPr="000F43C9">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5-09-23T00:00:00Z">
                  <w:dateFormat w:val="dd/MM/yyyy"/>
                  <w:lid w:val="es-MX"/>
                  <w:storeMappedDataAs w:val="dateTime"/>
                  <w:calendar w:val="gregorian"/>
                </w:date>
              </w:sdtPr>
              <w:sdtEndPr>
                <w:rPr>
                  <w:rStyle w:val="Estilo4"/>
                </w:rPr>
              </w:sdtEndPr>
              <w:sdtContent>
                <w:r w:rsidR="008D0C52" w:rsidRPr="000F43C9">
                  <w:rPr>
                    <w:rStyle w:val="Estilo4"/>
                    <w:rFonts w:ascii="ITC Avant Garde" w:hAnsi="ITC Avant Garde"/>
                    <w:sz w:val="21"/>
                    <w:szCs w:val="21"/>
                  </w:rPr>
                  <w:t>23</w:t>
                </w:r>
                <w:r w:rsidR="00AF71CC" w:rsidRPr="000F43C9">
                  <w:rPr>
                    <w:rStyle w:val="Estilo4"/>
                    <w:rFonts w:ascii="ITC Avant Garde" w:hAnsi="ITC Avant Garde"/>
                    <w:sz w:val="21"/>
                    <w:szCs w:val="21"/>
                  </w:rPr>
                  <w:t>/0</w:t>
                </w:r>
                <w:r w:rsidR="008D0C52" w:rsidRPr="000F43C9">
                  <w:rPr>
                    <w:rStyle w:val="Estilo4"/>
                    <w:rFonts w:ascii="ITC Avant Garde" w:hAnsi="ITC Avant Garde"/>
                    <w:sz w:val="21"/>
                    <w:szCs w:val="21"/>
                  </w:rPr>
                  <w:t>9</w:t>
                </w:r>
                <w:r w:rsidR="0092333A" w:rsidRPr="000F43C9">
                  <w:rPr>
                    <w:rStyle w:val="Estilo4"/>
                    <w:rFonts w:ascii="ITC Avant Garde" w:hAnsi="ITC Avant Garde"/>
                    <w:sz w:val="21"/>
                    <w:szCs w:val="21"/>
                  </w:rPr>
                  <w:t>/201</w:t>
                </w:r>
                <w:r w:rsidR="008D0C52" w:rsidRPr="000F43C9">
                  <w:rPr>
                    <w:rStyle w:val="Estilo4"/>
                    <w:rFonts w:ascii="ITC Avant Garde" w:hAnsi="ITC Avant Garde"/>
                    <w:sz w:val="21"/>
                    <w:szCs w:val="21"/>
                  </w:rPr>
                  <w:t>5</w:t>
                </w:r>
              </w:sdtContent>
            </w:sdt>
          </w:p>
        </w:tc>
      </w:tr>
      <w:tr w:rsidR="003F1D7B" w:rsidRPr="000F43C9" w14:paraId="098151CF" w14:textId="77777777" w:rsidTr="00DF074B">
        <w:tc>
          <w:tcPr>
            <w:tcW w:w="8828" w:type="dxa"/>
          </w:tcPr>
          <w:p w14:paraId="07D4CB20" w14:textId="4F1D7E98" w:rsidR="003F1D7B" w:rsidRPr="000F43C9" w:rsidRDefault="003F1D7B" w:rsidP="003F1D7B">
            <w:pPr>
              <w:contextualSpacing/>
              <w:mirrorIndents/>
              <w:rPr>
                <w:rStyle w:val="Estilo4"/>
                <w:rFonts w:ascii="ITC Avant Garde" w:hAnsi="ITC Avant Garde"/>
                <w:sz w:val="21"/>
                <w:szCs w:val="21"/>
              </w:rPr>
            </w:pPr>
            <w:r w:rsidRPr="000F43C9">
              <w:rPr>
                <w:rStyle w:val="Estilo4"/>
                <w:rFonts w:ascii="ITC Avant Garde" w:hAnsi="ITC Avant Garde"/>
                <w:sz w:val="21"/>
                <w:szCs w:val="21"/>
              </w:rPr>
              <w:t xml:space="preserve">Fecha de publicación en el DOF: </w:t>
            </w:r>
            <w:r w:rsidR="008D0C52" w:rsidRPr="000F43C9">
              <w:rPr>
                <w:rStyle w:val="Estilo4"/>
                <w:rFonts w:ascii="ITC Avant Garde" w:hAnsi="ITC Avant Garde"/>
                <w:sz w:val="21"/>
                <w:szCs w:val="21"/>
              </w:rPr>
              <w:t>20</w:t>
            </w:r>
            <w:r w:rsidRPr="000F43C9">
              <w:rPr>
                <w:rStyle w:val="Estilo4"/>
                <w:rFonts w:ascii="ITC Avant Garde" w:hAnsi="ITC Avant Garde"/>
                <w:sz w:val="21"/>
                <w:szCs w:val="21"/>
              </w:rPr>
              <w:t>/</w:t>
            </w:r>
            <w:r w:rsidR="008D0C52" w:rsidRPr="000F43C9">
              <w:rPr>
                <w:rStyle w:val="Estilo4"/>
                <w:rFonts w:ascii="ITC Avant Garde" w:hAnsi="ITC Avant Garde"/>
                <w:sz w:val="21"/>
                <w:szCs w:val="21"/>
              </w:rPr>
              <w:t>10</w:t>
            </w:r>
            <w:r w:rsidRPr="000F43C9">
              <w:rPr>
                <w:rStyle w:val="Estilo4"/>
                <w:rFonts w:ascii="ITC Avant Garde" w:hAnsi="ITC Avant Garde"/>
                <w:sz w:val="21"/>
                <w:szCs w:val="21"/>
              </w:rPr>
              <w:t>/201</w:t>
            </w:r>
            <w:r w:rsidR="008D0C52" w:rsidRPr="000F43C9">
              <w:rPr>
                <w:rStyle w:val="Estilo4"/>
                <w:rFonts w:ascii="ITC Avant Garde" w:hAnsi="ITC Avant Garde"/>
                <w:sz w:val="21"/>
                <w:szCs w:val="21"/>
              </w:rPr>
              <w:t>5</w:t>
            </w:r>
            <w:r w:rsidRPr="000F43C9">
              <w:rPr>
                <w:rStyle w:val="Estilo4"/>
                <w:rFonts w:ascii="ITC Avant Garde" w:hAnsi="ITC Avant Garde"/>
                <w:sz w:val="21"/>
                <w:szCs w:val="21"/>
              </w:rPr>
              <w:t xml:space="preserve"> </w:t>
            </w:r>
          </w:p>
        </w:tc>
      </w:tr>
      <w:tr w:rsidR="00DF074B" w:rsidRPr="000F43C9" w14:paraId="784A8897" w14:textId="77777777" w:rsidTr="00DF074B">
        <w:tc>
          <w:tcPr>
            <w:tcW w:w="8828" w:type="dxa"/>
          </w:tcPr>
          <w:p w14:paraId="335C558B" w14:textId="29FCFAA1" w:rsidR="00DF074B" w:rsidRPr="000F43C9" w:rsidRDefault="004C31A6" w:rsidP="003F1D7B">
            <w:pPr>
              <w:contextualSpacing/>
              <w:mirrorIndents/>
              <w:rPr>
                <w:rStyle w:val="Estilo4"/>
                <w:rFonts w:ascii="ITC Avant Garde" w:hAnsi="ITC Avant Garde"/>
                <w:sz w:val="21"/>
                <w:szCs w:val="21"/>
              </w:rPr>
            </w:pPr>
            <w:r w:rsidRPr="000F43C9">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8D0C52" w:rsidRPr="000F43C9">
                  <w:rPr>
                    <w:rStyle w:val="Estilo4"/>
                    <w:rFonts w:ascii="ITC Avant Garde" w:hAnsi="ITC Avant Garde"/>
                    <w:sz w:val="21"/>
                    <w:szCs w:val="21"/>
                  </w:rPr>
                  <w:t xml:space="preserve">Indefinida </w:t>
                </w:r>
              </w:sdtContent>
            </w:sdt>
          </w:p>
        </w:tc>
      </w:tr>
      <w:tr w:rsidR="006166DB" w:rsidRPr="000F43C9" w14:paraId="25C2F9B9" w14:textId="77777777" w:rsidTr="00DF074B">
        <w:tc>
          <w:tcPr>
            <w:tcW w:w="8828" w:type="dxa"/>
          </w:tcPr>
          <w:p w14:paraId="187042E5" w14:textId="19B43589" w:rsidR="006166DB" w:rsidRPr="000F43C9" w:rsidRDefault="006166DB" w:rsidP="002434FF">
            <w:pPr>
              <w:contextualSpacing/>
              <w:mirrorIndents/>
              <w:rPr>
                <w:rStyle w:val="Estilo4"/>
                <w:rFonts w:ascii="ITC Avant Garde" w:hAnsi="ITC Avant Garde"/>
                <w:sz w:val="21"/>
                <w:szCs w:val="21"/>
              </w:rPr>
            </w:pPr>
            <w:r w:rsidRPr="000F43C9">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15-10-21T00:00:00Z">
                  <w:dateFormat w:val="dd/MM/yyyy"/>
                  <w:lid w:val="es-MX"/>
                  <w:storeMappedDataAs w:val="dateTime"/>
                  <w:calendar w:val="gregorian"/>
                </w:date>
              </w:sdtPr>
              <w:sdtEndPr>
                <w:rPr>
                  <w:rStyle w:val="Estilo4"/>
                </w:rPr>
              </w:sdtEndPr>
              <w:sdtContent>
                <w:r w:rsidR="008D0C52" w:rsidRPr="000F43C9">
                  <w:rPr>
                    <w:rStyle w:val="Estilo4"/>
                    <w:rFonts w:ascii="ITC Avant Garde" w:hAnsi="ITC Avant Garde"/>
                    <w:sz w:val="21"/>
                    <w:szCs w:val="21"/>
                  </w:rPr>
                  <w:t>21</w:t>
                </w:r>
                <w:r w:rsidR="0092333A" w:rsidRPr="000F43C9">
                  <w:rPr>
                    <w:rStyle w:val="Estilo4"/>
                    <w:rFonts w:ascii="ITC Avant Garde" w:hAnsi="ITC Avant Garde"/>
                    <w:sz w:val="21"/>
                    <w:szCs w:val="21"/>
                  </w:rPr>
                  <w:t>/</w:t>
                </w:r>
                <w:r w:rsidR="008D0C52" w:rsidRPr="000F43C9">
                  <w:rPr>
                    <w:rStyle w:val="Estilo4"/>
                    <w:rFonts w:ascii="ITC Avant Garde" w:hAnsi="ITC Avant Garde"/>
                    <w:sz w:val="21"/>
                    <w:szCs w:val="21"/>
                  </w:rPr>
                  <w:t>10</w:t>
                </w:r>
                <w:r w:rsidR="0092333A" w:rsidRPr="000F43C9">
                  <w:rPr>
                    <w:rStyle w:val="Estilo4"/>
                    <w:rFonts w:ascii="ITC Avant Garde" w:hAnsi="ITC Avant Garde"/>
                    <w:sz w:val="21"/>
                    <w:szCs w:val="21"/>
                  </w:rPr>
                  <w:t>/201</w:t>
                </w:r>
                <w:r w:rsidR="008D0C52" w:rsidRPr="000F43C9">
                  <w:rPr>
                    <w:rStyle w:val="Estilo4"/>
                    <w:rFonts w:ascii="ITC Avant Garde" w:hAnsi="ITC Avant Garde"/>
                    <w:sz w:val="21"/>
                    <w:szCs w:val="21"/>
                  </w:rPr>
                  <w:t>5</w:t>
                </w:r>
              </w:sdtContent>
            </w:sdt>
            <w:r w:rsidRPr="000F43C9">
              <w:rPr>
                <w:rStyle w:val="Estilo4"/>
                <w:rFonts w:ascii="ITC Avant Garde" w:hAnsi="ITC Avant Garde"/>
                <w:sz w:val="21"/>
                <w:szCs w:val="21"/>
              </w:rPr>
              <w:t xml:space="preserve"> </w:t>
            </w:r>
          </w:p>
        </w:tc>
      </w:tr>
      <w:tr w:rsidR="00DF074B" w:rsidRPr="000F43C9" w14:paraId="5C60735A" w14:textId="77777777" w:rsidTr="007F5106">
        <w:trPr>
          <w:trHeight w:val="50"/>
        </w:trPr>
        <w:tc>
          <w:tcPr>
            <w:tcW w:w="8828" w:type="dxa"/>
          </w:tcPr>
          <w:p w14:paraId="43F30054" w14:textId="6002FC10" w:rsidR="00DF074B" w:rsidRPr="000F43C9" w:rsidRDefault="00DF074B" w:rsidP="00DF074B">
            <w:pPr>
              <w:contextualSpacing/>
              <w:mirrorIndents/>
              <w:rPr>
                <w:rStyle w:val="Estilo4"/>
                <w:rFonts w:ascii="ITC Avant Garde" w:hAnsi="ITC Avant Garde"/>
                <w:sz w:val="21"/>
                <w:szCs w:val="21"/>
              </w:rPr>
            </w:pPr>
            <w:r w:rsidRPr="000F43C9">
              <w:rPr>
                <w:rStyle w:val="Estilo4"/>
                <w:rFonts w:ascii="ITC Avant Garde" w:hAnsi="ITC Avant Garde"/>
                <w:sz w:val="21"/>
                <w:szCs w:val="21"/>
              </w:rPr>
              <w:t xml:space="preserve">Término de la vigencia: </w:t>
            </w:r>
            <w:r w:rsidR="008D0C52" w:rsidRPr="000F43C9">
              <w:rPr>
                <w:rStyle w:val="Estilo4"/>
                <w:rFonts w:ascii="ITC Avant Garde" w:hAnsi="ITC Avant Garde"/>
                <w:sz w:val="21"/>
                <w:szCs w:val="21"/>
              </w:rPr>
              <w:t>No aplica</w:t>
            </w:r>
          </w:p>
        </w:tc>
      </w:tr>
    </w:tbl>
    <w:p w14:paraId="7B361F8E" w14:textId="77777777" w:rsidR="006166DB" w:rsidRPr="000F43C9"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0F43C9"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F43C9">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0F43C9" w14:paraId="2E594784" w14:textId="77777777" w:rsidTr="00DF074B">
        <w:tc>
          <w:tcPr>
            <w:tcW w:w="8828" w:type="dxa"/>
          </w:tcPr>
          <w:p w14:paraId="6C41AB66" w14:textId="3A0BC26C" w:rsidR="006166DB" w:rsidRPr="000F43C9" w:rsidRDefault="00E03F4F" w:rsidP="002434FF">
            <w:pPr>
              <w:mirrorIndents/>
              <w:rPr>
                <w:rFonts w:ascii="ITC Avant Garde" w:hAnsi="ITC Avant Garde"/>
                <w:color w:val="000000" w:themeColor="text1"/>
                <w:sz w:val="21"/>
                <w:szCs w:val="21"/>
              </w:rPr>
            </w:pPr>
            <w:r w:rsidRPr="000F43C9">
              <w:rPr>
                <w:rFonts w:ascii="ITC Avant Garde" w:hAnsi="ITC Avant Garde"/>
                <w:color w:val="000000" w:themeColor="text1"/>
                <w:sz w:val="21"/>
                <w:szCs w:val="21"/>
              </w:rPr>
              <w:t>Instituto Federal de Telecomunicaciones</w:t>
            </w:r>
          </w:p>
        </w:tc>
      </w:tr>
    </w:tbl>
    <w:p w14:paraId="32195651" w14:textId="77777777" w:rsidR="006166DB" w:rsidRPr="000F43C9"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0F43C9"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F43C9">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0F43C9" w14:paraId="0FEE5916" w14:textId="77777777" w:rsidTr="00DF074B">
        <w:tc>
          <w:tcPr>
            <w:tcW w:w="8828" w:type="dxa"/>
          </w:tcPr>
          <w:p w14:paraId="043F6ABC" w14:textId="6F769D50" w:rsidR="006166DB" w:rsidRPr="000F43C9" w:rsidRDefault="00E03F4F" w:rsidP="002434FF">
            <w:pPr>
              <w:contextualSpacing/>
              <w:mirrorIndents/>
              <w:rPr>
                <w:rFonts w:ascii="ITC Avant Garde" w:hAnsi="ITC Avant Garde"/>
                <w:color w:val="000000" w:themeColor="text1"/>
                <w:sz w:val="21"/>
                <w:szCs w:val="21"/>
              </w:rPr>
            </w:pPr>
            <w:r w:rsidRPr="000F43C9">
              <w:rPr>
                <w:rFonts w:ascii="ITC Avant Garde" w:hAnsi="ITC Avant Garde"/>
                <w:color w:val="000000" w:themeColor="text1"/>
                <w:sz w:val="21"/>
                <w:szCs w:val="21"/>
              </w:rPr>
              <w:t>Instituto Federal de Telecomunicaciones</w:t>
            </w:r>
          </w:p>
        </w:tc>
      </w:tr>
    </w:tbl>
    <w:p w14:paraId="45DC499A" w14:textId="063A5F7C" w:rsidR="006166DB" w:rsidRPr="000F43C9"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0F43C9"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F43C9">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0F43C9" w14:paraId="749D808B" w14:textId="77777777" w:rsidTr="00DF074B">
        <w:tc>
          <w:tcPr>
            <w:tcW w:w="8828" w:type="dxa"/>
          </w:tcPr>
          <w:p w14:paraId="07FF9FAE" w14:textId="5FE8E5DD" w:rsidR="00DC3A1A" w:rsidRPr="000F43C9" w:rsidRDefault="00C76443" w:rsidP="00DF074B">
            <w:pPr>
              <w:contextualSpacing/>
              <w:mirrorIndents/>
              <w:rPr>
                <w:rFonts w:ascii="ITC Avant Garde" w:hAnsi="ITC Avant Garde"/>
                <w:color w:val="000000" w:themeColor="text1"/>
                <w:sz w:val="21"/>
                <w:szCs w:val="21"/>
              </w:rPr>
            </w:pPr>
            <w:r w:rsidRPr="000F43C9">
              <w:rPr>
                <w:rStyle w:val="Estilo4"/>
                <w:rFonts w:ascii="ITC Avant Garde" w:hAnsi="ITC Avant Garde"/>
                <w:sz w:val="21"/>
                <w:szCs w:val="21"/>
              </w:rPr>
              <w:t>Ámbito de Aplicación</w:t>
            </w:r>
            <w:r w:rsidR="00366E21" w:rsidRPr="000F43C9">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E03F4F" w:rsidRPr="000F43C9">
                  <w:rPr>
                    <w:rStyle w:val="Estilo4"/>
                    <w:rFonts w:ascii="ITC Avant Garde" w:hAnsi="ITC Avant Garde"/>
                    <w:sz w:val="21"/>
                    <w:szCs w:val="21"/>
                  </w:rPr>
                  <w:t>Federal</w:t>
                </w:r>
              </w:sdtContent>
            </w:sdt>
          </w:p>
        </w:tc>
      </w:tr>
    </w:tbl>
    <w:p w14:paraId="086DD737" w14:textId="5145C4EC" w:rsidR="00DC3A1A" w:rsidRPr="000F43C9"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0F43C9"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F43C9">
        <w:rPr>
          <w:rFonts w:ascii="ITC Avant Garde" w:hAnsi="ITC Avant Garde"/>
          <w:b/>
          <w:color w:val="000000" w:themeColor="text1"/>
          <w:sz w:val="21"/>
          <w:szCs w:val="21"/>
        </w:rPr>
        <w:t>6</w:t>
      </w:r>
      <w:r w:rsidR="006166DB" w:rsidRPr="000F43C9">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0F43C9" w14:paraId="380262AA" w14:textId="77777777" w:rsidTr="00DF074B">
        <w:tc>
          <w:tcPr>
            <w:tcW w:w="8828" w:type="dxa"/>
          </w:tcPr>
          <w:p w14:paraId="25AC08FD" w14:textId="77777777" w:rsidR="006B5E5F" w:rsidRPr="000F43C9" w:rsidRDefault="006B5E5F" w:rsidP="0092333A">
            <w:pPr>
              <w:contextualSpacing/>
              <w:mirrorIndents/>
              <w:jc w:val="both"/>
              <w:rPr>
                <w:rFonts w:ascii="ITC Avant Garde" w:hAnsi="ITC Avant Garde"/>
                <w:color w:val="000000" w:themeColor="text1"/>
                <w:sz w:val="21"/>
                <w:szCs w:val="21"/>
              </w:rPr>
            </w:pPr>
            <w:r w:rsidRPr="000F43C9">
              <w:rPr>
                <w:rFonts w:ascii="ITC Avant Garde" w:hAnsi="ITC Avant Garde"/>
                <w:color w:val="000000" w:themeColor="text1"/>
                <w:sz w:val="21"/>
                <w:szCs w:val="21"/>
              </w:rPr>
              <w:t>01/10/2018</w:t>
            </w:r>
          </w:p>
          <w:p w14:paraId="56AF1858" w14:textId="77777777" w:rsidR="006B5E5F" w:rsidRDefault="006B5E5F" w:rsidP="0092333A">
            <w:pPr>
              <w:contextualSpacing/>
              <w:mirrorIndents/>
              <w:jc w:val="both"/>
              <w:rPr>
                <w:rFonts w:ascii="ITC Avant Garde" w:hAnsi="ITC Avant Garde"/>
                <w:color w:val="000000" w:themeColor="text1"/>
                <w:sz w:val="21"/>
                <w:szCs w:val="21"/>
              </w:rPr>
            </w:pPr>
            <w:r w:rsidRPr="000F43C9">
              <w:rPr>
                <w:rFonts w:ascii="ITC Avant Garde" w:hAnsi="ITC Avant Garde"/>
                <w:color w:val="000000" w:themeColor="text1"/>
                <w:sz w:val="21"/>
                <w:szCs w:val="21"/>
              </w:rPr>
              <w:t>30/12/2021</w:t>
            </w:r>
          </w:p>
          <w:p w14:paraId="1917902A" w14:textId="5D67E713" w:rsidR="004767BE" w:rsidRPr="000F43C9" w:rsidRDefault="004767BE" w:rsidP="0092333A">
            <w:pPr>
              <w:contextualSpacing/>
              <w:mirrorIndents/>
              <w:jc w:val="both"/>
              <w:rPr>
                <w:rFonts w:ascii="ITC Avant Garde" w:hAnsi="ITC Avant Garde"/>
                <w:color w:val="000000" w:themeColor="text1"/>
                <w:sz w:val="21"/>
                <w:szCs w:val="21"/>
              </w:rPr>
            </w:pPr>
            <w:r>
              <w:rPr>
                <w:rFonts w:ascii="ITC Avant Garde" w:hAnsi="ITC Avant Garde"/>
                <w:color w:val="000000" w:themeColor="text1"/>
                <w:sz w:val="21"/>
                <w:szCs w:val="21"/>
              </w:rPr>
              <w:t>10/09/2024</w:t>
            </w:r>
          </w:p>
        </w:tc>
      </w:tr>
    </w:tbl>
    <w:p w14:paraId="4E8FF191" w14:textId="77777777" w:rsidR="006166DB" w:rsidRPr="000F43C9"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0F43C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F43C9">
        <w:rPr>
          <w:rFonts w:ascii="ITC Avant Garde" w:hAnsi="ITC Avant Garde"/>
          <w:b/>
          <w:color w:val="000000" w:themeColor="text1"/>
          <w:sz w:val="21"/>
          <w:szCs w:val="21"/>
        </w:rPr>
        <w:t>7</w:t>
      </w:r>
      <w:r w:rsidR="006166DB" w:rsidRPr="000F43C9">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0F43C9" w14:paraId="00840257" w14:textId="77777777" w:rsidTr="00DF074B">
        <w:tc>
          <w:tcPr>
            <w:tcW w:w="8828" w:type="dxa"/>
          </w:tcPr>
          <w:p w14:paraId="5DFAFB35" w14:textId="44CA18C2" w:rsidR="006166DB" w:rsidRPr="000F43C9" w:rsidRDefault="004767BE"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7E2FE7" w:rsidRPr="000F43C9">
                  <w:rPr>
                    <w:rStyle w:val="Estilo4"/>
                    <w:rFonts w:ascii="ITC Avant Garde" w:hAnsi="ITC Avant Garde"/>
                    <w:sz w:val="21"/>
                    <w:szCs w:val="21"/>
                  </w:rPr>
                  <w:t>Acuerdo</w:t>
                </w:r>
              </w:sdtContent>
            </w:sdt>
          </w:p>
        </w:tc>
      </w:tr>
    </w:tbl>
    <w:p w14:paraId="635A852A" w14:textId="77777777" w:rsidR="006166DB" w:rsidRPr="000F43C9"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61014FC0" w:rsidR="006166DB" w:rsidRPr="000F43C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F43C9">
        <w:rPr>
          <w:rFonts w:ascii="ITC Avant Garde" w:hAnsi="ITC Avant Garde"/>
          <w:b/>
          <w:color w:val="000000" w:themeColor="text1"/>
          <w:sz w:val="21"/>
          <w:szCs w:val="21"/>
        </w:rPr>
        <w:t>8</w:t>
      </w:r>
      <w:r w:rsidR="006166DB" w:rsidRPr="000F43C9">
        <w:rPr>
          <w:rFonts w:ascii="ITC Avant Garde" w:hAnsi="ITC Avant Garde"/>
          <w:b/>
          <w:color w:val="000000" w:themeColor="text1"/>
          <w:sz w:val="21"/>
          <w:szCs w:val="21"/>
        </w:rPr>
        <w:t>.</w:t>
      </w:r>
      <w:r w:rsidR="00522E96" w:rsidRPr="000F43C9">
        <w:rPr>
          <w:rFonts w:ascii="ITC Avant Garde" w:hAnsi="ITC Avant Garde"/>
          <w:b/>
          <w:color w:val="000000" w:themeColor="text1"/>
          <w:sz w:val="21"/>
          <w:szCs w:val="21"/>
        </w:rPr>
        <w:t>-</w:t>
      </w:r>
      <w:r w:rsidR="006166DB" w:rsidRPr="000F43C9">
        <w:rPr>
          <w:rFonts w:ascii="ITC Avant Garde" w:hAnsi="ITC Avant Garde"/>
          <w:sz w:val="21"/>
          <w:szCs w:val="21"/>
        </w:rPr>
        <w:t xml:space="preserve"> </w:t>
      </w:r>
      <w:r w:rsidR="006166DB" w:rsidRPr="000F43C9">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0F43C9" w14:paraId="040BA959" w14:textId="77777777" w:rsidTr="00F73022">
        <w:trPr>
          <w:trHeight w:val="65"/>
        </w:trPr>
        <w:tc>
          <w:tcPr>
            <w:tcW w:w="8828" w:type="dxa"/>
          </w:tcPr>
          <w:p w14:paraId="26BC8A0D" w14:textId="77777777" w:rsidR="007E2FE7" w:rsidRPr="000F43C9" w:rsidRDefault="007E2FE7" w:rsidP="00C57BD2">
            <w:pPr>
              <w:pStyle w:val="Prrafodelista"/>
              <w:numPr>
                <w:ilvl w:val="0"/>
                <w:numId w:val="15"/>
              </w:numPr>
              <w:mirrorIndents/>
              <w:jc w:val="both"/>
              <w:rPr>
                <w:rFonts w:ascii="ITC Avant Garde" w:hAnsi="ITC Avant Garde"/>
                <w:color w:val="000000" w:themeColor="text1"/>
                <w:sz w:val="21"/>
                <w:szCs w:val="21"/>
              </w:rPr>
            </w:pPr>
            <w:r w:rsidRPr="000F43C9">
              <w:rPr>
                <w:rFonts w:ascii="ITC Avant Garde" w:hAnsi="ITC Avant Garde"/>
                <w:color w:val="000000" w:themeColor="text1"/>
                <w:sz w:val="21"/>
                <w:szCs w:val="21"/>
              </w:rPr>
              <w:t>Sección Introductoria</w:t>
            </w:r>
          </w:p>
          <w:p w14:paraId="2A08D8C2" w14:textId="77777777" w:rsidR="007E2FE7" w:rsidRPr="000F43C9" w:rsidRDefault="007E2FE7" w:rsidP="00C57BD2">
            <w:pPr>
              <w:pStyle w:val="Prrafodelista"/>
              <w:numPr>
                <w:ilvl w:val="0"/>
                <w:numId w:val="15"/>
              </w:numPr>
              <w:mirrorIndents/>
              <w:jc w:val="both"/>
              <w:rPr>
                <w:rFonts w:ascii="ITC Avant Garde" w:hAnsi="ITC Avant Garde"/>
                <w:color w:val="000000" w:themeColor="text1"/>
                <w:sz w:val="21"/>
                <w:szCs w:val="21"/>
              </w:rPr>
            </w:pPr>
            <w:r w:rsidRPr="000F43C9">
              <w:rPr>
                <w:rFonts w:ascii="ITC Avant Garde" w:hAnsi="ITC Avant Garde"/>
                <w:color w:val="000000" w:themeColor="text1"/>
                <w:sz w:val="21"/>
                <w:szCs w:val="21"/>
              </w:rPr>
              <w:t>Tabla de Atribuciones del CNAF</w:t>
            </w:r>
          </w:p>
          <w:p w14:paraId="3070619F" w14:textId="77777777" w:rsidR="007E2FE7" w:rsidRPr="000F43C9" w:rsidRDefault="007E2FE7" w:rsidP="00C57BD2">
            <w:pPr>
              <w:pStyle w:val="Prrafodelista"/>
              <w:numPr>
                <w:ilvl w:val="0"/>
                <w:numId w:val="15"/>
              </w:numPr>
              <w:mirrorIndents/>
              <w:jc w:val="both"/>
              <w:rPr>
                <w:rFonts w:ascii="ITC Avant Garde" w:hAnsi="ITC Avant Garde"/>
                <w:color w:val="000000" w:themeColor="text1"/>
                <w:sz w:val="21"/>
                <w:szCs w:val="21"/>
              </w:rPr>
            </w:pPr>
            <w:r w:rsidRPr="000F43C9">
              <w:rPr>
                <w:rFonts w:ascii="ITC Avant Garde" w:hAnsi="ITC Avant Garde"/>
                <w:color w:val="000000" w:themeColor="text1"/>
                <w:sz w:val="21"/>
                <w:szCs w:val="21"/>
              </w:rPr>
              <w:t>Notas Nacionales</w:t>
            </w:r>
          </w:p>
          <w:p w14:paraId="5F275C45" w14:textId="35307E8A" w:rsidR="006166DB" w:rsidRPr="000F43C9" w:rsidRDefault="007E2FE7" w:rsidP="00C57BD2">
            <w:pPr>
              <w:pStyle w:val="Prrafodelista"/>
              <w:numPr>
                <w:ilvl w:val="0"/>
                <w:numId w:val="15"/>
              </w:numPr>
              <w:mirrorIndents/>
              <w:jc w:val="both"/>
              <w:rPr>
                <w:rFonts w:ascii="ITC Avant Garde" w:hAnsi="ITC Avant Garde"/>
                <w:color w:val="000000" w:themeColor="text1"/>
                <w:sz w:val="21"/>
                <w:szCs w:val="21"/>
              </w:rPr>
            </w:pPr>
            <w:r w:rsidRPr="000F43C9">
              <w:rPr>
                <w:rFonts w:ascii="ITC Avant Garde" w:hAnsi="ITC Avant Garde"/>
                <w:color w:val="000000" w:themeColor="text1"/>
                <w:sz w:val="21"/>
                <w:szCs w:val="21"/>
              </w:rPr>
              <w:t>Acrónimos</w:t>
            </w:r>
          </w:p>
        </w:tc>
      </w:tr>
    </w:tbl>
    <w:p w14:paraId="4E6C6C7C" w14:textId="77777777" w:rsidR="00F73022" w:rsidRPr="000F43C9" w:rsidRDefault="00F73022" w:rsidP="002434FF">
      <w:pPr>
        <w:spacing w:after="0" w:line="240" w:lineRule="auto"/>
        <w:contextualSpacing/>
        <w:mirrorIndents/>
        <w:rPr>
          <w:rFonts w:ascii="ITC Avant Garde" w:hAnsi="ITC Avant Garde"/>
          <w:color w:val="000000" w:themeColor="text1"/>
          <w:sz w:val="21"/>
          <w:szCs w:val="21"/>
        </w:rPr>
      </w:pPr>
    </w:p>
    <w:p w14:paraId="308AB0E2" w14:textId="0A5D74FC" w:rsidR="00F73022" w:rsidRPr="000F43C9"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F43C9">
        <w:rPr>
          <w:rFonts w:ascii="ITC Avant Garde" w:hAnsi="ITC Avant Garde"/>
          <w:b/>
          <w:color w:val="000000" w:themeColor="text1"/>
          <w:sz w:val="21"/>
          <w:szCs w:val="21"/>
        </w:rPr>
        <w:t>9</w:t>
      </w:r>
      <w:r w:rsidR="00F73022" w:rsidRPr="000F43C9">
        <w:rPr>
          <w:rFonts w:ascii="ITC Avant Garde" w:hAnsi="ITC Avant Garde"/>
          <w:b/>
          <w:color w:val="000000" w:themeColor="text1"/>
          <w:sz w:val="21"/>
          <w:szCs w:val="21"/>
        </w:rPr>
        <w:t>.</w:t>
      </w:r>
      <w:r w:rsidR="00522E96" w:rsidRPr="000F43C9">
        <w:rPr>
          <w:rFonts w:ascii="ITC Avant Garde" w:hAnsi="ITC Avant Garde"/>
          <w:b/>
          <w:color w:val="000000" w:themeColor="text1"/>
          <w:sz w:val="21"/>
          <w:szCs w:val="21"/>
        </w:rPr>
        <w:t>-</w:t>
      </w:r>
      <w:r w:rsidR="00F73022" w:rsidRPr="000F43C9">
        <w:rPr>
          <w:rFonts w:ascii="ITC Avant Garde" w:hAnsi="ITC Avant Garde"/>
          <w:sz w:val="21"/>
          <w:szCs w:val="21"/>
        </w:rPr>
        <w:t xml:space="preserve"> </w:t>
      </w:r>
      <w:r w:rsidR="00F73022" w:rsidRPr="000F43C9">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0F43C9" w14:paraId="373C675C" w14:textId="77777777" w:rsidTr="00DF074B">
        <w:tc>
          <w:tcPr>
            <w:tcW w:w="8828" w:type="dxa"/>
          </w:tcPr>
          <w:p w14:paraId="53B08DCA" w14:textId="056F8DC6" w:rsidR="00F73022" w:rsidRPr="000F43C9" w:rsidRDefault="007E2FE7" w:rsidP="00860E11">
            <w:pPr>
              <w:tabs>
                <w:tab w:val="left" w:pos="1500"/>
              </w:tabs>
              <w:contextualSpacing/>
              <w:mirrorIndents/>
              <w:jc w:val="both"/>
              <w:rPr>
                <w:rFonts w:ascii="ITC Avant Garde" w:hAnsi="ITC Avant Garde"/>
                <w:color w:val="000000" w:themeColor="text1"/>
                <w:sz w:val="21"/>
                <w:szCs w:val="21"/>
              </w:rPr>
            </w:pPr>
            <w:r w:rsidRPr="000F43C9">
              <w:rPr>
                <w:rFonts w:ascii="ITC Avant Garde" w:hAnsi="ITC Avant Garde"/>
                <w:color w:val="000000" w:themeColor="text1"/>
                <w:sz w:val="21"/>
                <w:szCs w:val="21"/>
              </w:rPr>
              <w:t>El Cuadro Nacional de Atribución de Frecuencias (CNAF) es la disposición administrativa que indica el servicio o servicios de radiocomunicaciones a los que se encuentra atribuida una determinada banda de frecuencias del espectro radioeléctrico, así como información adicional sobre el uso y</w:t>
            </w:r>
            <w:r w:rsidR="00860E11" w:rsidRPr="000F43C9">
              <w:rPr>
                <w:rFonts w:ascii="ITC Avant Garde" w:hAnsi="ITC Avant Garde"/>
                <w:color w:val="000000" w:themeColor="text1"/>
                <w:sz w:val="21"/>
                <w:szCs w:val="21"/>
              </w:rPr>
              <w:t xml:space="preserve"> </w:t>
            </w:r>
            <w:r w:rsidRPr="000F43C9">
              <w:rPr>
                <w:rFonts w:ascii="ITC Avant Garde" w:hAnsi="ITC Avant Garde"/>
                <w:color w:val="000000" w:themeColor="text1"/>
                <w:sz w:val="21"/>
                <w:szCs w:val="21"/>
              </w:rPr>
              <w:t>planificación de determinadas bandas de frecuencias.</w:t>
            </w:r>
          </w:p>
        </w:tc>
      </w:tr>
    </w:tbl>
    <w:p w14:paraId="2355FA42" w14:textId="77777777" w:rsidR="00F73022" w:rsidRPr="000F43C9"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0F43C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F43C9">
        <w:rPr>
          <w:rFonts w:ascii="ITC Avant Garde" w:hAnsi="ITC Avant Garde"/>
          <w:b/>
          <w:color w:val="000000" w:themeColor="text1"/>
          <w:sz w:val="21"/>
          <w:szCs w:val="21"/>
        </w:rPr>
        <w:t>10</w:t>
      </w:r>
      <w:r w:rsidR="006166DB" w:rsidRPr="000F43C9">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0F43C9" w14:paraId="36A134C5" w14:textId="77777777" w:rsidTr="00DF074B">
        <w:tc>
          <w:tcPr>
            <w:tcW w:w="8828" w:type="dxa"/>
          </w:tcPr>
          <w:p w14:paraId="0C79C5AD" w14:textId="288286DD" w:rsidR="006166DB" w:rsidRPr="000F43C9" w:rsidRDefault="006166DB" w:rsidP="002434FF">
            <w:pPr>
              <w:contextualSpacing/>
              <w:mirrorIndents/>
              <w:rPr>
                <w:rFonts w:ascii="ITC Avant Garde" w:hAnsi="ITC Avant Garde"/>
                <w:sz w:val="21"/>
                <w:szCs w:val="21"/>
              </w:rPr>
            </w:pPr>
            <w:r w:rsidRPr="000F43C9">
              <w:rPr>
                <w:rFonts w:ascii="ITC Avant Garde" w:hAnsi="ITC Avant Garde"/>
                <w:sz w:val="21"/>
                <w:szCs w:val="21"/>
              </w:rPr>
              <w:t>Materia:</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B4385A" w:rsidRPr="000F43C9">
                  <w:rPr>
                    <w:rFonts w:ascii="ITC Avant Garde" w:hAnsi="ITC Avant Garde"/>
                    <w:sz w:val="21"/>
                    <w:szCs w:val="21"/>
                  </w:rPr>
                  <w:t xml:space="preserve">Telecomunicaciones y Radiodifusión </w:t>
                </w:r>
              </w:sdtContent>
            </w:sdt>
            <w:r w:rsidRPr="000F43C9">
              <w:rPr>
                <w:rFonts w:ascii="ITC Avant Garde" w:hAnsi="ITC Avant Garde"/>
                <w:sz w:val="21"/>
                <w:szCs w:val="21"/>
              </w:rPr>
              <w:t xml:space="preserve">  </w:t>
            </w:r>
          </w:p>
        </w:tc>
      </w:tr>
      <w:tr w:rsidR="006166DB" w:rsidRPr="000F43C9" w14:paraId="78629502" w14:textId="77777777" w:rsidTr="00DF074B">
        <w:tc>
          <w:tcPr>
            <w:tcW w:w="8828" w:type="dxa"/>
          </w:tcPr>
          <w:p w14:paraId="617248E0" w14:textId="343CF224" w:rsidR="006166DB" w:rsidRPr="000F43C9" w:rsidRDefault="006166DB" w:rsidP="002434FF">
            <w:pPr>
              <w:contextualSpacing/>
              <w:mirrorIndents/>
              <w:rPr>
                <w:rFonts w:ascii="ITC Avant Garde" w:hAnsi="ITC Avant Garde"/>
                <w:sz w:val="21"/>
                <w:szCs w:val="21"/>
              </w:rPr>
            </w:pPr>
            <w:r w:rsidRPr="000F43C9">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227767" w:rsidRPr="000F43C9">
                  <w:rPr>
                    <w:rFonts w:ascii="ITC Avant Garde" w:hAnsi="ITC Avant Garde"/>
                    <w:sz w:val="21"/>
                    <w:szCs w:val="21"/>
                  </w:rPr>
                  <w:t>Transmisión de programas de radio</w:t>
                </w:r>
              </w:sdtContent>
            </w:sdt>
          </w:p>
        </w:tc>
      </w:tr>
      <w:tr w:rsidR="00227767" w:rsidRPr="000F43C9" w14:paraId="341E119F" w14:textId="77777777" w:rsidTr="00DF074B">
        <w:tc>
          <w:tcPr>
            <w:tcW w:w="8828" w:type="dxa"/>
          </w:tcPr>
          <w:p w14:paraId="369CB023" w14:textId="5E2776A1" w:rsidR="00227767" w:rsidRPr="000F43C9" w:rsidRDefault="00227767" w:rsidP="002434FF">
            <w:pPr>
              <w:contextualSpacing/>
              <w:mirrorIndents/>
              <w:rPr>
                <w:rFonts w:ascii="ITC Avant Garde" w:hAnsi="ITC Avant Garde"/>
                <w:sz w:val="21"/>
                <w:szCs w:val="21"/>
              </w:rPr>
            </w:pPr>
            <w:r w:rsidRPr="000F43C9">
              <w:rPr>
                <w:rFonts w:ascii="ITC Avant Garde" w:hAnsi="ITC Avant Garde"/>
                <w:sz w:val="21"/>
                <w:szCs w:val="21"/>
              </w:rPr>
              <w:t xml:space="preserve">Sector: </w:t>
            </w:r>
            <w:sdt>
              <w:sdtPr>
                <w:rPr>
                  <w:rFonts w:ascii="ITC Avant Garde" w:hAnsi="ITC Avant Garde"/>
                  <w:sz w:val="21"/>
                  <w:szCs w:val="21"/>
                </w:rPr>
                <w:id w:val="1507243160"/>
                <w:placeholder>
                  <w:docPart w:val="ABD7052BEC47422ABB3D7410E0EF99AF"/>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0F43C9">
                  <w:rPr>
                    <w:rFonts w:ascii="ITC Avant Garde" w:hAnsi="ITC Avant Garde"/>
                    <w:sz w:val="21"/>
                    <w:szCs w:val="21"/>
                  </w:rPr>
                  <w:t>Transmisión de programas de televisión</w:t>
                </w:r>
              </w:sdtContent>
            </w:sdt>
          </w:p>
        </w:tc>
      </w:tr>
      <w:tr w:rsidR="00227767" w:rsidRPr="000F43C9" w14:paraId="57858B56" w14:textId="77777777" w:rsidTr="00DF074B">
        <w:tc>
          <w:tcPr>
            <w:tcW w:w="8828" w:type="dxa"/>
          </w:tcPr>
          <w:p w14:paraId="10F9BAF2" w14:textId="28434EB2" w:rsidR="00227767" w:rsidRPr="000F43C9" w:rsidRDefault="00227767" w:rsidP="002434FF">
            <w:pPr>
              <w:contextualSpacing/>
              <w:mirrorIndents/>
              <w:rPr>
                <w:rFonts w:ascii="ITC Avant Garde" w:hAnsi="ITC Avant Garde"/>
                <w:sz w:val="21"/>
                <w:szCs w:val="21"/>
              </w:rPr>
            </w:pPr>
            <w:r w:rsidRPr="000F43C9">
              <w:rPr>
                <w:rFonts w:ascii="ITC Avant Garde" w:hAnsi="ITC Avant Garde"/>
                <w:sz w:val="21"/>
                <w:szCs w:val="21"/>
              </w:rPr>
              <w:lastRenderedPageBreak/>
              <w:t xml:space="preserve">Sector: </w:t>
            </w:r>
            <w:sdt>
              <w:sdtPr>
                <w:rPr>
                  <w:rFonts w:ascii="ITC Avant Garde" w:hAnsi="ITC Avant Garde"/>
                  <w:sz w:val="21"/>
                  <w:szCs w:val="21"/>
                </w:rPr>
                <w:id w:val="-62251767"/>
                <w:placeholder>
                  <w:docPart w:val="0C865DB2096249408694BCA0BB79782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0F43C9">
                  <w:rPr>
                    <w:rFonts w:ascii="ITC Avant Garde" w:hAnsi="ITC Avant Garde"/>
                    <w:sz w:val="21"/>
                    <w:szCs w:val="21"/>
                  </w:rPr>
                  <w:t>Operadores de servicios de telecomunicaciones inalámbricas</w:t>
                </w:r>
              </w:sdtContent>
            </w:sdt>
          </w:p>
        </w:tc>
      </w:tr>
      <w:tr w:rsidR="00227767" w:rsidRPr="000F43C9" w14:paraId="59BD05EC" w14:textId="77777777" w:rsidTr="00DF074B">
        <w:tc>
          <w:tcPr>
            <w:tcW w:w="8828" w:type="dxa"/>
          </w:tcPr>
          <w:p w14:paraId="55B9F370" w14:textId="27651492" w:rsidR="00227767" w:rsidRPr="000F43C9" w:rsidRDefault="00227767" w:rsidP="002434FF">
            <w:pPr>
              <w:contextualSpacing/>
              <w:mirrorIndents/>
              <w:rPr>
                <w:rFonts w:ascii="ITC Avant Garde" w:hAnsi="ITC Avant Garde"/>
                <w:sz w:val="21"/>
                <w:szCs w:val="21"/>
              </w:rPr>
            </w:pPr>
            <w:r w:rsidRPr="000F43C9">
              <w:rPr>
                <w:rFonts w:ascii="ITC Avant Garde" w:hAnsi="ITC Avant Garde"/>
                <w:sz w:val="21"/>
                <w:szCs w:val="21"/>
              </w:rPr>
              <w:t xml:space="preserve">Sector: </w:t>
            </w:r>
            <w:sdt>
              <w:sdtPr>
                <w:rPr>
                  <w:rFonts w:ascii="ITC Avant Garde" w:hAnsi="ITC Avant Garde"/>
                  <w:sz w:val="21"/>
                  <w:szCs w:val="21"/>
                </w:rPr>
                <w:id w:val="-1162544399"/>
                <w:placeholder>
                  <w:docPart w:val="10D3FAB208444D7CB6D0BB48AA50826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0F43C9">
                  <w:rPr>
                    <w:rFonts w:ascii="ITC Avant Garde" w:hAnsi="ITC Avant Garde"/>
                    <w:sz w:val="21"/>
                    <w:szCs w:val="21"/>
                  </w:rPr>
                  <w:t>Operadores de servicios de telecomunicaciones vía satélite</w:t>
                </w:r>
              </w:sdtContent>
            </w:sdt>
          </w:p>
        </w:tc>
      </w:tr>
      <w:tr w:rsidR="006166DB" w:rsidRPr="000F43C9" w14:paraId="380D841C" w14:textId="77777777" w:rsidTr="00DF074B">
        <w:tc>
          <w:tcPr>
            <w:tcW w:w="8828" w:type="dxa"/>
          </w:tcPr>
          <w:p w14:paraId="6C9F585B" w14:textId="2457A950" w:rsidR="006166DB" w:rsidRPr="000F43C9" w:rsidRDefault="006166DB" w:rsidP="0092333A">
            <w:pPr>
              <w:contextualSpacing/>
              <w:mirrorIndents/>
              <w:rPr>
                <w:rFonts w:ascii="ITC Avant Garde" w:hAnsi="ITC Avant Garde"/>
                <w:sz w:val="21"/>
                <w:szCs w:val="21"/>
              </w:rPr>
            </w:pPr>
            <w:r w:rsidRPr="000F43C9">
              <w:rPr>
                <w:rFonts w:ascii="ITC Avant Garde" w:hAnsi="ITC Avant Garde"/>
                <w:sz w:val="21"/>
                <w:szCs w:val="21"/>
              </w:rPr>
              <w:t xml:space="preserve">Regulado: </w:t>
            </w:r>
            <w:r w:rsidR="0092333A" w:rsidRPr="000F43C9">
              <w:rPr>
                <w:rFonts w:ascii="ITC Avant Garde" w:hAnsi="ITC Avant Garde"/>
                <w:sz w:val="21"/>
                <w:szCs w:val="21"/>
              </w:rPr>
              <w:t>Concesionarios</w:t>
            </w:r>
          </w:p>
        </w:tc>
      </w:tr>
    </w:tbl>
    <w:p w14:paraId="39827835" w14:textId="77777777" w:rsidR="00DC3A1A" w:rsidRPr="000F43C9"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F43C9">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0F43C9" w14:paraId="0977E504" w14:textId="77777777" w:rsidTr="00831A9E">
        <w:trPr>
          <w:trHeight w:val="558"/>
        </w:trPr>
        <w:tc>
          <w:tcPr>
            <w:tcW w:w="8828" w:type="dxa"/>
          </w:tcPr>
          <w:p w14:paraId="057BB14B" w14:textId="3411CFCB" w:rsidR="00283E79" w:rsidRPr="000F43C9" w:rsidRDefault="00283E79" w:rsidP="00283E79">
            <w:pPr>
              <w:pStyle w:val="Prrafodelista"/>
              <w:numPr>
                <w:ilvl w:val="0"/>
                <w:numId w:val="17"/>
              </w:numPr>
              <w:jc w:val="both"/>
              <w:rPr>
                <w:rFonts w:ascii="ITC Avant Garde" w:hAnsi="ITC Avant Garde"/>
                <w:sz w:val="21"/>
                <w:szCs w:val="21"/>
              </w:rPr>
            </w:pPr>
            <w:r w:rsidRPr="000F43C9">
              <w:rPr>
                <w:rFonts w:ascii="ITC Avant Garde" w:hAnsi="ITC Avant Garde"/>
                <w:sz w:val="21"/>
                <w:szCs w:val="21"/>
              </w:rPr>
              <w:t>Acuerdo mediante el cual el Pleno del Instituto Federal de Telecomunicaciones modifica el Programa Anual de Uso y Aprovechamiento de bandas de frecuencias 2015.</w:t>
            </w:r>
          </w:p>
          <w:p w14:paraId="754D2CC9"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Acuerdo mediante el cual el Pleno del Instituto Federal de Telecomunicaciones modifica el diverso por el que se atribuyen frecuencias del espectro radioeléctrico para prestar servicios auxiliares a la radiodifusión, y se establece el procedimiento para autorizar el uso de las mismas.</w:t>
            </w:r>
          </w:p>
          <w:p w14:paraId="2CBC111C"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Acuerdo mediante el cual el Pleno del Instituto Federal de Telecomunicaciones aprueba y emite los Lineamientos mediante los cuales el Instituto Federal de Telecomunicaciones establece los criterios para el cambio de frecuencias de estaciones de Radiodifusión Sonora que operan en la banda de amplitud modulada a frecuencia modulada.</w:t>
            </w:r>
          </w:p>
          <w:p w14:paraId="45E91CD6"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p>
          <w:p w14:paraId="1B042A64"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Acuerdo por el que se atribuyen frecuencias del espectro radioeléctrico para prestar servicios auxiliares a la radiodifusión.</w:t>
            </w:r>
          </w:p>
          <w:p w14:paraId="09DB0058"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Acuerdo por el que se establecen bandas de frecuencias del espectro radioeléctrico de uso libre.</w:t>
            </w:r>
          </w:p>
          <w:p w14:paraId="31A8E46B"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Acuerdo por el que se establecen como espectro libre las bandas de frecuencias de 5.47 - 5.6 GHz y 5.65 - 5.725 GHz.</w:t>
            </w:r>
          </w:p>
          <w:p w14:paraId="374FBC68"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p>
          <w:p w14:paraId="08FBABF7"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Acuerdo por el que se establecen las bandas de frecuencias de 71 a 76 GHz y de 81 a 86 GHz como espectro libre.</w:t>
            </w:r>
          </w:p>
          <w:p w14:paraId="3A00CF77"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Acuerdo por el que se fijan las condiciones de operación del Servicio Compartido para cortas distancias, Banda Civil.</w:t>
            </w:r>
          </w:p>
          <w:p w14:paraId="4C23CC91"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Disposición Técnica IFT-001-2015: Especificaciones y requerimientos para la instalación y operación de las estaciones de radiodifusión sonora en amplitud modulada en la banda de 535 kHz a 1705 kHz.</w:t>
            </w:r>
          </w:p>
          <w:p w14:paraId="146BA355"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Disposición Técnica IFT-002-2014: Especificaciones y requerimientos mínimos para la instalación y operación de las estaciones de radiodifusión sonora en frecuencia modulada.</w:t>
            </w:r>
          </w:p>
          <w:p w14:paraId="55C6CBC2"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Disposición Técnica IFT-003- 2014: Especificaciones y requerimientos mínimos para la instalación y operación de las estaciones de radiodifusión de televisión analógica (bandas VHF y UHF).</w:t>
            </w:r>
          </w:p>
          <w:p w14:paraId="24E1D4F6"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Norma Oficial Mexicana NOM-081-SCT1-1993, Sistemas de radiotelefonía con tecnología celular que operan en la banda de 800 MHz.</w:t>
            </w:r>
          </w:p>
          <w:p w14:paraId="06B3A8B4"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lastRenderedPageBreak/>
              <w:t>Norma Oficial Mexicana NOM-121-SCT1-2009, Telecomunicaciones-Radiocomunicación-Sistemas de radiocomunicación que emplean la técnica de espectro disperso-Equipos de radiocomunicación por salto de frecuencia y por modulación digital a operar en las bandas 902-928 MHz, 2400-2483.5 MHz y 5725-5850 MHz- Especificaciones, límites y métodos de prueba.</w:t>
            </w:r>
          </w:p>
          <w:p w14:paraId="19C37F7F"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Política para la Transición a la Televisión Digital Terrestre.</w:t>
            </w:r>
          </w:p>
          <w:p w14:paraId="7BFEE98C" w14:textId="77777777" w:rsidR="00283E79" w:rsidRPr="000F43C9" w:rsidRDefault="00283E79" w:rsidP="00283E79">
            <w:pPr>
              <w:pStyle w:val="Prrafodelista"/>
              <w:numPr>
                <w:ilvl w:val="0"/>
                <w:numId w:val="17"/>
              </w:numPr>
              <w:rPr>
                <w:rFonts w:ascii="ITC Avant Garde" w:hAnsi="ITC Avant Garde"/>
                <w:sz w:val="21"/>
                <w:szCs w:val="21"/>
              </w:rPr>
            </w:pPr>
            <w:r w:rsidRPr="000F43C9">
              <w:rPr>
                <w:rFonts w:ascii="ITC Avant Garde" w:hAnsi="ITC Avant Garde"/>
                <w:sz w:val="21"/>
                <w:szCs w:val="21"/>
              </w:rPr>
              <w:t>Programa Anual de Uso y Aprovechamiento de Bandas de Frecuencias 2016.</w:t>
            </w:r>
          </w:p>
          <w:p w14:paraId="7D52ABD2" w14:textId="09CCC59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Resolución de la extinta Comisión Federal de Telecomunicaciones, por la que se expiden las condiciones técnicas de operación de la banda 5.725 – 5.85 GHz para su utilización como espectro libre.</w:t>
            </w:r>
          </w:p>
          <w:p w14:paraId="5D4A60FE" w14:textId="18FEFA59" w:rsidR="00891A58"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Resolución mediante la que se modifican las condiciones técnicas de operación de la banda 2400 - 2483.5 MHz, identificada como espectro libre.</w:t>
            </w:r>
          </w:p>
        </w:tc>
      </w:tr>
    </w:tbl>
    <w:p w14:paraId="03FABE9B" w14:textId="45F8751D" w:rsidR="00DC3A1A" w:rsidRPr="000F43C9"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0F43C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F43C9">
        <w:rPr>
          <w:rFonts w:ascii="ITC Avant Garde" w:hAnsi="ITC Avant Garde"/>
          <w:b/>
          <w:color w:val="000000" w:themeColor="text1"/>
          <w:sz w:val="21"/>
          <w:szCs w:val="21"/>
        </w:rPr>
        <w:t>12</w:t>
      </w:r>
      <w:r w:rsidR="006166DB" w:rsidRPr="000F43C9">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0F43C9" w14:paraId="096E5FBB" w14:textId="77777777" w:rsidTr="007D2FD6">
        <w:tc>
          <w:tcPr>
            <w:tcW w:w="8828" w:type="dxa"/>
          </w:tcPr>
          <w:p w14:paraId="1E0A3A61" w14:textId="20BDD7A6" w:rsidR="007D2FD6" w:rsidRPr="000F43C9" w:rsidRDefault="00E05897" w:rsidP="002434FF">
            <w:pPr>
              <w:contextualSpacing/>
              <w:mirrorIndents/>
              <w:rPr>
                <w:rFonts w:ascii="ITC Avant Garde" w:hAnsi="ITC Avant Garde"/>
                <w:color w:val="000000" w:themeColor="text1"/>
                <w:sz w:val="21"/>
                <w:szCs w:val="21"/>
              </w:rPr>
            </w:pPr>
            <w:r w:rsidRPr="000F43C9">
              <w:rPr>
                <w:rFonts w:ascii="ITC Avant Garde" w:hAnsi="ITC Avant Garde"/>
                <w:color w:val="000000" w:themeColor="text1"/>
                <w:sz w:val="21"/>
                <w:szCs w:val="21"/>
              </w:rPr>
              <w:t>No aplica</w:t>
            </w:r>
          </w:p>
        </w:tc>
      </w:tr>
    </w:tbl>
    <w:p w14:paraId="37E6B748" w14:textId="77777777" w:rsidR="006166DB" w:rsidRPr="000F43C9"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0F43C9" w14:paraId="1683D7BD" w14:textId="77777777" w:rsidTr="007D2FD6">
        <w:tc>
          <w:tcPr>
            <w:tcW w:w="8828" w:type="dxa"/>
          </w:tcPr>
          <w:p w14:paraId="6A09D6D7" w14:textId="4B19543E" w:rsidR="007D2FD6" w:rsidRPr="000F43C9" w:rsidRDefault="008E3E5A" w:rsidP="008E3E5A">
            <w:pPr>
              <w:pStyle w:val="Prrafodelista"/>
              <w:numPr>
                <w:ilvl w:val="0"/>
                <w:numId w:val="21"/>
              </w:numPr>
              <w:mirrorIndents/>
              <w:rPr>
                <w:rFonts w:ascii="ITC Avant Garde" w:hAnsi="ITC Avant Garde"/>
                <w:color w:val="000000" w:themeColor="text1"/>
                <w:sz w:val="21"/>
                <w:szCs w:val="21"/>
              </w:rPr>
            </w:pPr>
            <w:r w:rsidRPr="000F43C9">
              <w:rPr>
                <w:rFonts w:ascii="ITC Avant Garde" w:hAnsi="ITC Avant Garde"/>
                <w:color w:val="000000" w:themeColor="text1"/>
                <w:sz w:val="21"/>
                <w:szCs w:val="21"/>
              </w:rPr>
              <w:t>Inspección, verificación y vigilancia: Ley Federal de Telecomunicaciones y Radiodifusión, artículos 291, 292, 293, 294, 295 y 296.</w:t>
            </w:r>
          </w:p>
        </w:tc>
      </w:tr>
    </w:tbl>
    <w:p w14:paraId="20310148" w14:textId="4356C9CC" w:rsidR="00886BED" w:rsidRPr="000F43C9" w:rsidRDefault="00DC3A1A" w:rsidP="006961E7">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F43C9">
        <w:rPr>
          <w:rFonts w:ascii="ITC Avant Garde" w:hAnsi="ITC Avant Garde"/>
          <w:b/>
          <w:color w:val="000000" w:themeColor="text1"/>
          <w:sz w:val="21"/>
          <w:szCs w:val="21"/>
        </w:rPr>
        <w:t>13.- Inspecciones, verificaciones o visitas domiciliarias relacionadas con la regulación y su fundamento legal:</w:t>
      </w:r>
    </w:p>
    <w:sectPr w:rsidR="00886BED" w:rsidRPr="000F43C9" w:rsidSect="003F1D7B">
      <w:headerReference w:type="default" r:id="rId11"/>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531CE" w14:textId="77777777" w:rsidR="006961E7" w:rsidRDefault="006961E7" w:rsidP="006166DB">
      <w:pPr>
        <w:spacing w:after="0" w:line="240" w:lineRule="auto"/>
      </w:pPr>
      <w:r>
        <w:separator/>
      </w:r>
    </w:p>
  </w:endnote>
  <w:endnote w:type="continuationSeparator" w:id="0">
    <w:p w14:paraId="133650C2" w14:textId="77777777" w:rsidR="006961E7" w:rsidRDefault="006961E7"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80E92" w14:textId="77777777" w:rsidR="006961E7" w:rsidRDefault="006961E7" w:rsidP="006166DB">
      <w:pPr>
        <w:spacing w:after="0" w:line="240" w:lineRule="auto"/>
      </w:pPr>
      <w:r>
        <w:separator/>
      </w:r>
    </w:p>
  </w:footnote>
  <w:footnote w:type="continuationSeparator" w:id="0">
    <w:p w14:paraId="02A85A98" w14:textId="77777777" w:rsidR="006961E7" w:rsidRDefault="006961E7"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77722" w14:textId="024CA2B9" w:rsidR="006961E7" w:rsidRDefault="006961E7" w:rsidP="007D2FD6">
    <w:pPr>
      <w:pStyle w:val="Encabezado"/>
      <w:tabs>
        <w:tab w:val="left" w:pos="2748"/>
      </w:tabs>
    </w:pPr>
    <w:r w:rsidRPr="001B3D06">
      <w:rPr>
        <w:noProof/>
        <w:lang w:eastAsia="es-MX"/>
      </w:rPr>
      <w:drawing>
        <wp:inline distT="0" distB="0" distL="0" distR="0" wp14:anchorId="62D493CC" wp14:editId="18754EAF">
          <wp:extent cx="1000125" cy="695325"/>
          <wp:effectExtent l="0" t="0" r="0" b="0"/>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61C13"/>
    <w:multiLevelType w:val="hybridMultilevel"/>
    <w:tmpl w:val="6486C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B951D2"/>
    <w:multiLevelType w:val="hybridMultilevel"/>
    <w:tmpl w:val="70A00640"/>
    <w:lvl w:ilvl="0" w:tplc="080A000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8279D7"/>
    <w:multiLevelType w:val="hybridMultilevel"/>
    <w:tmpl w:val="15280506"/>
    <w:lvl w:ilvl="0" w:tplc="3AFADEFE">
      <w:start w:val="1"/>
      <w:numFmt w:val="upperRoman"/>
      <w:lvlText w:val="%1."/>
      <w:lvlJc w:val="center"/>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D7B321C"/>
    <w:multiLevelType w:val="hybridMultilevel"/>
    <w:tmpl w:val="322AD340"/>
    <w:lvl w:ilvl="0" w:tplc="08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C1142A"/>
    <w:multiLevelType w:val="hybridMultilevel"/>
    <w:tmpl w:val="AC8E74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9912E2"/>
    <w:multiLevelType w:val="hybridMultilevel"/>
    <w:tmpl w:val="26F02A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6627992"/>
    <w:multiLevelType w:val="hybridMultilevel"/>
    <w:tmpl w:val="3F2286B0"/>
    <w:lvl w:ilvl="0" w:tplc="08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7450C0"/>
    <w:multiLevelType w:val="hybridMultilevel"/>
    <w:tmpl w:val="26F02AD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222A92"/>
    <w:multiLevelType w:val="hybridMultilevel"/>
    <w:tmpl w:val="C0EA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5A9852B4"/>
    <w:multiLevelType w:val="hybridMultilevel"/>
    <w:tmpl w:val="5CF6A63A"/>
    <w:lvl w:ilvl="0" w:tplc="B098475A">
      <w:start w:val="1"/>
      <w:numFmt w:val="upperRoman"/>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CD3FA5"/>
    <w:multiLevelType w:val="hybridMultilevel"/>
    <w:tmpl w:val="C3F0563C"/>
    <w:lvl w:ilvl="0" w:tplc="08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30394933">
    <w:abstractNumId w:val="8"/>
  </w:num>
  <w:num w:numId="2" w16cid:durableId="168106537">
    <w:abstractNumId w:val="7"/>
  </w:num>
  <w:num w:numId="3" w16cid:durableId="872768072">
    <w:abstractNumId w:val="4"/>
  </w:num>
  <w:num w:numId="4" w16cid:durableId="558588889">
    <w:abstractNumId w:val="6"/>
  </w:num>
  <w:num w:numId="5" w16cid:durableId="739399948">
    <w:abstractNumId w:val="11"/>
  </w:num>
  <w:num w:numId="6" w16cid:durableId="1287199042">
    <w:abstractNumId w:val="19"/>
  </w:num>
  <w:num w:numId="7" w16cid:durableId="560405549">
    <w:abstractNumId w:val="18"/>
  </w:num>
  <w:num w:numId="8" w16cid:durableId="2003267947">
    <w:abstractNumId w:val="13"/>
  </w:num>
  <w:num w:numId="9" w16cid:durableId="827138497">
    <w:abstractNumId w:val="14"/>
  </w:num>
  <w:num w:numId="10" w16cid:durableId="374236077">
    <w:abstractNumId w:val="17"/>
  </w:num>
  <w:num w:numId="11" w16cid:durableId="1498426108">
    <w:abstractNumId w:val="12"/>
  </w:num>
  <w:num w:numId="12" w16cid:durableId="736780547">
    <w:abstractNumId w:val="15"/>
  </w:num>
  <w:num w:numId="13" w16cid:durableId="520052088">
    <w:abstractNumId w:val="2"/>
  </w:num>
  <w:num w:numId="14" w16cid:durableId="1993440515">
    <w:abstractNumId w:val="16"/>
  </w:num>
  <w:num w:numId="15" w16cid:durableId="1124078504">
    <w:abstractNumId w:val="1"/>
  </w:num>
  <w:num w:numId="16" w16cid:durableId="1355184962">
    <w:abstractNumId w:val="9"/>
  </w:num>
  <w:num w:numId="17" w16cid:durableId="846283985">
    <w:abstractNumId w:val="3"/>
  </w:num>
  <w:num w:numId="18" w16cid:durableId="1653482229">
    <w:abstractNumId w:val="10"/>
  </w:num>
  <w:num w:numId="19" w16cid:durableId="1932394520">
    <w:abstractNumId w:val="20"/>
  </w:num>
  <w:num w:numId="20" w16cid:durableId="1441140996">
    <w:abstractNumId w:val="0"/>
  </w:num>
  <w:num w:numId="21" w16cid:durableId="1520122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mailMerge>
    <w:mainDocumentType w:val="catalog"/>
    <w:dataType w:val="textFile"/>
    <w:activeRecord w:val="-1"/>
  </w:mailMerge>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07164"/>
    <w:rsid w:val="00007BFA"/>
    <w:rsid w:val="00016D73"/>
    <w:rsid w:val="00055570"/>
    <w:rsid w:val="00085CAE"/>
    <w:rsid w:val="00085D5A"/>
    <w:rsid w:val="000911B6"/>
    <w:rsid w:val="000F2A3F"/>
    <w:rsid w:val="000F43C9"/>
    <w:rsid w:val="00160C02"/>
    <w:rsid w:val="00160C78"/>
    <w:rsid w:val="001A0D96"/>
    <w:rsid w:val="001B71C2"/>
    <w:rsid w:val="001C2B78"/>
    <w:rsid w:val="001C36BF"/>
    <w:rsid w:val="001D0BED"/>
    <w:rsid w:val="001E18F8"/>
    <w:rsid w:val="001E2807"/>
    <w:rsid w:val="001F3494"/>
    <w:rsid w:val="002050E8"/>
    <w:rsid w:val="00207BA8"/>
    <w:rsid w:val="002138B3"/>
    <w:rsid w:val="00223B0B"/>
    <w:rsid w:val="002261FF"/>
    <w:rsid w:val="00227767"/>
    <w:rsid w:val="00230F3C"/>
    <w:rsid w:val="002434FF"/>
    <w:rsid w:val="00250D5A"/>
    <w:rsid w:val="00281126"/>
    <w:rsid w:val="00283E79"/>
    <w:rsid w:val="00294818"/>
    <w:rsid w:val="002B0B24"/>
    <w:rsid w:val="002C29EE"/>
    <w:rsid w:val="002C2AC2"/>
    <w:rsid w:val="002E37B6"/>
    <w:rsid w:val="00302A51"/>
    <w:rsid w:val="00332FE9"/>
    <w:rsid w:val="00366E21"/>
    <w:rsid w:val="00384692"/>
    <w:rsid w:val="0039286C"/>
    <w:rsid w:val="003A162A"/>
    <w:rsid w:val="003B077C"/>
    <w:rsid w:val="003B5B29"/>
    <w:rsid w:val="003C360F"/>
    <w:rsid w:val="003F1D7B"/>
    <w:rsid w:val="00404410"/>
    <w:rsid w:val="00406C29"/>
    <w:rsid w:val="004279F3"/>
    <w:rsid w:val="00446F0C"/>
    <w:rsid w:val="0045701C"/>
    <w:rsid w:val="00457694"/>
    <w:rsid w:val="0047341F"/>
    <w:rsid w:val="004767BE"/>
    <w:rsid w:val="004A0B63"/>
    <w:rsid w:val="004B7538"/>
    <w:rsid w:val="004C31A6"/>
    <w:rsid w:val="004C75E5"/>
    <w:rsid w:val="004D6D14"/>
    <w:rsid w:val="004E552A"/>
    <w:rsid w:val="004F7A35"/>
    <w:rsid w:val="005034EB"/>
    <w:rsid w:val="00515445"/>
    <w:rsid w:val="0052199C"/>
    <w:rsid w:val="00522E96"/>
    <w:rsid w:val="005331B7"/>
    <w:rsid w:val="00551D23"/>
    <w:rsid w:val="00585BD4"/>
    <w:rsid w:val="005973B7"/>
    <w:rsid w:val="00597CE3"/>
    <w:rsid w:val="005D0B16"/>
    <w:rsid w:val="005E34D0"/>
    <w:rsid w:val="005F0181"/>
    <w:rsid w:val="0061003C"/>
    <w:rsid w:val="006141B7"/>
    <w:rsid w:val="006166DB"/>
    <w:rsid w:val="00623601"/>
    <w:rsid w:val="006441CF"/>
    <w:rsid w:val="0065492B"/>
    <w:rsid w:val="006629A0"/>
    <w:rsid w:val="006911B3"/>
    <w:rsid w:val="006961E7"/>
    <w:rsid w:val="006B5E5F"/>
    <w:rsid w:val="006E65E7"/>
    <w:rsid w:val="006F7E1D"/>
    <w:rsid w:val="00703626"/>
    <w:rsid w:val="00720D02"/>
    <w:rsid w:val="007466F1"/>
    <w:rsid w:val="0075674C"/>
    <w:rsid w:val="0078318D"/>
    <w:rsid w:val="007D2FD6"/>
    <w:rsid w:val="007E2FE7"/>
    <w:rsid w:val="007E6D00"/>
    <w:rsid w:val="007F5106"/>
    <w:rsid w:val="008017FB"/>
    <w:rsid w:val="00802508"/>
    <w:rsid w:val="00815D92"/>
    <w:rsid w:val="00820F3E"/>
    <w:rsid w:val="00831A9E"/>
    <w:rsid w:val="00860E11"/>
    <w:rsid w:val="00874CD1"/>
    <w:rsid w:val="00886BED"/>
    <w:rsid w:val="00891A58"/>
    <w:rsid w:val="0089205E"/>
    <w:rsid w:val="00894BBD"/>
    <w:rsid w:val="008D0C52"/>
    <w:rsid w:val="008D6246"/>
    <w:rsid w:val="008E3E5A"/>
    <w:rsid w:val="00906E17"/>
    <w:rsid w:val="0092117A"/>
    <w:rsid w:val="0092333A"/>
    <w:rsid w:val="009701A3"/>
    <w:rsid w:val="00977ED5"/>
    <w:rsid w:val="009918CF"/>
    <w:rsid w:val="009A6722"/>
    <w:rsid w:val="009C20B0"/>
    <w:rsid w:val="009D567D"/>
    <w:rsid w:val="00A70F6B"/>
    <w:rsid w:val="00A750DA"/>
    <w:rsid w:val="00A80610"/>
    <w:rsid w:val="00A92573"/>
    <w:rsid w:val="00A93C7F"/>
    <w:rsid w:val="00AA10A5"/>
    <w:rsid w:val="00AA1780"/>
    <w:rsid w:val="00AC079F"/>
    <w:rsid w:val="00AC73AB"/>
    <w:rsid w:val="00AD4846"/>
    <w:rsid w:val="00AF71CC"/>
    <w:rsid w:val="00B018E8"/>
    <w:rsid w:val="00B30E6B"/>
    <w:rsid w:val="00B4385A"/>
    <w:rsid w:val="00B557EF"/>
    <w:rsid w:val="00B8531B"/>
    <w:rsid w:val="00BD1552"/>
    <w:rsid w:val="00BE45D0"/>
    <w:rsid w:val="00C36BB0"/>
    <w:rsid w:val="00C57BD2"/>
    <w:rsid w:val="00C76443"/>
    <w:rsid w:val="00C8049B"/>
    <w:rsid w:val="00C947EB"/>
    <w:rsid w:val="00CB210A"/>
    <w:rsid w:val="00CD7665"/>
    <w:rsid w:val="00CF5F25"/>
    <w:rsid w:val="00D14569"/>
    <w:rsid w:val="00D258BF"/>
    <w:rsid w:val="00D30065"/>
    <w:rsid w:val="00D372D4"/>
    <w:rsid w:val="00D54C24"/>
    <w:rsid w:val="00D61CDF"/>
    <w:rsid w:val="00D627AA"/>
    <w:rsid w:val="00D727D8"/>
    <w:rsid w:val="00D85F7B"/>
    <w:rsid w:val="00D93EA9"/>
    <w:rsid w:val="00DC3A1A"/>
    <w:rsid w:val="00DD4917"/>
    <w:rsid w:val="00DF074B"/>
    <w:rsid w:val="00DF1654"/>
    <w:rsid w:val="00E03F4F"/>
    <w:rsid w:val="00E05897"/>
    <w:rsid w:val="00E70994"/>
    <w:rsid w:val="00E71FC8"/>
    <w:rsid w:val="00E77DE9"/>
    <w:rsid w:val="00EE6AE6"/>
    <w:rsid w:val="00EF614E"/>
    <w:rsid w:val="00EF7919"/>
    <w:rsid w:val="00F014C6"/>
    <w:rsid w:val="00F10374"/>
    <w:rsid w:val="00F30AF6"/>
    <w:rsid w:val="00F42CB3"/>
    <w:rsid w:val="00F52381"/>
    <w:rsid w:val="00F54CB3"/>
    <w:rsid w:val="00F62AAD"/>
    <w:rsid w:val="00F71208"/>
    <w:rsid w:val="00F73022"/>
    <w:rsid w:val="00FA4E22"/>
    <w:rsid w:val="00FB7333"/>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0F5A8BA285AC404EA7CF86593950CDFB5"/>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8E0F501429F446FFA353DA1D3D030DDD"/>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r w:rsidRPr="00BB6A43">
            <w:rPr>
              <w:rStyle w:val="Textodelmarcadordeposicin"/>
            </w:rPr>
            <w:t>Elija un elemento.</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r w:rsidRPr="00BB6A43">
            <w:rPr>
              <w:rStyle w:val="Textodelmarcadordeposicin"/>
            </w:rPr>
            <w:t>Elija un elemento.</w:t>
          </w:r>
        </w:p>
      </w:docPartBody>
    </w:docPart>
    <w:docPart>
      <w:docPartPr>
        <w:name w:val="ABD7052BEC47422ABB3D7410E0EF99AF"/>
        <w:category>
          <w:name w:val="General"/>
          <w:gallery w:val="placeholder"/>
        </w:category>
        <w:types>
          <w:type w:val="bbPlcHdr"/>
        </w:types>
        <w:behaviors>
          <w:behavior w:val="content"/>
        </w:behaviors>
        <w:guid w:val="{B680705A-0969-4BD0-87AC-1011467900FE}"/>
      </w:docPartPr>
      <w:docPartBody>
        <w:p w:rsidR="00794A4A" w:rsidRDefault="001E578D" w:rsidP="001E578D">
          <w:pPr>
            <w:pStyle w:val="ABD7052BEC47422ABB3D7410E0EF99AF"/>
          </w:pPr>
          <w:r w:rsidRPr="00BB6A43">
            <w:rPr>
              <w:rStyle w:val="Textodelmarcadordeposicin"/>
            </w:rPr>
            <w:t>Elija un elemento.</w:t>
          </w:r>
        </w:p>
      </w:docPartBody>
    </w:docPart>
    <w:docPart>
      <w:docPartPr>
        <w:name w:val="0C865DB2096249408694BCA0BB79782B"/>
        <w:category>
          <w:name w:val="General"/>
          <w:gallery w:val="placeholder"/>
        </w:category>
        <w:types>
          <w:type w:val="bbPlcHdr"/>
        </w:types>
        <w:behaviors>
          <w:behavior w:val="content"/>
        </w:behaviors>
        <w:guid w:val="{C3BA97C6-5D2D-492B-AF6B-2A21436A234B}"/>
      </w:docPartPr>
      <w:docPartBody>
        <w:p w:rsidR="00794A4A" w:rsidRDefault="001E578D" w:rsidP="001E578D">
          <w:pPr>
            <w:pStyle w:val="0C865DB2096249408694BCA0BB79782B"/>
          </w:pPr>
          <w:r w:rsidRPr="00BB6A43">
            <w:rPr>
              <w:rStyle w:val="Textodelmarcadordeposicin"/>
            </w:rPr>
            <w:t>Elija un elemento.</w:t>
          </w:r>
        </w:p>
      </w:docPartBody>
    </w:docPart>
    <w:docPart>
      <w:docPartPr>
        <w:name w:val="10D3FAB208444D7CB6D0BB48AA50826B"/>
        <w:category>
          <w:name w:val="General"/>
          <w:gallery w:val="placeholder"/>
        </w:category>
        <w:types>
          <w:type w:val="bbPlcHdr"/>
        </w:types>
        <w:behaviors>
          <w:behavior w:val="content"/>
        </w:behaviors>
        <w:guid w:val="{A1F565B7-FD6D-46D0-943B-77CA180CBFB9}"/>
      </w:docPartPr>
      <w:docPartBody>
        <w:p w:rsidR="00794A4A" w:rsidRDefault="001E578D" w:rsidP="001E578D">
          <w:pPr>
            <w:pStyle w:val="10D3FAB208444D7CB6D0BB48AA50826B"/>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B5A4B"/>
    <w:rsid w:val="001E578D"/>
    <w:rsid w:val="00247CE4"/>
    <w:rsid w:val="002607A3"/>
    <w:rsid w:val="0026494F"/>
    <w:rsid w:val="002852A0"/>
    <w:rsid w:val="002B7F38"/>
    <w:rsid w:val="002F0812"/>
    <w:rsid w:val="00303EA8"/>
    <w:rsid w:val="003A32BC"/>
    <w:rsid w:val="0047131E"/>
    <w:rsid w:val="004E3322"/>
    <w:rsid w:val="005D084C"/>
    <w:rsid w:val="00687FEB"/>
    <w:rsid w:val="006D779E"/>
    <w:rsid w:val="007313BB"/>
    <w:rsid w:val="0075674C"/>
    <w:rsid w:val="007866FE"/>
    <w:rsid w:val="00794A4A"/>
    <w:rsid w:val="008E6773"/>
    <w:rsid w:val="00904CBA"/>
    <w:rsid w:val="009149B3"/>
    <w:rsid w:val="00977C64"/>
    <w:rsid w:val="009F2A3C"/>
    <w:rsid w:val="00A52267"/>
    <w:rsid w:val="00A72DE6"/>
    <w:rsid w:val="00B01F8A"/>
    <w:rsid w:val="00BD1645"/>
    <w:rsid w:val="00BF7C0D"/>
    <w:rsid w:val="00C2228D"/>
    <w:rsid w:val="00D31C9E"/>
    <w:rsid w:val="00D57942"/>
    <w:rsid w:val="00D57A8B"/>
    <w:rsid w:val="00D83928"/>
    <w:rsid w:val="00DF3746"/>
    <w:rsid w:val="00F668A1"/>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E578D"/>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8E0F501429F446FFA353DA1D3D030DDD">
    <w:name w:val="8E0F501429F446FFA353DA1D3D030DDD"/>
    <w:rsid w:val="00904CBA"/>
  </w:style>
  <w:style w:type="paragraph" w:customStyle="1" w:styleId="ABD7052BEC47422ABB3D7410E0EF99AF">
    <w:name w:val="ABD7052BEC47422ABB3D7410E0EF99AF"/>
    <w:rsid w:val="001E578D"/>
  </w:style>
  <w:style w:type="paragraph" w:customStyle="1" w:styleId="0C865DB2096249408694BCA0BB79782B">
    <w:name w:val="0C865DB2096249408694BCA0BB79782B"/>
    <w:rsid w:val="001E578D"/>
  </w:style>
  <w:style w:type="paragraph" w:customStyle="1" w:styleId="10D3FAB208444D7CB6D0BB48AA50826B">
    <w:name w:val="10D3FAB208444D7CB6D0BB48AA50826B"/>
    <w:rsid w:val="001E5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2.xml><?xml version="1.0" encoding="utf-8"?>
<ds:datastoreItem xmlns:ds="http://schemas.openxmlformats.org/officeDocument/2006/customXml" ds:itemID="{D76ED42B-060C-45DE-92FF-C2006B294419}">
  <ds:schemaRefs>
    <ds:schemaRef ds:uri="http://schemas.openxmlformats.org/officeDocument/2006/bibliography"/>
  </ds:schemaRefs>
</ds:datastoreItem>
</file>

<file path=customXml/itemProps3.xml><?xml version="1.0" encoding="utf-8"?>
<ds:datastoreItem xmlns:ds="http://schemas.openxmlformats.org/officeDocument/2006/customXml" ds:itemID="{1A4E056B-280B-49A1-A946-08CEB42D8AA3}">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s>
</ds:datastoreItem>
</file>

<file path=customXml/itemProps4.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900</Words>
  <Characters>4550</Characters>
  <Application>Microsoft Office Word</Application>
  <DocSecurity>0</DocSecurity>
  <Lines>85</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información del Cuadro Nacional de Atribución de Frecuencias</dc:title>
  <dc:subject/>
  <dc:creator>Luis Fernando Rosas Yanez</dc:creator>
  <cp:keywords/>
  <dc:description/>
  <cp:lastModifiedBy>Carolina Sanchez Alquicira</cp:lastModifiedBy>
  <cp:revision>3</cp:revision>
  <cp:lastPrinted>2021-11-22T02:15:00Z</cp:lastPrinted>
  <dcterms:created xsi:type="dcterms:W3CDTF">2022-09-06T01:35:00Z</dcterms:created>
  <dcterms:modified xsi:type="dcterms:W3CDTF">2024-09-24T00:01:00Z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