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B946" w14:textId="77777777" w:rsidR="006166DB" w:rsidRPr="001C237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1.- Nombre de la</w:t>
      </w: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 xml:space="preserve">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60308438" w14:textId="77777777" w:rsidTr="00DF074B">
        <w:tc>
          <w:tcPr>
            <w:tcW w:w="8828" w:type="dxa"/>
          </w:tcPr>
          <w:p w14:paraId="692F8C91" w14:textId="6779CBFB" w:rsidR="006166DB" w:rsidRPr="001C2377" w:rsidRDefault="00FE1EE0" w:rsidP="00126B40">
            <w:pPr>
              <w:pStyle w:val="ANOTACION"/>
              <w:jc w:val="both"/>
              <w:rPr>
                <w:rFonts w:ascii="ITC Avant Garde" w:hAnsi="ITC Avant Garde"/>
                <w:bCs/>
                <w:sz w:val="20"/>
                <w:lang w:val="es-MX"/>
              </w:rPr>
            </w:pPr>
            <w:r w:rsidRPr="001C2377">
              <w:rPr>
                <w:rFonts w:ascii="ITC Avant Garde" w:hAnsi="ITC Avant Garde"/>
                <w:b w:val="0"/>
                <w:bCs/>
                <w:sz w:val="20"/>
              </w:rPr>
              <w:t>Lineamientos Generales para garantizar los Derechos de las Audiencias</w:t>
            </w:r>
          </w:p>
        </w:tc>
      </w:tr>
    </w:tbl>
    <w:p w14:paraId="404D479D" w14:textId="77777777" w:rsidR="006166DB" w:rsidRPr="001C237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6FC121C2" w14:textId="77777777" w:rsidR="006166DB" w:rsidRPr="001C237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06DC" w:rsidRPr="001C2377" w14:paraId="26E28896" w14:textId="77777777" w:rsidTr="00DF074B">
        <w:tc>
          <w:tcPr>
            <w:tcW w:w="8828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592"/>
            </w:tblGrid>
            <w:tr w:rsidR="006A06DC" w:rsidRPr="001C2377" w14:paraId="68F2E10F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"/>
                    <w:gridCol w:w="8400"/>
                  </w:tblGrid>
                  <w:tr w:rsidR="006A06DC" w:rsidRPr="001C2377" w14:paraId="0F0057FA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422E8B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2.1- Fecha de expedición o publicación en el DOF: </w:t>
                        </w:r>
                      </w:p>
                    </w:tc>
                  </w:tr>
                  <w:tr w:rsidR="006A06DC" w:rsidRPr="001C2377" w14:paraId="0A44AFD4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1B3BBE41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FE9270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05/02/2025</w:t>
                        </w:r>
                      </w:p>
                    </w:tc>
                  </w:tr>
                </w:tbl>
                <w:p w14:paraId="081A0307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43D47E26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48B0DB29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7F6051E5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"/>
                    <w:gridCol w:w="8397"/>
                  </w:tblGrid>
                  <w:tr w:rsidR="006A06DC" w:rsidRPr="001C2377" w14:paraId="56699839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F851DE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2.2- Fecha de última modificación, publicada en el DOF, en su caso:</w:t>
                        </w:r>
                      </w:p>
                    </w:tc>
                  </w:tr>
                  <w:tr w:rsidR="006A06DC" w:rsidRPr="001C2377" w14:paraId="7FEADF82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2C01B619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B3AC6E" w14:textId="34886515" w:rsidR="006A06DC" w:rsidRPr="001C2377" w:rsidRDefault="00063F15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No aplica</w:t>
                        </w:r>
                      </w:p>
                    </w:tc>
                  </w:tr>
                </w:tbl>
                <w:p w14:paraId="708D7F7A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0CD6506D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2D32B1A8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3515CD3D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"/>
                    <w:gridCol w:w="8397"/>
                  </w:tblGrid>
                  <w:tr w:rsidR="006A06DC" w:rsidRPr="001C2377" w14:paraId="43C202FE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D829A3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2.3- Fechas en que ha sido actualizada:</w:t>
                        </w:r>
                      </w:p>
                    </w:tc>
                  </w:tr>
                  <w:tr w:rsidR="006A06DC" w:rsidRPr="001C2377" w14:paraId="439158C2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04F9ADA2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86CDC8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No aplica</w:t>
                        </w:r>
                      </w:p>
                    </w:tc>
                  </w:tr>
                </w:tbl>
                <w:p w14:paraId="3A06E1EB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6BE7F2B1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206F60F9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0D42F5C6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"/>
                    <w:gridCol w:w="8400"/>
                  </w:tblGrid>
                  <w:tr w:rsidR="006A06DC" w:rsidRPr="001C2377" w14:paraId="58AE7310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566005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2.4- Tipo de vigencia:</w:t>
                        </w:r>
                      </w:p>
                    </w:tc>
                  </w:tr>
                  <w:tr w:rsidR="006A06DC" w:rsidRPr="001C2377" w14:paraId="63DD4A09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3780FF16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C6B366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Indefinida</w:t>
                        </w:r>
                      </w:p>
                    </w:tc>
                  </w:tr>
                </w:tbl>
                <w:p w14:paraId="3B6E3062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66678EF4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5CDB5C0F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0478F56E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"/>
                    <w:gridCol w:w="8400"/>
                  </w:tblGrid>
                  <w:tr w:rsidR="006A06DC" w:rsidRPr="001C2377" w14:paraId="203531E0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E408DF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2.5- Inicio de vigencia:</w:t>
                        </w:r>
                      </w:p>
                    </w:tc>
                  </w:tr>
                  <w:tr w:rsidR="006A06DC" w:rsidRPr="001C2377" w14:paraId="0EE86972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33C71034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C56CB6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26/02/2025</w:t>
                        </w:r>
                      </w:p>
                    </w:tc>
                  </w:tr>
                </w:tbl>
                <w:p w14:paraId="0522007A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668AB356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2F6C3DC6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6EC0117B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"/>
                    <w:gridCol w:w="8398"/>
                  </w:tblGrid>
                  <w:tr w:rsidR="006A06DC" w:rsidRPr="001C2377" w14:paraId="408171E1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0EE559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2.6- Termino de la vigencia:</w:t>
                        </w:r>
                      </w:p>
                    </w:tc>
                  </w:tr>
                  <w:tr w:rsidR="006A06DC" w:rsidRPr="001C2377" w14:paraId="0FE93276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40FAA9F7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5751C7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No aplica</w:t>
                        </w:r>
                      </w:p>
                    </w:tc>
                  </w:tr>
                </w:tbl>
                <w:p w14:paraId="00419364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</w:tbl>
          <w:p w14:paraId="5F38F381" w14:textId="4430BFFD" w:rsidR="006A06DC" w:rsidRPr="001C2377" w:rsidRDefault="006A06DC" w:rsidP="006A06DC">
            <w:pPr>
              <w:contextualSpacing/>
              <w:mirrorIndents/>
              <w:rPr>
                <w:rStyle w:val="Estilo4"/>
                <w:rFonts w:ascii="ITC Avant Garde" w:hAnsi="ITC Avant Garde"/>
                <w:sz w:val="20"/>
                <w:szCs w:val="20"/>
              </w:rPr>
            </w:pPr>
          </w:p>
        </w:tc>
      </w:tr>
      <w:tr w:rsidR="006A06DC" w:rsidRPr="001C2377" w14:paraId="0A10BDB0" w14:textId="77777777" w:rsidTr="00DF074B">
        <w:tc>
          <w:tcPr>
            <w:tcW w:w="8828" w:type="dxa"/>
          </w:tcPr>
          <w:p w14:paraId="7AF0FC6C" w14:textId="77777777" w:rsidR="006A06DC" w:rsidRPr="001C2377" w:rsidRDefault="006A06DC" w:rsidP="006A06DC">
            <w:pPr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00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760"/>
        <w:gridCol w:w="4680"/>
        <w:gridCol w:w="520"/>
        <w:gridCol w:w="1480"/>
        <w:gridCol w:w="1320"/>
      </w:tblGrid>
      <w:tr w:rsidR="006A06DC" w:rsidRPr="001C2377" w14:paraId="73446D2B" w14:textId="77777777" w:rsidTr="006A06DC">
        <w:trPr>
          <w:trHeight w:hRule="exact" w:val="560"/>
        </w:trPr>
        <w:tc>
          <w:tcPr>
            <w:tcW w:w="10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6A06DC" w:rsidRPr="001C2377" w14:paraId="4DF202C1" w14:textId="77777777" w:rsidTr="006A06DC">
              <w:trPr>
                <w:trHeight w:hRule="exact" w:val="280"/>
              </w:trPr>
              <w:tc>
                <w:tcPr>
                  <w:tcW w:w="8789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FDE5A" w14:textId="77777777" w:rsidR="006A06DC" w:rsidRPr="001C2377" w:rsidRDefault="006A06DC" w:rsidP="006A06DC">
                  <w:pPr>
                    <w:framePr w:hSpace="141" w:wrap="around" w:vAnchor="text" w:hAnchor="text" w:y="1"/>
                    <w:spacing w:after="0" w:line="240" w:lineRule="auto"/>
                    <w:ind w:right="1231"/>
                    <w:suppressOverlap/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</w:pPr>
                  <w:r w:rsidRPr="001C2377">
                    <w:rPr>
                      <w:rFonts w:ascii="ITC Avant Garde" w:eastAsia="SansSerif" w:hAnsi="ITC Avant Garde" w:cs="SansSerif"/>
                      <w:b/>
                      <w:color w:val="000000"/>
                      <w:sz w:val="20"/>
                      <w:szCs w:val="20"/>
                      <w:lang w:eastAsia="es-MX"/>
                    </w:rPr>
                    <w:t>3.- Enlace oficial de la regulación:</w:t>
                  </w:r>
                </w:p>
              </w:tc>
            </w:tr>
            <w:tr w:rsidR="006A06DC" w:rsidRPr="001C2377" w14:paraId="08504E5E" w14:textId="77777777" w:rsidTr="006A06DC">
              <w:trPr>
                <w:trHeight w:hRule="exact" w:val="280"/>
              </w:trPr>
              <w:tc>
                <w:tcPr>
                  <w:tcW w:w="87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58607AB5" w14:textId="34CD726A" w:rsidR="006A06DC" w:rsidRPr="001C2377" w:rsidRDefault="00DE1A7E" w:rsidP="006A06DC">
                  <w:pPr>
                    <w:framePr w:hSpace="141" w:wrap="around" w:vAnchor="text" w:hAnchor="text" w:y="1"/>
                    <w:spacing w:after="0" w:line="240" w:lineRule="auto"/>
                    <w:ind w:right="1231"/>
                    <w:suppressOverlap/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</w:pPr>
                  <w:hyperlink r:id="rId11" w:anchor="gsc.tab=0" w:history="1">
                    <w:r w:rsidR="00FB6ADB" w:rsidRPr="009B63B0">
                      <w:rPr>
                        <w:rStyle w:val="Hipervnculo"/>
                        <w:rFonts w:ascii="ITC Avant Garde" w:eastAsia="Times New Roman" w:hAnsi="ITC Avant Garde" w:cs="Times New Roman"/>
                        <w:sz w:val="20"/>
                        <w:szCs w:val="20"/>
                        <w:bdr w:val="none" w:sz="0" w:space="0" w:color="auto"/>
                        <w:lang w:eastAsia="es-MX"/>
                      </w:rPr>
                      <w:t>https://dof.gob.mx/nota_detalle.php?codigo=5748459&amp;fecha=05/02/2025#gsc.tab=0</w:t>
                    </w:r>
                  </w:hyperlink>
                  <w:r w:rsidR="00FB6ADB"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  <w:t xml:space="preserve"> </w:t>
                  </w:r>
                </w:p>
              </w:tc>
            </w:tr>
          </w:tbl>
          <w:p w14:paraId="0BDB331C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</w:tr>
      <w:tr w:rsidR="006A06DC" w:rsidRPr="001C2377" w14:paraId="192EB849" w14:textId="77777777" w:rsidTr="006A06DC">
        <w:trPr>
          <w:trHeight w:hRule="exact" w:val="240"/>
        </w:trPr>
        <w:tc>
          <w:tcPr>
            <w:tcW w:w="1240" w:type="dxa"/>
          </w:tcPr>
          <w:p w14:paraId="231D0D13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0" w:type="dxa"/>
          </w:tcPr>
          <w:p w14:paraId="2C8B4E85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80" w:type="dxa"/>
          </w:tcPr>
          <w:p w14:paraId="77501C21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</w:tcPr>
          <w:p w14:paraId="575419B2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</w:tcPr>
          <w:p w14:paraId="506A974E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</w:tcPr>
          <w:p w14:paraId="243B7CC8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</w:tr>
      <w:tr w:rsidR="006A06DC" w:rsidRPr="001C2377" w14:paraId="5089F016" w14:textId="77777777" w:rsidTr="006A06DC">
        <w:trPr>
          <w:trHeight w:hRule="exact" w:val="560"/>
        </w:trPr>
        <w:tc>
          <w:tcPr>
            <w:tcW w:w="10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6A06DC" w:rsidRPr="001C2377" w14:paraId="015F0D5B" w14:textId="77777777" w:rsidTr="006A06DC">
              <w:trPr>
                <w:trHeight w:hRule="exact" w:val="280"/>
              </w:trPr>
              <w:tc>
                <w:tcPr>
                  <w:tcW w:w="8789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081C4" w14:textId="77777777" w:rsidR="006A06DC" w:rsidRPr="001C2377" w:rsidRDefault="006A06DC" w:rsidP="006A06DC">
                  <w:pPr>
                    <w:framePr w:hSpace="141" w:wrap="around" w:vAnchor="text" w:hAnchor="text" w:y="1"/>
                    <w:spacing w:after="0" w:line="240" w:lineRule="auto"/>
                    <w:ind w:right="1231"/>
                    <w:suppressOverlap/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</w:pPr>
                  <w:r w:rsidRPr="001C2377">
                    <w:rPr>
                      <w:rFonts w:ascii="ITC Avant Garde" w:eastAsia="SansSerif" w:hAnsi="ITC Avant Garde" w:cs="SansSerif"/>
                      <w:b/>
                      <w:color w:val="000000"/>
                      <w:sz w:val="20"/>
                      <w:szCs w:val="20"/>
                      <w:lang w:eastAsia="es-MX"/>
                    </w:rPr>
                    <w:t>4.- Versión íntegra de la regulación:</w:t>
                  </w:r>
                </w:p>
              </w:tc>
            </w:tr>
            <w:tr w:rsidR="006A06DC" w:rsidRPr="001C2377" w14:paraId="4E0FFF32" w14:textId="77777777" w:rsidTr="006A06DC">
              <w:trPr>
                <w:trHeight w:hRule="exact" w:val="280"/>
              </w:trPr>
              <w:tc>
                <w:tcPr>
                  <w:tcW w:w="87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369004AC" w14:textId="31C7AEDB" w:rsidR="006A06DC" w:rsidRPr="001C2377" w:rsidRDefault="00DE1A7E" w:rsidP="006A06DC">
                  <w:pPr>
                    <w:framePr w:hSpace="141" w:wrap="around" w:vAnchor="text" w:hAnchor="text" w:y="1"/>
                    <w:spacing w:after="0" w:line="240" w:lineRule="auto"/>
                    <w:ind w:right="1231"/>
                    <w:suppressOverlap/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</w:pPr>
                  <w:hyperlink r:id="rId12" w:anchor="gsc.tab=0" w:history="1">
                    <w:r w:rsidR="00285773" w:rsidRPr="009B63B0">
                      <w:rPr>
                        <w:rStyle w:val="Hipervnculo"/>
                        <w:rFonts w:ascii="ITC Avant Garde" w:eastAsia="Times New Roman" w:hAnsi="ITC Avant Garde" w:cs="Times New Roman"/>
                        <w:sz w:val="20"/>
                        <w:szCs w:val="20"/>
                        <w:bdr w:val="none" w:sz="0" w:space="0" w:color="auto"/>
                        <w:lang w:eastAsia="es-MX"/>
                      </w:rPr>
                      <w:t>https://dof.gob.mx/nota_detalle.php?codigo=5748459&amp;fecha=05/02/2025#gsc.tab=0</w:t>
                    </w:r>
                  </w:hyperlink>
                  <w:r w:rsidR="00285773"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  <w:t xml:space="preserve"> </w:t>
                  </w:r>
                </w:p>
              </w:tc>
            </w:tr>
          </w:tbl>
          <w:p w14:paraId="56BDF5C2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D4695D9" w14:textId="77777777" w:rsidR="006166DB" w:rsidRPr="001C2377" w:rsidRDefault="006166DB" w:rsidP="006A06DC">
      <w:pPr>
        <w:spacing w:after="0" w:line="240" w:lineRule="auto"/>
        <w:ind w:right="1231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77EF99D1" w14:textId="74FAF0AF" w:rsidR="006166DB" w:rsidRPr="001C2377" w:rsidRDefault="006A06DC" w:rsidP="006A06DC">
      <w:pPr>
        <w:shd w:val="clear" w:color="auto" w:fill="C5E0B3" w:themeFill="accent6" w:themeFillTint="66"/>
        <w:spacing w:after="0" w:line="240" w:lineRule="auto"/>
        <w:ind w:right="1231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5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>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457422D6" w14:textId="77777777" w:rsidTr="00DF074B">
        <w:tc>
          <w:tcPr>
            <w:tcW w:w="8828" w:type="dxa"/>
          </w:tcPr>
          <w:p w14:paraId="3DECEE06" w14:textId="77777777" w:rsidR="003522AC" w:rsidRPr="001C2377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Instituto Federal de Telecomunicaciones</w:t>
            </w:r>
          </w:p>
        </w:tc>
      </w:tr>
    </w:tbl>
    <w:tbl>
      <w:tblPr>
        <w:tblpPr w:leftFromText="141" w:rightFromText="141" w:vertAnchor="text" w:tblpY="1"/>
        <w:tblOverlap w:val="never"/>
        <w:tblW w:w="10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0"/>
        <w:gridCol w:w="680"/>
      </w:tblGrid>
      <w:tr w:rsidR="006A06DC" w:rsidRPr="001C2377" w14:paraId="306ACA3E" w14:textId="77777777" w:rsidTr="006A06DC">
        <w:trPr>
          <w:trHeight w:hRule="exact" w:val="560"/>
        </w:trPr>
        <w:tc>
          <w:tcPr>
            <w:tcW w:w="10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6A06DC" w:rsidRPr="001C2377" w14:paraId="2DA52D4F" w14:textId="77777777" w:rsidTr="006A06DC">
              <w:trPr>
                <w:trHeight w:hRule="exact" w:val="280"/>
              </w:trPr>
              <w:tc>
                <w:tcPr>
                  <w:tcW w:w="8789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C5C7E" w14:textId="77777777" w:rsidR="006A06DC" w:rsidRPr="001C2377" w:rsidRDefault="006A06DC" w:rsidP="00DB1F43">
                  <w:pPr>
                    <w:framePr w:hSpace="141" w:wrap="around" w:vAnchor="text" w:hAnchor="text" w:y="1"/>
                    <w:suppressOverlap/>
                    <w:rPr>
                      <w:rFonts w:ascii="ITC Avant Garde" w:hAnsi="ITC Avant Garde"/>
                      <w:sz w:val="20"/>
                      <w:szCs w:val="20"/>
                    </w:rPr>
                  </w:pPr>
                  <w:r w:rsidRPr="001C2377">
                    <w:rPr>
                      <w:rFonts w:ascii="ITC Avant Garde" w:eastAsia="SansSerif" w:hAnsi="ITC Avant Garde" w:cs="SansSerif"/>
                      <w:b/>
                      <w:color w:val="000000"/>
                      <w:sz w:val="20"/>
                      <w:szCs w:val="20"/>
                    </w:rPr>
                    <w:t>6.- Unidad Administrativa del IFT responsable de la regulación:</w:t>
                  </w:r>
                </w:p>
              </w:tc>
            </w:tr>
            <w:tr w:rsidR="006A06DC" w:rsidRPr="001C2377" w14:paraId="76C9FFD5" w14:textId="77777777" w:rsidTr="006A06DC">
              <w:trPr>
                <w:trHeight w:hRule="exact" w:val="280"/>
              </w:trPr>
              <w:tc>
                <w:tcPr>
                  <w:tcW w:w="87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34C7F9E1" w14:textId="77777777" w:rsidR="006A06DC" w:rsidRPr="001C2377" w:rsidRDefault="006A06DC" w:rsidP="00DB1F43">
                  <w:pPr>
                    <w:framePr w:hSpace="141" w:wrap="around" w:vAnchor="text" w:hAnchor="text" w:y="1"/>
                    <w:suppressOverlap/>
                    <w:rPr>
                      <w:rFonts w:ascii="ITC Avant Garde" w:hAnsi="ITC Avant Garde"/>
                      <w:sz w:val="20"/>
                      <w:szCs w:val="20"/>
                    </w:rPr>
                  </w:pPr>
                  <w:r w:rsidRPr="001C2377">
                    <w:rPr>
                      <w:rFonts w:ascii="ITC Avant Garde" w:eastAsia="SansSerif" w:hAnsi="ITC Avant Garde" w:cs="SansSerif"/>
                      <w:color w:val="000000"/>
                      <w:sz w:val="20"/>
                      <w:szCs w:val="20"/>
                    </w:rPr>
                    <w:t>Unidad de Medios y Contenidos Audiovisuales</w:t>
                  </w:r>
                </w:p>
              </w:tc>
            </w:tr>
          </w:tbl>
          <w:p w14:paraId="3E687914" w14:textId="77777777" w:rsidR="006A06DC" w:rsidRPr="001C2377" w:rsidRDefault="006A06DC" w:rsidP="006A06DC">
            <w:pPr>
              <w:pStyle w:val="EMPTYCELLSTYLE"/>
              <w:rPr>
                <w:rFonts w:ascii="ITC Avant Garde" w:hAnsi="ITC Avant Garde"/>
                <w:sz w:val="20"/>
              </w:rPr>
            </w:pPr>
          </w:p>
        </w:tc>
        <w:tc>
          <w:tcPr>
            <w:tcW w:w="680" w:type="dxa"/>
          </w:tcPr>
          <w:p w14:paraId="48F9C0EB" w14:textId="77777777" w:rsidR="006A06DC" w:rsidRPr="001C2377" w:rsidRDefault="006A06DC" w:rsidP="006A06DC">
            <w:pPr>
              <w:pStyle w:val="EMPTYCELLSTYLE"/>
              <w:rPr>
                <w:rFonts w:ascii="ITC Avant Garde" w:hAnsi="ITC Avant Garde"/>
                <w:sz w:val="20"/>
              </w:rPr>
            </w:pPr>
          </w:p>
        </w:tc>
      </w:tr>
    </w:tbl>
    <w:p w14:paraId="13695099" w14:textId="77777777" w:rsidR="006166DB" w:rsidRPr="001C237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4A45C3CA" w14:textId="13C7E4B3" w:rsidR="006166DB" w:rsidRPr="001C2377" w:rsidRDefault="006A06DC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7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 xml:space="preserve">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30390D51" w14:textId="77777777" w:rsidTr="00DF074B">
        <w:tc>
          <w:tcPr>
            <w:tcW w:w="8828" w:type="dxa"/>
          </w:tcPr>
          <w:p w14:paraId="7174FDC9" w14:textId="77777777" w:rsidR="006166DB" w:rsidRPr="001C2377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Instituto Federal de Telecomunicaciones</w:t>
            </w:r>
          </w:p>
        </w:tc>
      </w:tr>
    </w:tbl>
    <w:p w14:paraId="17C0BBAA" w14:textId="77777777" w:rsidR="006166DB" w:rsidRPr="001C237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57EC1710" w14:textId="0E9A2D8C" w:rsidR="00DC3A1A" w:rsidRPr="001C2377" w:rsidRDefault="006A06DC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8</w:t>
      </w:r>
      <w:r w:rsidR="00DC3A1A" w:rsidRPr="001C2377">
        <w:rPr>
          <w:rFonts w:ascii="ITC Avant Garde" w:hAnsi="ITC Avant Garde"/>
          <w:b/>
          <w:color w:val="000000" w:themeColor="text1"/>
          <w:sz w:val="20"/>
          <w:szCs w:val="20"/>
        </w:rPr>
        <w:t xml:space="preserve">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1C2377" w14:paraId="32D87987" w14:textId="77777777" w:rsidTr="00DF074B">
        <w:tc>
          <w:tcPr>
            <w:tcW w:w="8828" w:type="dxa"/>
          </w:tcPr>
          <w:p w14:paraId="173DA465" w14:textId="10830546" w:rsidR="00DC3A1A" w:rsidRPr="001C2377" w:rsidRDefault="00DE1A7E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Estilo4"/>
                  <w:rFonts w:ascii="ITC Avant Garde" w:hAnsi="ITC Avant Garde"/>
                  <w:sz w:val="20"/>
                  <w:szCs w:val="20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1C2377">
                  <w:rPr>
                    <w:rStyle w:val="Estilo4"/>
                    <w:rFonts w:ascii="ITC Avant Garde" w:hAnsi="ITC Avant Garde"/>
                    <w:sz w:val="20"/>
                    <w:szCs w:val="20"/>
                  </w:rPr>
                  <w:t>Federal</w:t>
                </w:r>
              </w:sdtContent>
            </w:sdt>
          </w:p>
        </w:tc>
      </w:tr>
    </w:tbl>
    <w:p w14:paraId="6BCB66A2" w14:textId="77777777" w:rsidR="0002355D" w:rsidRPr="001C2377" w:rsidRDefault="0002355D" w:rsidP="0002355D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0"/>
          <w:szCs w:val="20"/>
        </w:rPr>
      </w:pPr>
    </w:p>
    <w:p w14:paraId="752D361B" w14:textId="50435357" w:rsidR="006166DB" w:rsidRPr="001C2377" w:rsidRDefault="006A06DC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9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221695D7" w14:textId="77777777" w:rsidTr="00DF074B">
        <w:tc>
          <w:tcPr>
            <w:tcW w:w="8828" w:type="dxa"/>
          </w:tcPr>
          <w:p w14:paraId="6281A151" w14:textId="48A6B426" w:rsidR="006166DB" w:rsidRPr="001C2377" w:rsidRDefault="00DE1A7E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rStyle w:val="Estilo4"/>
                  <w:rFonts w:ascii="ITC Avant Garde" w:hAnsi="ITC Avant Garde"/>
                  <w:sz w:val="20"/>
                  <w:szCs w:val="20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D96D27" w:rsidRPr="001C2377">
                  <w:rPr>
                    <w:rStyle w:val="Estilo4"/>
                    <w:rFonts w:ascii="ITC Avant Garde" w:hAnsi="ITC Avant Garde"/>
                    <w:sz w:val="20"/>
                    <w:szCs w:val="20"/>
                  </w:rPr>
                  <w:t xml:space="preserve">Lineamiento </w:t>
                </w:r>
              </w:sdtContent>
            </w:sdt>
          </w:p>
        </w:tc>
      </w:tr>
    </w:tbl>
    <w:p w14:paraId="577F24C8" w14:textId="77777777" w:rsidR="006166DB" w:rsidRPr="001C2377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0"/>
          <w:szCs w:val="20"/>
        </w:rPr>
      </w:pPr>
    </w:p>
    <w:p w14:paraId="43B2F807" w14:textId="3705AEFF" w:rsidR="006166DB" w:rsidRPr="001C2377" w:rsidRDefault="006A06DC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10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>.</w:t>
      </w:r>
      <w:r w:rsidR="0002355D" w:rsidRPr="001C2377">
        <w:rPr>
          <w:rFonts w:ascii="ITC Avant Garde" w:hAnsi="ITC Avant Garde"/>
          <w:b/>
          <w:color w:val="000000" w:themeColor="text1"/>
          <w:sz w:val="20"/>
          <w:szCs w:val="20"/>
        </w:rPr>
        <w:t>-</w:t>
      </w:r>
      <w:r w:rsidR="006166DB" w:rsidRPr="001C2377">
        <w:rPr>
          <w:rFonts w:ascii="ITC Avant Garde" w:hAnsi="ITC Avant Garde"/>
          <w:sz w:val="20"/>
          <w:szCs w:val="20"/>
        </w:rPr>
        <w:t xml:space="preserve"> 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51951401" w14:textId="77777777" w:rsidTr="00F73022">
        <w:trPr>
          <w:trHeight w:val="65"/>
        </w:trPr>
        <w:tc>
          <w:tcPr>
            <w:tcW w:w="8828" w:type="dxa"/>
          </w:tcPr>
          <w:p w14:paraId="47546EA0" w14:textId="77777777" w:rsidR="00703C14" w:rsidRDefault="00285773" w:rsidP="003522AC">
            <w:pPr>
              <w:shd w:val="clear" w:color="auto" w:fill="FFFFFF"/>
              <w:ind w:left="284"/>
              <w:jc w:val="both"/>
              <w:rPr>
                <w:rFonts w:ascii="ITC Avant Garde" w:hAnsi="ITC Avant Garde" w:cs="Arial"/>
                <w:b/>
                <w:bCs/>
                <w:color w:val="2F2F2F"/>
                <w:sz w:val="20"/>
                <w:szCs w:val="20"/>
              </w:rPr>
            </w:pPr>
            <w:r>
              <w:rPr>
                <w:rFonts w:ascii="ITC Avant Garde" w:hAnsi="ITC Avant Garde" w:cs="Arial"/>
                <w:b/>
                <w:bCs/>
                <w:color w:val="2F2F2F"/>
                <w:sz w:val="20"/>
                <w:szCs w:val="20"/>
              </w:rPr>
              <w:t>Capítulo I De los Códigos de Ética</w:t>
            </w:r>
          </w:p>
          <w:p w14:paraId="49C5DA1A" w14:textId="41DDA8C2" w:rsidR="00285773" w:rsidRDefault="00285773" w:rsidP="003522AC">
            <w:pPr>
              <w:shd w:val="clear" w:color="auto" w:fill="FFFFFF"/>
              <w:ind w:left="284"/>
              <w:jc w:val="both"/>
              <w:rPr>
                <w:rFonts w:ascii="ITC Avant Garde" w:hAnsi="ITC Avant Garde" w:cs="Arial"/>
                <w:b/>
                <w:bCs/>
                <w:color w:val="2F2F2F"/>
                <w:sz w:val="20"/>
                <w:szCs w:val="20"/>
              </w:rPr>
            </w:pPr>
            <w:r>
              <w:rPr>
                <w:rFonts w:ascii="ITC Avant Garde" w:hAnsi="ITC Avant Garde" w:cs="Arial"/>
                <w:b/>
                <w:bCs/>
                <w:color w:val="2F2F2F"/>
                <w:sz w:val="20"/>
                <w:szCs w:val="20"/>
              </w:rPr>
              <w:t xml:space="preserve">Capítulo II De los Derechos de las Audiencias </w:t>
            </w:r>
          </w:p>
          <w:p w14:paraId="3A000AA8" w14:textId="77777777" w:rsidR="00285773" w:rsidRDefault="00285773" w:rsidP="003522AC">
            <w:pPr>
              <w:shd w:val="clear" w:color="auto" w:fill="FFFFFF"/>
              <w:ind w:left="284"/>
              <w:jc w:val="both"/>
              <w:rPr>
                <w:rFonts w:ascii="ITC Avant Garde" w:hAnsi="ITC Avant Garde" w:cs="Arial"/>
                <w:b/>
                <w:bCs/>
                <w:color w:val="2F2F2F"/>
                <w:sz w:val="20"/>
                <w:szCs w:val="20"/>
              </w:rPr>
            </w:pPr>
            <w:r>
              <w:rPr>
                <w:rFonts w:ascii="ITC Avant Garde" w:hAnsi="ITC Avant Garde" w:cs="Arial"/>
                <w:b/>
                <w:bCs/>
                <w:color w:val="2F2F2F"/>
                <w:sz w:val="20"/>
                <w:szCs w:val="20"/>
              </w:rPr>
              <w:t xml:space="preserve">Capítulo III De la </w:t>
            </w:r>
            <w:r w:rsidR="001F74E8">
              <w:rPr>
                <w:rFonts w:ascii="ITC Avant Garde" w:hAnsi="ITC Avant Garde" w:cs="Arial"/>
                <w:b/>
                <w:bCs/>
                <w:color w:val="2F2F2F"/>
                <w:sz w:val="20"/>
                <w:szCs w:val="20"/>
              </w:rPr>
              <w:t xml:space="preserve">Defensoría de Audiencias </w:t>
            </w:r>
          </w:p>
          <w:p w14:paraId="719CB32E" w14:textId="77777777" w:rsidR="001F74E8" w:rsidRDefault="001F74E8" w:rsidP="003522AC">
            <w:pPr>
              <w:shd w:val="clear" w:color="auto" w:fill="FFFFFF"/>
              <w:ind w:left="284"/>
              <w:jc w:val="both"/>
              <w:rPr>
                <w:rFonts w:ascii="ITC Avant Garde" w:hAnsi="ITC Avant Garde" w:cs="Arial"/>
                <w:b/>
                <w:bCs/>
                <w:color w:val="2F2F2F"/>
                <w:sz w:val="20"/>
                <w:szCs w:val="20"/>
              </w:rPr>
            </w:pPr>
            <w:r>
              <w:rPr>
                <w:rFonts w:ascii="ITC Avant Garde" w:hAnsi="ITC Avant Garde" w:cs="Arial"/>
                <w:b/>
                <w:bCs/>
                <w:color w:val="2F2F2F"/>
                <w:sz w:val="20"/>
                <w:szCs w:val="20"/>
              </w:rPr>
              <w:lastRenderedPageBreak/>
              <w:t>Capítulo IV Del Servicio de Televisión y Audio Restringidos</w:t>
            </w:r>
          </w:p>
          <w:p w14:paraId="73567822" w14:textId="77777777" w:rsidR="001F74E8" w:rsidRDefault="001F74E8" w:rsidP="003522AC">
            <w:pPr>
              <w:shd w:val="clear" w:color="auto" w:fill="FFFFFF"/>
              <w:ind w:left="284"/>
              <w:jc w:val="both"/>
              <w:rPr>
                <w:rFonts w:ascii="ITC Avant Garde" w:hAnsi="ITC Avant Garde" w:cs="Arial"/>
                <w:b/>
                <w:bCs/>
                <w:color w:val="2F2F2F"/>
                <w:sz w:val="20"/>
                <w:szCs w:val="20"/>
              </w:rPr>
            </w:pPr>
            <w:r>
              <w:rPr>
                <w:rFonts w:ascii="ITC Avant Garde" w:hAnsi="ITC Avant Garde" w:cs="Arial"/>
                <w:b/>
                <w:bCs/>
                <w:color w:val="2F2F2F"/>
                <w:sz w:val="20"/>
                <w:szCs w:val="20"/>
              </w:rPr>
              <w:t>Capítulo V Supervisión y Sanciones</w:t>
            </w:r>
          </w:p>
          <w:p w14:paraId="43E2098C" w14:textId="514C4194" w:rsidR="001F74E8" w:rsidRPr="001C2377" w:rsidRDefault="001F74E8" w:rsidP="003522AC">
            <w:pPr>
              <w:shd w:val="clear" w:color="auto" w:fill="FFFFFF"/>
              <w:ind w:left="284"/>
              <w:jc w:val="both"/>
              <w:rPr>
                <w:rFonts w:ascii="ITC Avant Garde" w:hAnsi="ITC Avant Garde" w:cs="Arial"/>
                <w:b/>
                <w:bCs/>
                <w:color w:val="2F2F2F"/>
                <w:sz w:val="20"/>
                <w:szCs w:val="20"/>
              </w:rPr>
            </w:pPr>
          </w:p>
        </w:tc>
      </w:tr>
    </w:tbl>
    <w:p w14:paraId="5F2D4387" w14:textId="77777777" w:rsidR="00F73022" w:rsidRPr="001C237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668471B9" w14:textId="215DE6D2" w:rsidR="00F73022" w:rsidRPr="001C2377" w:rsidRDefault="006A06DC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11</w:t>
      </w:r>
      <w:r w:rsidR="00F73022" w:rsidRPr="001C2377">
        <w:rPr>
          <w:rFonts w:ascii="ITC Avant Garde" w:hAnsi="ITC Avant Garde"/>
          <w:b/>
          <w:color w:val="000000" w:themeColor="text1"/>
          <w:sz w:val="20"/>
          <w:szCs w:val="20"/>
        </w:rPr>
        <w:t>.</w:t>
      </w:r>
      <w:r w:rsidR="0002355D" w:rsidRPr="001C2377">
        <w:rPr>
          <w:rFonts w:ascii="ITC Avant Garde" w:hAnsi="ITC Avant Garde"/>
          <w:b/>
          <w:color w:val="000000" w:themeColor="text1"/>
          <w:sz w:val="20"/>
          <w:szCs w:val="20"/>
        </w:rPr>
        <w:t>-</w:t>
      </w:r>
      <w:r w:rsidR="00F73022" w:rsidRPr="001C2377">
        <w:rPr>
          <w:rFonts w:ascii="ITC Avant Garde" w:hAnsi="ITC Avant Garde"/>
          <w:sz w:val="20"/>
          <w:szCs w:val="20"/>
        </w:rPr>
        <w:t xml:space="preserve"> </w:t>
      </w:r>
      <w:r w:rsidR="00F73022" w:rsidRPr="001C2377">
        <w:rPr>
          <w:rFonts w:ascii="ITC Avant Garde" w:hAnsi="ITC Avant Garde"/>
          <w:b/>
          <w:color w:val="000000" w:themeColor="text1"/>
          <w:sz w:val="20"/>
          <w:szCs w:val="20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1C2377" w14:paraId="18855ECB" w14:textId="77777777" w:rsidTr="009E7BAA">
        <w:tc>
          <w:tcPr>
            <w:tcW w:w="8828" w:type="dxa"/>
            <w:vAlign w:val="center"/>
          </w:tcPr>
          <w:p w14:paraId="020BC4B1" w14:textId="5D18FDAB" w:rsidR="00F73022" w:rsidRPr="001C2377" w:rsidRDefault="00DB1F43" w:rsidP="009E7BAA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R</w:t>
            </w:r>
            <w:r w:rsidR="00FE1EE0" w:rsidRPr="001C2377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egular, en el marco de competencia del Instituto, los Códigos de Ética que deben emitir los Concesionarios del Servicio de Radiodifusión, los Concesionarios del Servicio de Televisión y Audio Restringidos y los Programadores, los cuales deben asegurar el cumplimiento de los derechos de información, de expresión y de recepción de contenidos en términos de lo dispuesto en los artículos 6o. y 7o. de la Constitución Política de los Estados Unidos Mexicanos, garantizando que los Concesionarios de uso comercial, público y social cuenten con plena libertad de expresión, libertad programática, libertad editorial y se evite cualquier tipo de censura previa sobre sus contenidos. Asimismo, tienen por objeto regular a las Defensorías de Audiencias.</w:t>
            </w:r>
          </w:p>
        </w:tc>
      </w:tr>
    </w:tbl>
    <w:p w14:paraId="4F9256D5" w14:textId="77777777" w:rsidR="00F73022" w:rsidRPr="001C237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3C1A05FE" w14:textId="166291F5" w:rsidR="006166DB" w:rsidRPr="001C2377" w:rsidRDefault="001C2377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eastAsia="SansSerif" w:hAnsi="ITC Avant Garde" w:cs="SansSerif"/>
          <w:b/>
          <w:color w:val="000000"/>
          <w:sz w:val="20"/>
          <w:szCs w:val="20"/>
        </w:rPr>
        <w:t>12.- Materias a las que se aplica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2996B9CC" w14:textId="77777777" w:rsidTr="00DF074B">
        <w:tc>
          <w:tcPr>
            <w:tcW w:w="8828" w:type="dxa"/>
          </w:tcPr>
          <w:p w14:paraId="4D64A83B" w14:textId="22C866EF" w:rsidR="006166DB" w:rsidRPr="001C2377" w:rsidRDefault="006166DB" w:rsidP="002434FF">
            <w:pPr>
              <w:contextualSpacing/>
              <w:mirrorIndents/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sz w:val="20"/>
                <w:szCs w:val="20"/>
              </w:rPr>
              <w:t>Materia:</w:t>
            </w:r>
            <w:sdt>
              <w:sdtPr>
                <w:rPr>
                  <w:rFonts w:ascii="ITC Avant Garde" w:hAnsi="ITC Avant Garde"/>
                  <w:sz w:val="20"/>
                  <w:szCs w:val="20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152046">
                  <w:rPr>
                    <w:rFonts w:ascii="ITC Avant Garde" w:hAnsi="ITC Avant Garde"/>
                    <w:sz w:val="20"/>
                    <w:szCs w:val="20"/>
                  </w:rPr>
                  <w:t xml:space="preserve">Telecomunicaciones y Radiodifusión </w:t>
                </w:r>
              </w:sdtContent>
            </w:sdt>
          </w:p>
        </w:tc>
      </w:tr>
      <w:tr w:rsidR="006166DB" w:rsidRPr="001C2377" w14:paraId="611B9811" w14:textId="77777777" w:rsidTr="00DF074B">
        <w:tc>
          <w:tcPr>
            <w:tcW w:w="8828" w:type="dxa"/>
          </w:tcPr>
          <w:p w14:paraId="1662A333" w14:textId="79A4705C" w:rsidR="006166DB" w:rsidRPr="001C2377" w:rsidRDefault="001C2377" w:rsidP="002434FF">
            <w:pPr>
              <w:contextualSpacing/>
              <w:mirrorIndents/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b/>
                <w:sz w:val="20"/>
                <w:szCs w:val="20"/>
              </w:rPr>
              <w:t>12.1.- Materias exentas:</w:t>
            </w:r>
            <w:r w:rsidRPr="001C2377">
              <w:rPr>
                <w:rFonts w:ascii="ITC Avant Garde" w:hAnsi="ITC Avant Garde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hAnsi="ITC Avant Garde"/>
                <w:b/>
                <w:sz w:val="20"/>
                <w:szCs w:val="20"/>
              </w:rPr>
              <w:t>¿Existen materias que se exceptúan de la regulación?</w:t>
            </w:r>
          </w:p>
        </w:tc>
      </w:tr>
      <w:tr w:rsidR="00213787" w:rsidRPr="001C2377" w14:paraId="190900E8" w14:textId="77777777" w:rsidTr="00DF074B">
        <w:tc>
          <w:tcPr>
            <w:tcW w:w="8828" w:type="dxa"/>
          </w:tcPr>
          <w:p w14:paraId="3C54B74E" w14:textId="554E5DD6" w:rsidR="00213787" w:rsidRPr="001C2377" w:rsidRDefault="001C2377" w:rsidP="009E7BAA">
            <w:pPr>
              <w:contextualSpacing/>
              <w:mirrorIndents/>
              <w:jc w:val="both"/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sz w:val="20"/>
                <w:szCs w:val="20"/>
              </w:rPr>
              <w:t>No aplica</w:t>
            </w:r>
          </w:p>
        </w:tc>
      </w:tr>
    </w:tbl>
    <w:p w14:paraId="09748865" w14:textId="061139AC" w:rsidR="001D0BED" w:rsidRPr="001C2377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</w:tblGrid>
      <w:tr w:rsidR="001C2377" w:rsidRPr="001C2377" w14:paraId="1ABCE71E" w14:textId="77777777" w:rsidTr="001C2377">
        <w:trPr>
          <w:trHeight w:hRule="exact" w:val="280"/>
        </w:trPr>
        <w:tc>
          <w:tcPr>
            <w:tcW w:w="8789" w:type="dxa"/>
            <w:shd w:val="clear" w:color="auto" w:fill="B0D1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A655" w14:textId="77777777" w:rsidR="001C2377" w:rsidRPr="001C2377" w:rsidRDefault="001C2377" w:rsidP="00063F1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>13.- Sector:</w:t>
            </w:r>
          </w:p>
        </w:tc>
      </w:tr>
      <w:tr w:rsidR="001C2377" w:rsidRPr="001C2377" w14:paraId="4F1535D8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</w:tcPr>
          <w:p w14:paraId="5BFB3460" w14:textId="77777777" w:rsidR="001C2377" w:rsidRPr="001C2377" w:rsidRDefault="001C2377" w:rsidP="00063F1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Información en medios masivos</w:t>
            </w:r>
          </w:p>
        </w:tc>
      </w:tr>
      <w:tr w:rsidR="001C2377" w:rsidRPr="001C2377" w14:paraId="7BABFCB9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79AE" w14:textId="77777777" w:rsidR="001C2377" w:rsidRPr="001C2377" w:rsidRDefault="001C2377" w:rsidP="00063F1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 xml:space="preserve">  13.1.- Subsector:</w:t>
            </w:r>
          </w:p>
        </w:tc>
      </w:tr>
      <w:tr w:rsidR="001C2377" w:rsidRPr="001C2377" w14:paraId="184DC31B" w14:textId="77777777" w:rsidTr="001C2377">
        <w:trPr>
          <w:trHeight w:hRule="exact" w:val="4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</w:tcPr>
          <w:p w14:paraId="100B306F" w14:textId="0CFAED65" w:rsidR="001C2377" w:rsidRPr="001C2377" w:rsidRDefault="001C2377" w:rsidP="00063F15">
            <w:pPr>
              <w:rPr>
                <w:rFonts w:ascii="ITC Avant Garde" w:hAnsi="ITC Avant Garde"/>
                <w:sz w:val="20"/>
                <w:szCs w:val="20"/>
              </w:rPr>
            </w:pPr>
            <w:bookmarkStart w:id="0" w:name="_Hlk190168522"/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Radio y </w:t>
            </w:r>
            <w:r w:rsidR="00DE1A7E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televisión, Telecomunicaciones, Procesamiento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electrónico de información, Otros servicios de información</w:t>
            </w:r>
          </w:p>
        </w:tc>
      </w:tr>
      <w:bookmarkEnd w:id="0"/>
      <w:tr w:rsidR="001C2377" w:rsidRPr="001C2377" w14:paraId="68F94FC4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9FCC" w14:textId="77777777" w:rsidR="001C2377" w:rsidRPr="001C2377" w:rsidRDefault="001C2377" w:rsidP="00063F1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 xml:space="preserve">  13.2.- Rama:</w:t>
            </w:r>
          </w:p>
        </w:tc>
      </w:tr>
      <w:tr w:rsidR="001C2377" w:rsidRPr="001C2377" w14:paraId="2BECDCA6" w14:textId="77777777" w:rsidTr="001C2377">
        <w:trPr>
          <w:trHeight w:hRule="exact" w:val="11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</w:tcPr>
          <w:p w14:paraId="3F75F961" w14:textId="71ABF56D" w:rsidR="001C2377" w:rsidRPr="001C2377" w:rsidRDefault="001C2377" w:rsidP="00063F1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Transmisión de programas de radio y </w:t>
            </w:r>
            <w:r w:rsidR="00DE1A7E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televisión, Producción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programación de canales para sistemas de televisión por cable o </w:t>
            </w:r>
            <w:r w:rsidR="00DE1A7E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satelitales,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alámbricas e </w:t>
            </w:r>
            <w:r w:rsidR="00DE1A7E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inalámbricas,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vía </w:t>
            </w:r>
            <w:r w:rsidR="00DE1A7E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satélite, Otros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servicios de telecomunicaciones,</w:t>
            </w:r>
          </w:p>
        </w:tc>
      </w:tr>
      <w:tr w:rsidR="001C2377" w:rsidRPr="001C2377" w14:paraId="100433E9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A10D" w14:textId="77777777" w:rsidR="001C2377" w:rsidRPr="001C2377" w:rsidRDefault="001C2377" w:rsidP="00063F1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 xml:space="preserve">  13.3.- Subrama:</w:t>
            </w:r>
          </w:p>
        </w:tc>
      </w:tr>
      <w:tr w:rsidR="001C2377" w:rsidRPr="001C2377" w14:paraId="48741489" w14:textId="77777777" w:rsidTr="001C2377">
        <w:trPr>
          <w:trHeight w:hRule="exact" w:val="1640"/>
        </w:trPr>
        <w:tc>
          <w:tcPr>
            <w:tcW w:w="878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</w:tcPr>
          <w:p w14:paraId="0C48305D" w14:textId="467840A5" w:rsidR="001C2377" w:rsidRPr="001C2377" w:rsidRDefault="001C2377" w:rsidP="00063F1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Transmisión de programas de </w:t>
            </w:r>
            <w:r w:rsidR="00DE1A7E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radio, Transmisión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programas de </w:t>
            </w:r>
            <w:r w:rsidR="00DE1A7E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televisión, Producción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programación de canales para sistemas de televisión por cable o </w:t>
            </w:r>
            <w:r w:rsidR="00DE1A7E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satelitales,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alámbricas e </w:t>
            </w:r>
            <w:r w:rsidR="00DE1A7E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inalámbricas,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vía </w:t>
            </w:r>
            <w:r w:rsidR="00DE1A7E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satélite, Otros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servicios de telecomunicaciones,</w:t>
            </w:r>
            <w:r w:rsidR="00511E6B" w:rsidRPr="001C2377" w:rsidDel="00511E6B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</w:p>
        </w:tc>
      </w:tr>
      <w:tr w:rsidR="001C2377" w:rsidRPr="001C2377" w14:paraId="6BDA2B9E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A0D1" w14:textId="77777777" w:rsidR="001C2377" w:rsidRPr="001C2377" w:rsidRDefault="001C2377" w:rsidP="00063F1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 xml:space="preserve">  13.4.- Clase:</w:t>
            </w:r>
          </w:p>
        </w:tc>
      </w:tr>
      <w:tr w:rsidR="001C2377" w:rsidRPr="001C2377" w14:paraId="3D664ABF" w14:textId="77777777" w:rsidTr="001C2377">
        <w:trPr>
          <w:trHeight w:hRule="exact" w:val="18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</w:tcPr>
          <w:p w14:paraId="2BC8475B" w14:textId="6D4563DC" w:rsidR="001C2377" w:rsidRPr="001C2377" w:rsidRDefault="001C2377" w:rsidP="00063F1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Transmisión de programas de </w:t>
            </w:r>
            <w:r w:rsidR="00DE1A7E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radio, Transmisión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programas de </w:t>
            </w:r>
            <w:r w:rsidR="00DE1A7E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televisión, Producción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programación de canales para sistemas de televisión por cable o </w:t>
            </w:r>
            <w:r w:rsidR="00DE1A7E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satelitales,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</w:t>
            </w:r>
            <w:r w:rsidR="00DE1A7E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alámbricas,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</w:t>
            </w:r>
            <w:r w:rsidR="00DE1A7E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inalámbricas,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vía </w:t>
            </w:r>
            <w:r w:rsidR="00DE1A7E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satélite, Otros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servicios de telecomunicaciones,</w:t>
            </w:r>
          </w:p>
        </w:tc>
      </w:tr>
    </w:tbl>
    <w:p w14:paraId="5DDE2E36" w14:textId="77777777" w:rsidR="001C2377" w:rsidRPr="001C2377" w:rsidRDefault="001C2377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56A14270" w14:textId="2FDD0D54" w:rsidR="00DC3A1A" w:rsidRPr="001C2377" w:rsidRDefault="001C2377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lastRenderedPageBreak/>
        <w:t>14.- Sujetos Regulados: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1C2377" w14:paraId="4548FC7B" w14:textId="77777777" w:rsidTr="0032356C">
        <w:trPr>
          <w:trHeight w:val="65"/>
        </w:trPr>
        <w:tc>
          <w:tcPr>
            <w:tcW w:w="8828" w:type="dxa"/>
            <w:shd w:val="clear" w:color="auto" w:fill="auto"/>
          </w:tcPr>
          <w:p w14:paraId="16AB50D7" w14:textId="70E7A494" w:rsidR="00213787" w:rsidRPr="001C2377" w:rsidRDefault="00D96540" w:rsidP="0032356C">
            <w:pPr>
              <w:pStyle w:val="Prrafodelista"/>
              <w:ind w:left="319"/>
              <w:mirrorIndents/>
              <w:jc w:val="both"/>
              <w:rPr>
                <w:rFonts w:ascii="ITC Avant Garde" w:hAnsi="ITC Avant Garde"/>
                <w:sz w:val="20"/>
                <w:szCs w:val="20"/>
                <w:highlight w:val="yellow"/>
              </w:rPr>
            </w:pPr>
            <w:r w:rsidRPr="00DB1F43">
              <w:rPr>
                <w:rFonts w:ascii="ITC Avant Garde" w:hAnsi="ITC Avant Garde"/>
                <w:sz w:val="20"/>
                <w:szCs w:val="20"/>
              </w:rPr>
              <w:t>Concesionarios de Radiodifusión, Concesionarios de Televisión y Audio Restringidos y Programadores a través de Multiprogramación</w:t>
            </w:r>
          </w:p>
        </w:tc>
      </w:tr>
    </w:tbl>
    <w:p w14:paraId="1C0AD340" w14:textId="77777777" w:rsidR="00DC3A1A" w:rsidRPr="001C2377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66570C8C" w14:textId="5E555BD0" w:rsidR="006166DB" w:rsidRPr="001C2377" w:rsidRDefault="001C2377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15.- Otras regulaciones vinculadas o derivadas de esta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1C2377" w14:paraId="12CCBEC6" w14:textId="77777777" w:rsidTr="007D2FD6">
        <w:tc>
          <w:tcPr>
            <w:tcW w:w="8828" w:type="dxa"/>
          </w:tcPr>
          <w:p w14:paraId="34894FF2" w14:textId="4CE93C2C" w:rsidR="007D2FD6" w:rsidRPr="001C2377" w:rsidRDefault="00D96540" w:rsidP="00191D0D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No aplica</w:t>
            </w:r>
          </w:p>
        </w:tc>
      </w:tr>
    </w:tbl>
    <w:p w14:paraId="53BF6CD3" w14:textId="77777777" w:rsidR="006166DB" w:rsidRPr="001C237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3B5E7AB5" w14:textId="5C9E93C6" w:rsidR="004B7538" w:rsidRDefault="001C2377" w:rsidP="001C2377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16.- Trámites y servicios relacionados</w:t>
      </w:r>
      <w:r w:rsidRPr="001C2377">
        <w:rPr>
          <w:rFonts w:ascii="ITC Avant Garde" w:hAnsi="ITC Avant Garde"/>
          <w:b/>
          <w:color w:val="000000" w:themeColor="text1"/>
          <w:sz w:val="21"/>
          <w:szCs w:val="21"/>
        </w:rPr>
        <w:t xml:space="preserve"> con la Regulación:</w:t>
      </w:r>
    </w:p>
    <w:p w14:paraId="4659913D" w14:textId="439E9F80" w:rsidR="009208F2" w:rsidRDefault="009208F2" w:rsidP="009208F2">
      <w:pPr>
        <w:contextualSpacing/>
        <w:mirrorIndents/>
        <w:jc w:val="both"/>
        <w:rPr>
          <w:rFonts w:ascii="ITC Avant Garde" w:hAnsi="ITC Avant Garde"/>
          <w:color w:val="000000" w:themeColor="text1"/>
          <w:sz w:val="20"/>
          <w:szCs w:val="20"/>
        </w:rPr>
      </w:pPr>
      <w:r>
        <w:rPr>
          <w:rFonts w:ascii="ITC Avant Garde" w:hAnsi="ITC Avant Garde"/>
          <w:color w:val="000000" w:themeColor="text1"/>
          <w:sz w:val="20"/>
          <w:szCs w:val="20"/>
        </w:rPr>
        <w:t xml:space="preserve"> </w:t>
      </w:r>
    </w:p>
    <w:p w14:paraId="4515F978" w14:textId="21189003" w:rsidR="009208F2" w:rsidRDefault="009208F2" w:rsidP="009208F2">
      <w:pPr>
        <w:contextualSpacing/>
        <w:mirrorIndents/>
        <w:jc w:val="both"/>
        <w:rPr>
          <w:rFonts w:ascii="ITC Avant Garde" w:hAnsi="ITC Avant Garde"/>
          <w:color w:val="000000" w:themeColor="text1"/>
          <w:sz w:val="20"/>
          <w:szCs w:val="20"/>
        </w:rPr>
      </w:pPr>
      <w:hyperlink r:id="rId13" w:anchor="!/tramite/UCS-01-022-I" w:history="1">
        <w:r w:rsidRPr="009208F2">
          <w:rPr>
            <w:rStyle w:val="Hipervnculo"/>
            <w:rFonts w:ascii="ITC Avant Garde" w:hAnsi="ITC Avant Garde"/>
            <w:sz w:val="20"/>
            <w:szCs w:val="20"/>
            <w:bdr w:val="none" w:sz="0" w:space="0" w:color="auto"/>
          </w:rPr>
          <w:t>UCS-01-022-I</w:t>
        </w:r>
      </w:hyperlink>
      <w:r>
        <w:rPr>
          <w:rFonts w:ascii="ITC Avant Garde" w:hAnsi="ITC Avant Garde"/>
          <w:color w:val="000000" w:themeColor="text1"/>
          <w:sz w:val="20"/>
          <w:szCs w:val="20"/>
        </w:rPr>
        <w:t xml:space="preserve"> Inscripción al Registro Público de Concesiones del Código de Ética</w:t>
      </w:r>
    </w:p>
    <w:p w14:paraId="771049C1" w14:textId="77777777" w:rsidR="009208F2" w:rsidRDefault="009208F2" w:rsidP="009208F2">
      <w:pPr>
        <w:contextualSpacing/>
        <w:mirrorIndents/>
        <w:jc w:val="both"/>
        <w:rPr>
          <w:rFonts w:ascii="ITC Avant Garde" w:hAnsi="ITC Avant Garde"/>
          <w:color w:val="000000" w:themeColor="text1"/>
          <w:sz w:val="20"/>
          <w:szCs w:val="20"/>
        </w:rPr>
      </w:pPr>
      <w:hyperlink r:id="rId14" w:anchor="!/tramite/UCS-01-022-J" w:history="1">
        <w:r w:rsidRPr="009208F2">
          <w:rPr>
            <w:rStyle w:val="Hipervnculo"/>
            <w:rFonts w:ascii="ITC Avant Garde" w:hAnsi="ITC Avant Garde"/>
            <w:sz w:val="20"/>
            <w:szCs w:val="20"/>
            <w:bdr w:val="none" w:sz="0" w:space="0" w:color="auto"/>
          </w:rPr>
          <w:t>UCS-01-022-J</w:t>
        </w:r>
      </w:hyperlink>
      <w:r>
        <w:rPr>
          <w:rFonts w:ascii="ITC Avant Garde" w:hAnsi="ITC Avant Garde"/>
          <w:color w:val="000000" w:themeColor="text1"/>
          <w:sz w:val="20"/>
          <w:szCs w:val="20"/>
        </w:rPr>
        <w:t xml:space="preserve"> Inscripción al Registro Público de Concesiones del Defensor de Audiencias </w:t>
      </w: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208F2" w:rsidRPr="001C2377" w14:paraId="5172183C" w14:textId="77777777" w:rsidTr="009208F2">
        <w:tc>
          <w:tcPr>
            <w:tcW w:w="8828" w:type="dxa"/>
          </w:tcPr>
          <w:p w14:paraId="34343215" w14:textId="77777777" w:rsidR="009208F2" w:rsidRPr="001C2377" w:rsidRDefault="009208F2" w:rsidP="009208F2">
            <w:pPr>
              <w:shd w:val="clear" w:color="auto" w:fill="C5E0B3" w:themeFill="accent6" w:themeFillTint="66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b/>
                <w:color w:val="000000" w:themeColor="text1"/>
                <w:sz w:val="20"/>
                <w:szCs w:val="20"/>
              </w:rPr>
              <w:t>17.- Inspecciones, verificaciones o visitas domiciliarias relacionadas con la regulación y su fundamento legal</w:t>
            </w:r>
          </w:p>
        </w:tc>
      </w:tr>
    </w:tbl>
    <w:p w14:paraId="286203CC" w14:textId="77777777" w:rsidR="009208F2" w:rsidRDefault="009208F2" w:rsidP="00D96540">
      <w:pPr>
        <w:contextualSpacing/>
        <w:mirrorIndents/>
        <w:jc w:val="both"/>
        <w:rPr>
          <w:rFonts w:ascii="ITC Avant Garde" w:hAnsi="ITC Avant Garde"/>
          <w:color w:val="000000" w:themeColor="text1"/>
          <w:sz w:val="20"/>
          <w:szCs w:val="20"/>
        </w:rPr>
      </w:pPr>
    </w:p>
    <w:p w14:paraId="506A5092" w14:textId="77777777" w:rsidR="009208F2" w:rsidRPr="001C2377" w:rsidRDefault="009208F2" w:rsidP="00D96540">
      <w:pPr>
        <w:contextualSpacing/>
        <w:mirrorIndents/>
        <w:jc w:val="both"/>
        <w:rPr>
          <w:rFonts w:ascii="ITC Avant Garde" w:hAnsi="ITC Avant Garde"/>
          <w:color w:val="000000" w:themeColor="text1"/>
          <w:sz w:val="20"/>
          <w:szCs w:val="20"/>
        </w:rPr>
      </w:pPr>
    </w:p>
    <w:p w14:paraId="4A980379" w14:textId="546914CF" w:rsidR="00D96540" w:rsidRPr="00DB1F43" w:rsidRDefault="00DB1F43" w:rsidP="00DB1F43">
      <w:pPr>
        <w:contextualSpacing/>
        <w:mirrorIndents/>
        <w:jc w:val="both"/>
        <w:rPr>
          <w:rFonts w:ascii="ITC Avant Garde" w:hAnsi="ITC Avant Garde"/>
          <w:color w:val="000000" w:themeColor="text1"/>
          <w:sz w:val="20"/>
          <w:szCs w:val="20"/>
        </w:rPr>
      </w:pPr>
      <w:r w:rsidRPr="00DB1F43">
        <w:rPr>
          <w:rFonts w:ascii="ITC Avant Garde" w:hAnsi="ITC Avant Garde"/>
          <w:color w:val="000000" w:themeColor="text1"/>
          <w:sz w:val="20"/>
          <w:szCs w:val="20"/>
        </w:rPr>
        <w:t>Inspección, verificación y vigilancia: Ley Federal de Telecomunicaciones y Radiodifusión, artículos 291, 292, 293, 294, 295 y 296.</w:t>
      </w:r>
      <w:bookmarkStart w:id="1" w:name="_GoBack"/>
      <w:bookmarkEnd w:id="1"/>
    </w:p>
    <w:sectPr w:rsidR="00D96540" w:rsidRPr="00DB1F43" w:rsidSect="003F1D7B">
      <w:headerReference w:type="default" r:id="rId15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7E8BFD5" w16cex:dateUtc="2025-02-11T20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E28D0" w14:textId="77777777" w:rsidR="009208F2" w:rsidRDefault="009208F2" w:rsidP="006166DB">
      <w:pPr>
        <w:spacing w:after="0" w:line="240" w:lineRule="auto"/>
      </w:pPr>
      <w:r>
        <w:separator/>
      </w:r>
    </w:p>
  </w:endnote>
  <w:endnote w:type="continuationSeparator" w:id="0">
    <w:p w14:paraId="1A01061A" w14:textId="77777777" w:rsidR="009208F2" w:rsidRDefault="009208F2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altName w:val="Calibri"/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63A23" w14:textId="77777777" w:rsidR="009208F2" w:rsidRDefault="009208F2" w:rsidP="006166DB">
      <w:pPr>
        <w:spacing w:after="0" w:line="240" w:lineRule="auto"/>
      </w:pPr>
      <w:r>
        <w:separator/>
      </w:r>
    </w:p>
  </w:footnote>
  <w:footnote w:type="continuationSeparator" w:id="0">
    <w:p w14:paraId="03F6BEB2" w14:textId="77777777" w:rsidR="009208F2" w:rsidRDefault="009208F2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36821" w14:textId="77777777" w:rsidR="009208F2" w:rsidRPr="00AC574F" w:rsidRDefault="009208F2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2C1D4566" wp14:editId="79FC1AF0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74F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14"/>
  </w:num>
  <w:num w:numId="7">
    <w:abstractNumId w:val="13"/>
  </w:num>
  <w:num w:numId="8">
    <w:abstractNumId w:val="8"/>
  </w:num>
  <w:num w:numId="9">
    <w:abstractNumId w:val="9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  <w:num w:numId="14">
    <w:abstractNumId w:val="15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NjkzZWU1NmYtZDZmOS00MGRlLTg5NmYtYTg3YzU0NDQ3NmMyIg0KfQ=="/>
    <w:docVar w:name="GVData0" w:val="(end)"/>
  </w:docVars>
  <w:rsids>
    <w:rsidRoot w:val="006166DB"/>
    <w:rsid w:val="00000ADE"/>
    <w:rsid w:val="0002355D"/>
    <w:rsid w:val="00046B8B"/>
    <w:rsid w:val="00047C74"/>
    <w:rsid w:val="00063F15"/>
    <w:rsid w:val="00074A2C"/>
    <w:rsid w:val="00085CAE"/>
    <w:rsid w:val="000911B6"/>
    <w:rsid w:val="00093B31"/>
    <w:rsid w:val="00121A2E"/>
    <w:rsid w:val="00124B47"/>
    <w:rsid w:val="00126B40"/>
    <w:rsid w:val="00152046"/>
    <w:rsid w:val="00160C02"/>
    <w:rsid w:val="00171ED3"/>
    <w:rsid w:val="00191D0D"/>
    <w:rsid w:val="0019399C"/>
    <w:rsid w:val="001A0D96"/>
    <w:rsid w:val="001A12A2"/>
    <w:rsid w:val="001C2377"/>
    <w:rsid w:val="001C36BF"/>
    <w:rsid w:val="001D0BED"/>
    <w:rsid w:val="001E21AC"/>
    <w:rsid w:val="001F15FB"/>
    <w:rsid w:val="001F3494"/>
    <w:rsid w:val="001F5E47"/>
    <w:rsid w:val="001F74E8"/>
    <w:rsid w:val="00207BA8"/>
    <w:rsid w:val="00213787"/>
    <w:rsid w:val="00223B0B"/>
    <w:rsid w:val="002377C8"/>
    <w:rsid w:val="002434FF"/>
    <w:rsid w:val="00250D5A"/>
    <w:rsid w:val="00285773"/>
    <w:rsid w:val="002B0B24"/>
    <w:rsid w:val="002D534C"/>
    <w:rsid w:val="002E333A"/>
    <w:rsid w:val="002E37B6"/>
    <w:rsid w:val="002E7B33"/>
    <w:rsid w:val="002F39A1"/>
    <w:rsid w:val="00307840"/>
    <w:rsid w:val="00316199"/>
    <w:rsid w:val="0032356C"/>
    <w:rsid w:val="00326275"/>
    <w:rsid w:val="00332FE9"/>
    <w:rsid w:val="003522AC"/>
    <w:rsid w:val="00366E21"/>
    <w:rsid w:val="00384692"/>
    <w:rsid w:val="003A162A"/>
    <w:rsid w:val="003C2D2C"/>
    <w:rsid w:val="003F1D7B"/>
    <w:rsid w:val="003F50B6"/>
    <w:rsid w:val="00414E62"/>
    <w:rsid w:val="0041753F"/>
    <w:rsid w:val="00427488"/>
    <w:rsid w:val="00444985"/>
    <w:rsid w:val="00446F0C"/>
    <w:rsid w:val="0045063E"/>
    <w:rsid w:val="00493E6E"/>
    <w:rsid w:val="004A0C61"/>
    <w:rsid w:val="004B7538"/>
    <w:rsid w:val="004C31A6"/>
    <w:rsid w:val="004C3FAC"/>
    <w:rsid w:val="004C75E5"/>
    <w:rsid w:val="004D6D14"/>
    <w:rsid w:val="004E552A"/>
    <w:rsid w:val="005034EB"/>
    <w:rsid w:val="00511E6B"/>
    <w:rsid w:val="00520991"/>
    <w:rsid w:val="00533752"/>
    <w:rsid w:val="00585BD4"/>
    <w:rsid w:val="005E34D0"/>
    <w:rsid w:val="005F0181"/>
    <w:rsid w:val="0061003C"/>
    <w:rsid w:val="006166DB"/>
    <w:rsid w:val="006232EE"/>
    <w:rsid w:val="00640CB0"/>
    <w:rsid w:val="006441CF"/>
    <w:rsid w:val="00651685"/>
    <w:rsid w:val="0065492B"/>
    <w:rsid w:val="00673233"/>
    <w:rsid w:val="006911B3"/>
    <w:rsid w:val="006A06DC"/>
    <w:rsid w:val="006E5704"/>
    <w:rsid w:val="006F7E1D"/>
    <w:rsid w:val="00703626"/>
    <w:rsid w:val="00703C14"/>
    <w:rsid w:val="00711A53"/>
    <w:rsid w:val="00712A8A"/>
    <w:rsid w:val="00720D02"/>
    <w:rsid w:val="00730E59"/>
    <w:rsid w:val="007466F1"/>
    <w:rsid w:val="00774D3F"/>
    <w:rsid w:val="00774E5C"/>
    <w:rsid w:val="0078318D"/>
    <w:rsid w:val="007936F8"/>
    <w:rsid w:val="007A1022"/>
    <w:rsid w:val="007D2FD6"/>
    <w:rsid w:val="007E0355"/>
    <w:rsid w:val="007E5B21"/>
    <w:rsid w:val="007F5106"/>
    <w:rsid w:val="008017FB"/>
    <w:rsid w:val="00802508"/>
    <w:rsid w:val="00810332"/>
    <w:rsid w:val="00812BDF"/>
    <w:rsid w:val="00815D92"/>
    <w:rsid w:val="008428DC"/>
    <w:rsid w:val="008549FA"/>
    <w:rsid w:val="0089205E"/>
    <w:rsid w:val="00893819"/>
    <w:rsid w:val="00894294"/>
    <w:rsid w:val="008D6F5A"/>
    <w:rsid w:val="008D78A2"/>
    <w:rsid w:val="009208F2"/>
    <w:rsid w:val="0092333A"/>
    <w:rsid w:val="009701A3"/>
    <w:rsid w:val="00977ED5"/>
    <w:rsid w:val="009918CF"/>
    <w:rsid w:val="00993225"/>
    <w:rsid w:val="009A6722"/>
    <w:rsid w:val="009D567D"/>
    <w:rsid w:val="009E7BAA"/>
    <w:rsid w:val="009E7D91"/>
    <w:rsid w:val="009F4E08"/>
    <w:rsid w:val="00A3392B"/>
    <w:rsid w:val="00A70F6B"/>
    <w:rsid w:val="00A82407"/>
    <w:rsid w:val="00A93C7F"/>
    <w:rsid w:val="00AC079F"/>
    <w:rsid w:val="00AC574F"/>
    <w:rsid w:val="00AD4846"/>
    <w:rsid w:val="00AF71CC"/>
    <w:rsid w:val="00B018E8"/>
    <w:rsid w:val="00B01DC5"/>
    <w:rsid w:val="00B13673"/>
    <w:rsid w:val="00B30E6B"/>
    <w:rsid w:val="00B340B6"/>
    <w:rsid w:val="00B44ECF"/>
    <w:rsid w:val="00B522C6"/>
    <w:rsid w:val="00B71C41"/>
    <w:rsid w:val="00B8531B"/>
    <w:rsid w:val="00B9509E"/>
    <w:rsid w:val="00BE45D0"/>
    <w:rsid w:val="00BF2093"/>
    <w:rsid w:val="00C61F7E"/>
    <w:rsid w:val="00C76443"/>
    <w:rsid w:val="00C8049B"/>
    <w:rsid w:val="00C965CE"/>
    <w:rsid w:val="00C96684"/>
    <w:rsid w:val="00CA43C3"/>
    <w:rsid w:val="00CB1C8D"/>
    <w:rsid w:val="00CB353A"/>
    <w:rsid w:val="00CE57F9"/>
    <w:rsid w:val="00CF5F25"/>
    <w:rsid w:val="00D14569"/>
    <w:rsid w:val="00D258BF"/>
    <w:rsid w:val="00D93EA9"/>
    <w:rsid w:val="00D96540"/>
    <w:rsid w:val="00D96D27"/>
    <w:rsid w:val="00DB1F43"/>
    <w:rsid w:val="00DB3C65"/>
    <w:rsid w:val="00DC3142"/>
    <w:rsid w:val="00DC3A1A"/>
    <w:rsid w:val="00DD4ABD"/>
    <w:rsid w:val="00DE1A7E"/>
    <w:rsid w:val="00DF074B"/>
    <w:rsid w:val="00DF1654"/>
    <w:rsid w:val="00E0038E"/>
    <w:rsid w:val="00E16ED7"/>
    <w:rsid w:val="00E44BF0"/>
    <w:rsid w:val="00E66886"/>
    <w:rsid w:val="00E70994"/>
    <w:rsid w:val="00EB53E4"/>
    <w:rsid w:val="00EF614E"/>
    <w:rsid w:val="00F014C6"/>
    <w:rsid w:val="00F30AF6"/>
    <w:rsid w:val="00F42CB3"/>
    <w:rsid w:val="00F52381"/>
    <w:rsid w:val="00F54CB3"/>
    <w:rsid w:val="00F62AAD"/>
    <w:rsid w:val="00F631B5"/>
    <w:rsid w:val="00F71208"/>
    <w:rsid w:val="00F73022"/>
    <w:rsid w:val="00F8678C"/>
    <w:rsid w:val="00FA4E22"/>
    <w:rsid w:val="00FB6ADB"/>
    <w:rsid w:val="00FE1EE0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C9F29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91D0D"/>
    <w:rPr>
      <w:color w:val="605E5C"/>
      <w:shd w:val="clear" w:color="auto" w:fill="E1DFDD"/>
    </w:rPr>
  </w:style>
  <w:style w:type="paragraph" w:customStyle="1" w:styleId="EMPTYCELLSTYLE">
    <w:name w:val="EMPTY_CELL_STYLE"/>
    <w:qFormat/>
    <w:rsid w:val="006A06DC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ventariotramites.ift.org.mx/mitweb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f.gob.mx/nota_detalle.php?codigo=5748459&amp;fecha=05/02/2025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f.gob.mx/nota_detalle.php?codigo=5748459&amp;fecha=05/02/202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ventariotramites.ift.org.mx/mitwe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altName w:val="Calibri"/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Cambria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0A4C7D"/>
    <w:rsid w:val="00121A2E"/>
    <w:rsid w:val="001327D6"/>
    <w:rsid w:val="001842EB"/>
    <w:rsid w:val="001B5A4B"/>
    <w:rsid w:val="00216649"/>
    <w:rsid w:val="00247CE4"/>
    <w:rsid w:val="002607A3"/>
    <w:rsid w:val="0026494F"/>
    <w:rsid w:val="002852A0"/>
    <w:rsid w:val="002B7F38"/>
    <w:rsid w:val="002F0812"/>
    <w:rsid w:val="00303EA8"/>
    <w:rsid w:val="0037790F"/>
    <w:rsid w:val="004E3322"/>
    <w:rsid w:val="00530D59"/>
    <w:rsid w:val="005D084C"/>
    <w:rsid w:val="00687FEB"/>
    <w:rsid w:val="006D779E"/>
    <w:rsid w:val="007313BB"/>
    <w:rsid w:val="007866FE"/>
    <w:rsid w:val="007967DE"/>
    <w:rsid w:val="008E6773"/>
    <w:rsid w:val="009149B3"/>
    <w:rsid w:val="00977C64"/>
    <w:rsid w:val="009F2A3C"/>
    <w:rsid w:val="00A23889"/>
    <w:rsid w:val="00A52267"/>
    <w:rsid w:val="00A60F5B"/>
    <w:rsid w:val="00A72DE6"/>
    <w:rsid w:val="00AF6C7D"/>
    <w:rsid w:val="00B01F8A"/>
    <w:rsid w:val="00B351E5"/>
    <w:rsid w:val="00B44ECF"/>
    <w:rsid w:val="00BD1645"/>
    <w:rsid w:val="00BF7C0D"/>
    <w:rsid w:val="00C2228D"/>
    <w:rsid w:val="00D31C9E"/>
    <w:rsid w:val="00D57942"/>
    <w:rsid w:val="00D57A8B"/>
    <w:rsid w:val="00D83928"/>
    <w:rsid w:val="00DF3746"/>
    <w:rsid w:val="00EC2A9F"/>
    <w:rsid w:val="00F946B4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67DE"/>
    <w:rPr>
      <w:color w:val="808080"/>
    </w:rPr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93C56-1825-400C-AEEA-6773046D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4089</Characters>
  <Application>Microsoft Office Word</Application>
  <DocSecurity>4</DocSecurity>
  <Lines>146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las Condiciones Técnicas Mínimas para la interconexión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las Condiciones Técnicas Mínimas para la interconexión</dc:title>
  <dc:subject/>
  <dc:creator>DAJMR-CGMR</dc:creator>
  <cp:keywords/>
  <dc:description/>
  <cp:lastModifiedBy>Alexis Pina Vega</cp:lastModifiedBy>
  <cp:revision>2</cp:revision>
  <dcterms:created xsi:type="dcterms:W3CDTF">2025-02-19T19:59:00Z</dcterms:created>
  <dcterms:modified xsi:type="dcterms:W3CDTF">2025-02-19T19:59:00Z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  <property fmtid="{D5CDD505-2E9C-101B-9397-08002B2CF9AE}" pid="3" name="GVData">
    <vt:lpwstr>ew0KICAiZG9jSUQiOiAiNjkzZWU1NmYtZDZmOS00MGRlLTg5NmYtYTg3YzU0NDQ3NmMyIg0KfQ==</vt:lpwstr>
  </property>
  <property fmtid="{D5CDD505-2E9C-101B-9397-08002B2CF9AE}" pid="4" name="GVData0">
    <vt:lpwstr>(end)</vt:lpwstr>
  </property>
</Properties>
</file>